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D629" w14:textId="651EEE55" w:rsidR="00F96E9C" w:rsidRDefault="004849A6" w:rsidP="004849A6">
      <w:pPr>
        <w:pStyle w:val="Heading2"/>
      </w:pPr>
      <w:r>
        <w:fldChar w:fldCharType="begin"/>
      </w:r>
      <w:r>
        <w:instrText>HYPERLINK "https://bridaybrummer.github.io/D2P_project/"</w:instrText>
      </w:r>
      <w:r>
        <w:fldChar w:fldCharType="separate"/>
      </w:r>
      <w:r w:rsidRPr="004849A6">
        <w:rPr>
          <w:rStyle w:val="Hyperlink"/>
        </w:rPr>
        <w:t>Homepage</w:t>
      </w:r>
      <w:r>
        <w:fldChar w:fldCharType="end"/>
      </w:r>
    </w:p>
    <w:p w14:paraId="3DCE2D91" w14:textId="1B60F086" w:rsidR="004849A6" w:rsidRDefault="004849A6" w:rsidP="004849A6">
      <w:pPr>
        <w:pStyle w:val="ListParagraph"/>
        <w:numPr>
          <w:ilvl w:val="0"/>
          <w:numId w:val="1"/>
        </w:numPr>
      </w:pPr>
      <w:r>
        <w:t>Could we add an overarching intro project summary/sentence at the very start?</w:t>
      </w:r>
    </w:p>
    <w:p w14:paraId="6BB6A390" w14:textId="2AAA583B" w:rsidR="004849A6" w:rsidRDefault="004849A6" w:rsidP="004849A6">
      <w:pPr>
        <w:pStyle w:val="ListParagraph"/>
        <w:numPr>
          <w:ilvl w:val="1"/>
          <w:numId w:val="1"/>
        </w:numPr>
      </w:pPr>
      <w:r w:rsidRPr="004849A6">
        <w:rPr>
          <w:b/>
          <w:bCs/>
        </w:rPr>
        <w:t>Strengthening Pesticide Poisoning Surveillance and Response in South Africa</w:t>
      </w:r>
      <w:r w:rsidRPr="004849A6">
        <w:br/>
        <w:t>A policy package proposing an integrated, costed strategy to close the detection gap, coordinate health and agriculture responses, and restrict the most hazardous organophosphate pesticide (</w:t>
      </w:r>
      <w:proofErr w:type="spellStart"/>
      <w:r w:rsidRPr="004849A6">
        <w:t>terbufos</w:t>
      </w:r>
      <w:proofErr w:type="spellEnd"/>
      <w:r w:rsidRPr="004849A6">
        <w:t>).</w:t>
      </w:r>
    </w:p>
    <w:p w14:paraId="2911E3FA" w14:textId="5559CC2F" w:rsidR="004849A6" w:rsidRDefault="004849A6" w:rsidP="004849A6">
      <w:pPr>
        <w:pStyle w:val="ListParagraph"/>
        <w:numPr>
          <w:ilvl w:val="0"/>
          <w:numId w:val="1"/>
        </w:numPr>
      </w:pPr>
      <w:r>
        <w:t>“Table of Contents” style linking at the end of the page:</w:t>
      </w:r>
    </w:p>
    <w:p w14:paraId="0BC94AC6" w14:textId="49309892" w:rsidR="004849A6" w:rsidRDefault="004849A6" w:rsidP="004849A6">
      <w:pPr>
        <w:pStyle w:val="ListParagraph"/>
        <w:numPr>
          <w:ilvl w:val="1"/>
          <w:numId w:val="1"/>
        </w:numPr>
      </w:pPr>
      <w:r>
        <w:t>The Policy Brief Hub</w:t>
      </w:r>
    </w:p>
    <w:p w14:paraId="44463D22" w14:textId="77777777" w:rsidR="004849A6" w:rsidRDefault="004849A6" w:rsidP="004849A6">
      <w:pPr>
        <w:pStyle w:val="ListParagraph"/>
        <w:numPr>
          <w:ilvl w:val="1"/>
          <w:numId w:val="1"/>
        </w:numPr>
      </w:pPr>
      <w:r>
        <w:t xml:space="preserve">The three individual policy briefs (Surveillance, Coordination, </w:t>
      </w:r>
      <w:proofErr w:type="spellStart"/>
      <w:r>
        <w:t>Terbufos</w:t>
      </w:r>
      <w:proofErr w:type="spellEnd"/>
      <w:r>
        <w:t>)</w:t>
      </w:r>
    </w:p>
    <w:p w14:paraId="02290A6B" w14:textId="3CDD9E20" w:rsidR="004849A6" w:rsidRDefault="004849A6" w:rsidP="004849A6">
      <w:pPr>
        <w:pStyle w:val="ListParagraph"/>
        <w:numPr>
          <w:ilvl w:val="1"/>
          <w:numId w:val="1"/>
        </w:numPr>
      </w:pPr>
      <w:r>
        <w:t>The technical appendices (Decision Model, Costing Analysis, Surveillance Concept Note, Parameters Hub)</w:t>
      </w:r>
    </w:p>
    <w:p w14:paraId="3A7C391B" w14:textId="7F50429F" w:rsidR="004849A6" w:rsidRDefault="004849A6" w:rsidP="004849A6">
      <w:pPr>
        <w:pStyle w:val="Heading2"/>
      </w:pPr>
      <w:hyperlink r:id="rId5" w:history="1">
        <w:r w:rsidRPr="004849A6">
          <w:rPr>
            <w:rStyle w:val="Hyperlink"/>
          </w:rPr>
          <w:t>Policy Brief Hub</w:t>
        </w:r>
      </w:hyperlink>
    </w:p>
    <w:p w14:paraId="61A58571" w14:textId="0F44B9D9" w:rsidR="004849A6" w:rsidRDefault="004849A6" w:rsidP="004849A6">
      <w:pPr>
        <w:pStyle w:val="ListParagraph"/>
        <w:numPr>
          <w:ilvl w:val="0"/>
          <w:numId w:val="2"/>
        </w:numPr>
      </w:pPr>
      <w:r>
        <w:t>After the summaries of the three we could add an example “Package Summary”:</w:t>
      </w:r>
    </w:p>
    <w:p w14:paraId="6713058D" w14:textId="77777777" w:rsidR="004849A6" w:rsidRPr="004849A6" w:rsidRDefault="004849A6" w:rsidP="004849A6">
      <w:r>
        <w:t xml:space="preserve">E.g. </w:t>
      </w:r>
      <w:r w:rsidRPr="004849A6">
        <w:rPr>
          <w:b/>
          <w:bCs/>
        </w:rPr>
        <w:t xml:space="preserve">Total Package </w:t>
      </w:r>
      <w:proofErr w:type="gramStart"/>
      <w:r w:rsidRPr="004849A6">
        <w:rPr>
          <w:b/>
          <w:bCs/>
        </w:rPr>
        <w:t>at a Glance</w:t>
      </w:r>
      <w:proofErr w:type="gramEnd"/>
    </w:p>
    <w:tbl>
      <w:tblPr>
        <w:tblW w:w="110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081"/>
        <w:gridCol w:w="2458"/>
        <w:gridCol w:w="3819"/>
      </w:tblGrid>
      <w:tr w:rsidR="004849A6" w:rsidRPr="004849A6" w14:paraId="536660F9" w14:textId="77777777" w:rsidTr="004849A6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E0D1" w14:textId="77777777" w:rsidR="004849A6" w:rsidRPr="004849A6" w:rsidRDefault="004849A6" w:rsidP="004849A6">
            <w:pPr>
              <w:jc w:val="center"/>
              <w:rPr>
                <w:b/>
                <w:bCs/>
              </w:rPr>
            </w:pPr>
            <w:r w:rsidRPr="004849A6">
              <w:rPr>
                <w:b/>
                <w:bCs/>
              </w:rPr>
              <w:t>Component</w:t>
            </w:r>
          </w:p>
        </w:tc>
        <w:tc>
          <w:tcPr>
            <w:tcW w:w="3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8FA9" w14:textId="77777777" w:rsidR="004849A6" w:rsidRPr="004849A6" w:rsidRDefault="004849A6" w:rsidP="004849A6">
            <w:pPr>
              <w:jc w:val="center"/>
              <w:rPr>
                <w:b/>
                <w:bCs/>
              </w:rPr>
            </w:pPr>
            <w:r w:rsidRPr="004849A6">
              <w:rPr>
                <w:b/>
                <w:bCs/>
              </w:rPr>
              <w:t>Near-Term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2927" w14:textId="77777777" w:rsidR="004849A6" w:rsidRPr="004849A6" w:rsidRDefault="004849A6" w:rsidP="004849A6">
            <w:pPr>
              <w:jc w:val="center"/>
              <w:rPr>
                <w:b/>
                <w:bCs/>
              </w:rPr>
            </w:pPr>
            <w:r w:rsidRPr="004849A6">
              <w:rPr>
                <w:b/>
                <w:bCs/>
              </w:rPr>
              <w:t>Steady-State Annual Operating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88015" w14:textId="77777777" w:rsidR="004849A6" w:rsidRPr="004849A6" w:rsidRDefault="004849A6" w:rsidP="004849A6">
            <w:pPr>
              <w:jc w:val="center"/>
              <w:rPr>
                <w:b/>
                <w:bCs/>
              </w:rPr>
            </w:pPr>
            <w:r w:rsidRPr="004849A6">
              <w:rPr>
                <w:b/>
                <w:bCs/>
              </w:rPr>
              <w:t>Expected Impact</w:t>
            </w:r>
          </w:p>
        </w:tc>
      </w:tr>
      <w:tr w:rsidR="004849A6" w:rsidRPr="004849A6" w14:paraId="59D7B82D" w14:textId="77777777" w:rsidTr="004849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04E7" w14:textId="77777777" w:rsidR="004849A6" w:rsidRPr="004849A6" w:rsidRDefault="004849A6" w:rsidP="004849A6">
            <w:r w:rsidRPr="004849A6">
              <w:t>Surveillance</w:t>
            </w:r>
          </w:p>
        </w:tc>
        <w:tc>
          <w:tcPr>
            <w:tcW w:w="3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E098" w14:textId="77777777" w:rsidR="004849A6" w:rsidRPr="004849A6" w:rsidRDefault="004849A6" w:rsidP="004849A6">
            <w:r w:rsidRPr="004849A6">
              <w:t>MVP (Options 1+2)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F66A" w14:textId="77777777" w:rsidR="004849A6" w:rsidRPr="004849A6" w:rsidRDefault="004849A6" w:rsidP="004849A6">
            <w:r w:rsidRPr="004849A6">
              <w:t>~R137,000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5407C" w14:textId="77777777" w:rsidR="004849A6" w:rsidRPr="004849A6" w:rsidRDefault="004849A6" w:rsidP="004849A6">
            <w:r w:rsidRPr="004849A6">
              <w:t>Detection from &lt;5% to ~19% of true cases</w:t>
            </w:r>
          </w:p>
        </w:tc>
      </w:tr>
      <w:tr w:rsidR="004849A6" w:rsidRPr="004849A6" w14:paraId="0149F9A2" w14:textId="77777777" w:rsidTr="004849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7C1A" w14:textId="77777777" w:rsidR="004849A6" w:rsidRPr="004849A6" w:rsidRDefault="004849A6" w:rsidP="004849A6">
            <w:r w:rsidRPr="004849A6">
              <w:t>Coordination</w:t>
            </w:r>
          </w:p>
        </w:tc>
        <w:tc>
          <w:tcPr>
            <w:tcW w:w="3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2BE8B" w14:textId="77777777" w:rsidR="004849A6" w:rsidRPr="004849A6" w:rsidRDefault="004849A6" w:rsidP="004849A6">
            <w:r w:rsidRPr="004849A6">
              <w:t>Full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D72C" w14:textId="77777777" w:rsidR="004849A6" w:rsidRPr="004849A6" w:rsidRDefault="004849A6" w:rsidP="004849A6">
            <w:r w:rsidRPr="004849A6">
              <w:t>~R145,000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FBCC8" w14:textId="77777777" w:rsidR="004849A6" w:rsidRPr="004849A6" w:rsidRDefault="004849A6" w:rsidP="004849A6">
            <w:r w:rsidRPr="004849A6">
              <w:t>~957 deaths averted/year at scale</w:t>
            </w:r>
          </w:p>
        </w:tc>
      </w:tr>
      <w:tr w:rsidR="004849A6" w:rsidRPr="004849A6" w14:paraId="715FECE4" w14:textId="77777777" w:rsidTr="004849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7F71" w14:textId="77777777" w:rsidR="004849A6" w:rsidRPr="004849A6" w:rsidRDefault="004849A6" w:rsidP="004849A6">
            <w:proofErr w:type="spellStart"/>
            <w:r w:rsidRPr="004849A6">
              <w:t>Terbufos</w:t>
            </w:r>
            <w:proofErr w:type="spellEnd"/>
          </w:p>
        </w:tc>
        <w:tc>
          <w:tcPr>
            <w:tcW w:w="3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BF62" w14:textId="77777777" w:rsidR="004849A6" w:rsidRPr="004849A6" w:rsidRDefault="004849A6" w:rsidP="004849A6">
            <w:r w:rsidRPr="004849A6">
              <w:t>T2 restriction with 24-month evaluation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F3D3" w14:textId="77777777" w:rsidR="004849A6" w:rsidRPr="004849A6" w:rsidRDefault="004849A6" w:rsidP="004849A6">
            <w:r w:rsidRPr="004849A6">
              <w:t>(see Brief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79FF2" w14:textId="77777777" w:rsidR="004849A6" w:rsidRPr="004849A6" w:rsidRDefault="004849A6" w:rsidP="004849A6">
            <w:r w:rsidRPr="004849A6">
              <w:t>≥50% reduction in attributable serious poisonings or automatic escalation to full ban</w:t>
            </w:r>
          </w:p>
        </w:tc>
      </w:tr>
    </w:tbl>
    <w:p w14:paraId="080FC8D7" w14:textId="77777777" w:rsidR="004849A6" w:rsidRPr="004849A6" w:rsidRDefault="004849A6" w:rsidP="004849A6">
      <w:r w:rsidRPr="004849A6">
        <w:rPr>
          <w:b/>
          <w:bCs/>
        </w:rPr>
        <w:t>Combined near-term operating cost: ~R282,000/year.</w:t>
      </w:r>
    </w:p>
    <w:p w14:paraId="08B00DCC" w14:textId="5683FE81" w:rsidR="00976A5D" w:rsidRDefault="00976A5D" w:rsidP="00976A5D">
      <w:pPr>
        <w:pStyle w:val="ListParagraph"/>
        <w:numPr>
          <w:ilvl w:val="0"/>
          <w:numId w:val="2"/>
        </w:numPr>
      </w:pPr>
      <w:r>
        <w:t>Sentence summary above the “The three policy briefs”:</w:t>
      </w:r>
    </w:p>
    <w:p w14:paraId="30970461" w14:textId="45145F71" w:rsidR="00976A5D" w:rsidRDefault="00976A5D" w:rsidP="00976A5D">
      <w:pPr>
        <w:ind w:left="720"/>
      </w:pPr>
      <w:r w:rsidRPr="00976A5D">
        <w:rPr>
          <w:b/>
          <w:bCs/>
        </w:rPr>
        <w:t>In brief:</w:t>
      </w:r>
      <w:r w:rsidRPr="00976A5D">
        <w:t xml:space="preserve"> Invest ~R282,000/year in integrated surveillance and coordination infrastructure. Immediately tighten restrictions on </w:t>
      </w:r>
      <w:proofErr w:type="spellStart"/>
      <w:r w:rsidRPr="00976A5D">
        <w:t>terbufos</w:t>
      </w:r>
      <w:proofErr w:type="spellEnd"/>
      <w:r w:rsidRPr="00976A5D">
        <w:t xml:space="preserve"> with a 24-month review that triggers a full ban if attributable serious poisonings do not fall by a pre-agreed margin. Projected impact: ~957 deaths averted/year at scale.</w:t>
      </w:r>
    </w:p>
    <w:p w14:paraId="75095735" w14:textId="196311D6" w:rsidR="004849A6" w:rsidRDefault="00976A5D" w:rsidP="00976A5D">
      <w:pPr>
        <w:pStyle w:val="ListParagraph"/>
        <w:numPr>
          <w:ilvl w:val="0"/>
          <w:numId w:val="2"/>
        </w:numPr>
      </w:pPr>
      <w:r>
        <w:t>Expanding the “How the three briefs fir together” (adding this below the figure):</w:t>
      </w:r>
    </w:p>
    <w:p w14:paraId="51D943FC" w14:textId="77777777" w:rsidR="00976A5D" w:rsidRPr="00976A5D" w:rsidRDefault="00976A5D" w:rsidP="00976A5D">
      <w:pPr>
        <w:pStyle w:val="ListParagraph"/>
        <w:numPr>
          <w:ilvl w:val="1"/>
          <w:numId w:val="2"/>
        </w:numPr>
      </w:pPr>
      <w:r w:rsidRPr="00976A5D">
        <w:rPr>
          <w:b/>
          <w:bCs/>
        </w:rPr>
        <w:t>Why all three are necessary – and the risks of partial adoption</w:t>
      </w:r>
    </w:p>
    <w:p w14:paraId="1711EEB2" w14:textId="77777777" w:rsidR="00976A5D" w:rsidRPr="00976A5D" w:rsidRDefault="00976A5D" w:rsidP="00976A5D">
      <w:pPr>
        <w:ind w:left="720"/>
      </w:pPr>
      <w:r w:rsidRPr="00976A5D">
        <w:lastRenderedPageBreak/>
        <w:t>These briefs are not a menu of independent options. Each depends on the others to deliver its claimed impact:</w:t>
      </w:r>
    </w:p>
    <w:p w14:paraId="25FED578" w14:textId="77777777" w:rsidR="00976A5D" w:rsidRPr="00976A5D" w:rsidRDefault="00976A5D" w:rsidP="00976A5D">
      <w:pPr>
        <w:pStyle w:val="ListParagraph"/>
        <w:numPr>
          <w:ilvl w:val="1"/>
          <w:numId w:val="2"/>
        </w:numPr>
      </w:pPr>
      <w:r w:rsidRPr="00976A5D">
        <w:rPr>
          <w:b/>
          <w:bCs/>
        </w:rPr>
        <w:t>Surveillance without coordination</w:t>
      </w:r>
      <w:r w:rsidRPr="00976A5D">
        <w:t> generates notifications that lead nowhere. Better detection will increase the visible case count; without a closed-loop investigation and referral workflow (Brief 2), the system will see more poisonings but respond to none of them – a politically damaging outcome.</w:t>
      </w:r>
    </w:p>
    <w:p w14:paraId="3C5015EA" w14:textId="77777777" w:rsidR="00976A5D" w:rsidRPr="00976A5D" w:rsidRDefault="00976A5D" w:rsidP="00976A5D">
      <w:pPr>
        <w:pStyle w:val="ListParagraph"/>
        <w:numPr>
          <w:ilvl w:val="1"/>
          <w:numId w:val="2"/>
        </w:numPr>
      </w:pPr>
      <w:r w:rsidRPr="00976A5D">
        <w:rPr>
          <w:b/>
          <w:bCs/>
        </w:rPr>
        <w:t>Coordination without surveillance</w:t>
      </w:r>
      <w:r w:rsidRPr="00976A5D">
        <w:t> has nothing to coordinate. The closed-loop workflow requires a reliable signal to trigger investigation and source removal. At the current &lt;5% detection rate, it would sit largely idle.</w:t>
      </w:r>
    </w:p>
    <w:p w14:paraId="67658A1F" w14:textId="77777777" w:rsidR="00976A5D" w:rsidRPr="00976A5D" w:rsidRDefault="00976A5D" w:rsidP="00976A5D">
      <w:pPr>
        <w:pStyle w:val="ListParagraph"/>
        <w:numPr>
          <w:ilvl w:val="1"/>
          <w:numId w:val="2"/>
        </w:numPr>
      </w:pPr>
      <w:r w:rsidRPr="00976A5D">
        <w:rPr>
          <w:b/>
          <w:bCs/>
        </w:rPr>
        <w:t>Regulatory restriction without coordination</w:t>
      </w:r>
      <w:r w:rsidRPr="00976A5D">
        <w:t xml:space="preserve"> is unenforceable. A </w:t>
      </w:r>
      <w:proofErr w:type="spellStart"/>
      <w:r w:rsidRPr="00976A5D">
        <w:t>terbufos</w:t>
      </w:r>
      <w:proofErr w:type="spellEnd"/>
      <w:r w:rsidRPr="00976A5D">
        <w:t xml:space="preserve"> restriction or ban is a paper policy unless the compliance monitoring, source-removal trigger, and enforcement feedback loop (Brief 2) are operational. The street pesticide diversion pathway cannot be disrupted by regulation alone.</w:t>
      </w:r>
    </w:p>
    <w:p w14:paraId="3D70B87B" w14:textId="77777777" w:rsidR="00976A5D" w:rsidRPr="00976A5D" w:rsidRDefault="00976A5D" w:rsidP="00976A5D">
      <w:pPr>
        <w:pStyle w:val="ListParagraph"/>
        <w:numPr>
          <w:ilvl w:val="1"/>
          <w:numId w:val="2"/>
        </w:numPr>
      </w:pPr>
      <w:r w:rsidRPr="00976A5D">
        <w:rPr>
          <w:b/>
          <w:bCs/>
        </w:rPr>
        <w:t>Coordination and surveillance without product-specific action</w:t>
      </w:r>
      <w:r w:rsidRPr="00976A5D">
        <w:t xml:space="preserve"> lack a measurable first target. </w:t>
      </w:r>
      <w:proofErr w:type="spellStart"/>
      <w:r w:rsidRPr="00976A5D">
        <w:t>Terbufos</w:t>
      </w:r>
      <w:proofErr w:type="spellEnd"/>
      <w:r w:rsidRPr="00976A5D">
        <w:t>, as the leading cause of severe OP mortality, is the concrete target that proves the system works and justifies further investment.</w:t>
      </w:r>
    </w:p>
    <w:p w14:paraId="28620BC5" w14:textId="77777777" w:rsidR="00976A5D" w:rsidRPr="00976A5D" w:rsidRDefault="00976A5D" w:rsidP="00976A5D">
      <w:pPr>
        <w:ind w:left="1080"/>
      </w:pPr>
      <w:r w:rsidRPr="00976A5D">
        <w:rPr>
          <w:b/>
          <w:bCs/>
        </w:rPr>
        <w:t>The recommendation is a single, integrated package.</w:t>
      </w:r>
      <w:r w:rsidRPr="00976A5D">
        <w:t> Adopting fewer than all three components will not achieve the projected impact and may actively create problems – more visible cases with no response mechanism, or a ban with no enforcement capacity. The phased implementation described in each brief builds the system in the required sequence, not as alternatives.</w:t>
      </w:r>
    </w:p>
    <w:p w14:paraId="32162745" w14:textId="610BFC3F" w:rsidR="00976A5D" w:rsidRDefault="00976A5D" w:rsidP="00976A5D">
      <w:pPr>
        <w:pStyle w:val="ListParagraph"/>
        <w:numPr>
          <w:ilvl w:val="0"/>
          <w:numId w:val="2"/>
        </w:numPr>
      </w:pPr>
      <w:r>
        <w:t>We could include a “Cost of Inaction” after the “Total Package”:</w:t>
      </w:r>
    </w:p>
    <w:p w14:paraId="64DC0065" w14:textId="77777777" w:rsidR="00976A5D" w:rsidRDefault="00976A5D" w:rsidP="00976A5D">
      <w:pPr>
        <w:pStyle w:val="ListParagraph"/>
        <w:rPr>
          <w:b/>
          <w:bCs/>
        </w:rPr>
      </w:pPr>
    </w:p>
    <w:p w14:paraId="553E9ADD" w14:textId="68677AB9" w:rsidR="00976A5D" w:rsidRDefault="00976A5D" w:rsidP="00976A5D">
      <w:pPr>
        <w:pStyle w:val="ListParagraph"/>
      </w:pPr>
      <w:r w:rsidRPr="00976A5D">
        <w:rPr>
          <w:b/>
          <w:bCs/>
        </w:rPr>
        <w:t>Cost of inaction.</w:t>
      </w:r>
      <w:r w:rsidRPr="00976A5D">
        <w:t> The current system detects &lt;5% of true pesticide poisonings, at an annual societal burden of ~R2.34 billion, of which ~R80 million falls directly on the public health budget. Every year of delay means continued preventable deaths and expenditure, against a proposed investment of ~R282,000/year – a 0.35% uplift on current health-system pesticide-related costs.</w:t>
      </w:r>
    </w:p>
    <w:p w14:paraId="132BA407" w14:textId="226A156D" w:rsidR="00976A5D" w:rsidRDefault="00976A5D" w:rsidP="00976A5D">
      <w:pPr>
        <w:pStyle w:val="Heading2"/>
      </w:pPr>
      <w:hyperlink r:id="rId6" w:history="1">
        <w:r w:rsidRPr="00976A5D">
          <w:rPr>
            <w:rStyle w:val="Hyperlink"/>
          </w:rPr>
          <w:t>Policy Brief 1: Strengthening Surveillance</w:t>
        </w:r>
      </w:hyperlink>
    </w:p>
    <w:p w14:paraId="3881F5F8" w14:textId="535E5840" w:rsidR="00C90C3E" w:rsidRDefault="00C90C3E" w:rsidP="00976A5D">
      <w:pPr>
        <w:pStyle w:val="ListParagraph"/>
        <w:numPr>
          <w:ilvl w:val="0"/>
          <w:numId w:val="2"/>
        </w:numPr>
      </w:pPr>
      <w:r>
        <w:t>Cost of Inaction statement in opening:</w:t>
      </w:r>
    </w:p>
    <w:p w14:paraId="56AA21EE" w14:textId="77777777" w:rsidR="00C90C3E" w:rsidRDefault="00C90C3E" w:rsidP="00C90C3E">
      <w:pPr>
        <w:pStyle w:val="ListParagraph"/>
      </w:pPr>
    </w:p>
    <w:p w14:paraId="0AF16A11" w14:textId="602A6543" w:rsidR="00C90C3E" w:rsidRDefault="00C90C3E" w:rsidP="00C90C3E">
      <w:pPr>
        <w:pStyle w:val="ListParagraph"/>
        <w:rPr>
          <w:i/>
          <w:iCs/>
        </w:rPr>
      </w:pPr>
      <w:r>
        <w:t xml:space="preserve">E.g.: </w:t>
      </w:r>
      <w:r w:rsidRPr="00C90C3E">
        <w:rPr>
          <w:i/>
          <w:iCs/>
        </w:rPr>
        <w:t xml:space="preserve">“The current surveillance system detects &lt;5% of true poisonings. Every year at this detection rate, approximately [X] deaths go unrecorded and </w:t>
      </w:r>
      <w:proofErr w:type="spellStart"/>
      <w:r w:rsidRPr="00C90C3E">
        <w:rPr>
          <w:i/>
          <w:iCs/>
        </w:rPr>
        <w:t>uninvestigated</w:t>
      </w:r>
      <w:proofErr w:type="spellEnd"/>
      <w:r w:rsidRPr="00C90C3E">
        <w:rPr>
          <w:i/>
          <w:iCs/>
        </w:rPr>
        <w:t>, and the evidence base for regulatory action remains weak.”</w:t>
      </w:r>
    </w:p>
    <w:p w14:paraId="74D991CA" w14:textId="77777777" w:rsidR="00C90C3E" w:rsidRDefault="00C90C3E" w:rsidP="00C90C3E">
      <w:pPr>
        <w:pStyle w:val="ListParagraph"/>
      </w:pPr>
    </w:p>
    <w:p w14:paraId="487DACE4" w14:textId="6617C232" w:rsidR="00976A5D" w:rsidRDefault="00976A5D" w:rsidP="00976A5D">
      <w:pPr>
        <w:pStyle w:val="ListParagraph"/>
        <w:numPr>
          <w:ilvl w:val="0"/>
          <w:numId w:val="2"/>
        </w:numPr>
      </w:pPr>
      <w:r>
        <w:t>Addition to Section 5, Option 4 (before the “Governance paragraph”):</w:t>
      </w:r>
    </w:p>
    <w:p w14:paraId="3BCB6400" w14:textId="77777777" w:rsidR="00976A5D" w:rsidRDefault="00976A5D" w:rsidP="00976A5D">
      <w:pPr>
        <w:pStyle w:val="ListParagraph"/>
      </w:pPr>
    </w:p>
    <w:p w14:paraId="0B8585F5" w14:textId="4F5E5D1E" w:rsidR="00976A5D" w:rsidRDefault="00976A5D" w:rsidP="00976A5D">
      <w:pPr>
        <w:pStyle w:val="ListParagraph"/>
      </w:pPr>
      <w:r w:rsidRPr="00976A5D">
        <w:rPr>
          <w:b/>
          <w:bCs/>
        </w:rPr>
        <w:t>Why Option 4 is essential.</w:t>
      </w:r>
      <w:r w:rsidRPr="00976A5D">
        <w:t xml:space="preserve"> Without it, improved detection (Options 1 and 2) will generate more notifications that lead nowhere. The system will see more poisonings but respond to none – a politically damaging outcome that undermines sustained investment. Option 4 is the minimum </w:t>
      </w:r>
      <w:r w:rsidRPr="00976A5D">
        <w:lastRenderedPageBreak/>
        <w:t>investment to convert detection into investigation and source removal. At ~R45,000 setup and ~R35,000/year operating, it is the lowest-cost component of the package and the bridge that prevents the MVP investment from being wasted. It directly enables the Coordination brief.</w:t>
      </w:r>
    </w:p>
    <w:p w14:paraId="1C514906" w14:textId="4947599B" w:rsidR="00976A5D" w:rsidRDefault="00FF647D" w:rsidP="00FF647D">
      <w:pPr>
        <w:pStyle w:val="ListParagraph"/>
        <w:numPr>
          <w:ilvl w:val="0"/>
          <w:numId w:val="2"/>
        </w:numPr>
      </w:pPr>
      <w:r>
        <w:t>Adding to the introduction fir the recommended next step (section 9):</w:t>
      </w:r>
    </w:p>
    <w:p w14:paraId="6CF9DE55" w14:textId="77777777" w:rsidR="00FF647D" w:rsidRDefault="00FF647D" w:rsidP="00FF647D">
      <w:pPr>
        <w:pStyle w:val="ListParagraph"/>
      </w:pPr>
    </w:p>
    <w:p w14:paraId="6B9F0713" w14:textId="0D437236" w:rsidR="00FF647D" w:rsidRPr="00FF647D" w:rsidRDefault="00FF647D" w:rsidP="00FF647D">
      <w:pPr>
        <w:pStyle w:val="ListParagraph"/>
      </w:pPr>
      <w:r w:rsidRPr="00FF647D">
        <w:t>The MVD specifications in Appendix A should be formally adopted by NDoH as the data standard for all NMC pesticide notifications, PIH ingest, and NHLS auto-notifications. This ensures all three streams speak the same data language from the outset, enabling cross-stream linkage and agent-specific attribution.</w:t>
      </w:r>
    </w:p>
    <w:p w14:paraId="01788CD0" w14:textId="019E5C20" w:rsidR="00FF647D" w:rsidRDefault="00FF647D" w:rsidP="00FF647D">
      <w:pPr>
        <w:pStyle w:val="ListParagraph"/>
        <w:numPr>
          <w:ilvl w:val="0"/>
          <w:numId w:val="2"/>
        </w:numPr>
      </w:pPr>
      <w:r>
        <w:t>Add a row or footnote to the “Implementation considerations” table (in section 8):</w:t>
      </w:r>
    </w:p>
    <w:p w14:paraId="09839BF5" w14:textId="77777777" w:rsidR="00FF647D" w:rsidRDefault="00FF647D" w:rsidP="00FF647D">
      <w:pPr>
        <w:pStyle w:val="ListParagraph"/>
        <w:rPr>
          <w:b/>
          <w:bCs/>
        </w:rPr>
      </w:pPr>
    </w:p>
    <w:p w14:paraId="64F46B64" w14:textId="0D18BFD2" w:rsidR="00FF647D" w:rsidRDefault="00FF647D" w:rsidP="00FF647D">
      <w:pPr>
        <w:pStyle w:val="ListParagraph"/>
      </w:pPr>
      <w:r w:rsidRPr="00FF647D">
        <w:t>Integrated surveillance dashboard: Housed at NICD, with access tiers: (a) internal line-list for NICD signal detection; (b) aggregate provincial/district dashboards for local response; (c) public-facing de-identified aggregate view for accountability and advocacy.</w:t>
      </w:r>
    </w:p>
    <w:p w14:paraId="7C40C9A7" w14:textId="3A5AD572" w:rsidR="00FF647D" w:rsidRDefault="00FF647D" w:rsidP="00FF647D">
      <w:pPr>
        <w:pStyle w:val="Heading2"/>
      </w:pPr>
      <w:hyperlink r:id="rId7" w:history="1">
        <w:r w:rsidRPr="00FF647D">
          <w:rPr>
            <w:rStyle w:val="Hyperlink"/>
          </w:rPr>
          <w:t>Policy Brief 2: Coordination</w:t>
        </w:r>
      </w:hyperlink>
    </w:p>
    <w:p w14:paraId="751D6118" w14:textId="77777777" w:rsidR="00C90C3E" w:rsidRDefault="00C90C3E" w:rsidP="00C90C3E">
      <w:pPr>
        <w:pStyle w:val="ListParagraph"/>
        <w:numPr>
          <w:ilvl w:val="0"/>
          <w:numId w:val="2"/>
        </w:numPr>
      </w:pPr>
      <w:r>
        <w:t>Cost of Inaction statement in opening:</w:t>
      </w:r>
    </w:p>
    <w:p w14:paraId="53EAE343" w14:textId="0A647FC6" w:rsidR="00C90C3E" w:rsidRDefault="00C90C3E" w:rsidP="00C90C3E">
      <w:pPr>
        <w:pStyle w:val="ListParagraph"/>
        <w:rPr>
          <w:i/>
          <w:iCs/>
        </w:rPr>
      </w:pPr>
      <w:r>
        <w:t xml:space="preserve">E.g. </w:t>
      </w:r>
      <w:r w:rsidRPr="00C90C3E">
        <w:rPr>
          <w:i/>
          <w:iCs/>
        </w:rPr>
        <w:t>“Without a closed-loop coordination mechanism, notifications lead nowhere. The R80 million/year the health system already spends on poisoning care is not leveraged to prevent future cases.”</w:t>
      </w:r>
    </w:p>
    <w:p w14:paraId="61F4A28B" w14:textId="77777777" w:rsidR="00C90C3E" w:rsidRDefault="00C90C3E" w:rsidP="00C90C3E">
      <w:pPr>
        <w:pStyle w:val="ListParagraph"/>
      </w:pPr>
    </w:p>
    <w:p w14:paraId="3B743C71" w14:textId="395A2FDC" w:rsidR="00FF647D" w:rsidRDefault="00FF647D" w:rsidP="00FF647D">
      <w:pPr>
        <w:pStyle w:val="ListParagraph"/>
        <w:numPr>
          <w:ilvl w:val="0"/>
          <w:numId w:val="2"/>
        </w:numPr>
      </w:pPr>
      <w:r>
        <w:t>Could we clarify the org/institutional home for the workflow:</w:t>
      </w:r>
    </w:p>
    <w:p w14:paraId="0CA76433" w14:textId="02DC077D" w:rsidR="00FF647D" w:rsidRDefault="00FF647D" w:rsidP="00FF647D">
      <w:pPr>
        <w:pStyle w:val="ListParagraph"/>
      </w:pPr>
      <w:r w:rsidRPr="00FF647D">
        <w:t>Institutional home. We recommend NICD be the coordinating hub for the closed-loop workflow. NICD already hosts the NMC platform that generates the initial notification, has epidemiological expertise, and existing relationships with provincial health and DALRRD. A dedicated coordination officer (0.5 FTE, included in the R145,000/year) would sit within NICD’s outbreak response or environmental health unit. NICD would maintain the workflow platform, track KPIs, manage the intelligence feed, and produce quarterly performance reports – but not conduct field investigations or enforcement (those remain with provincial EHPs and DALRRD).</w:t>
      </w:r>
    </w:p>
    <w:p w14:paraId="6CDD6D62" w14:textId="77777777" w:rsidR="00FF647D" w:rsidRDefault="00FF647D" w:rsidP="00FF647D">
      <w:pPr>
        <w:pStyle w:val="ListParagraph"/>
      </w:pPr>
    </w:p>
    <w:p w14:paraId="559F0322" w14:textId="52B1724F" w:rsidR="00FF647D" w:rsidRDefault="00FF647D" w:rsidP="00FF647D">
      <w:pPr>
        <w:pStyle w:val="ListParagraph"/>
        <w:numPr>
          <w:ilvl w:val="0"/>
          <w:numId w:val="2"/>
        </w:numPr>
      </w:pPr>
      <w:r>
        <w:t xml:space="preserve">Including </w:t>
      </w:r>
      <w:r w:rsidR="00C90C3E">
        <w:t>enforcement and accountability mechanisms to the full package description:</w:t>
      </w:r>
    </w:p>
    <w:p w14:paraId="1AB8A62B" w14:textId="60692D7E" w:rsidR="00C90C3E" w:rsidRDefault="00C90C3E" w:rsidP="00C90C3E">
      <w:pPr>
        <w:pStyle w:val="ListParagraph"/>
      </w:pPr>
      <w:r>
        <w:t xml:space="preserve">E.g. </w:t>
      </w:r>
    </w:p>
    <w:p w14:paraId="710D5666" w14:textId="77777777" w:rsidR="00C90C3E" w:rsidRPr="00C90C3E" w:rsidRDefault="00C90C3E" w:rsidP="00C90C3E">
      <w:pPr>
        <w:pStyle w:val="ListParagraph"/>
        <w:numPr>
          <w:ilvl w:val="0"/>
          <w:numId w:val="4"/>
        </w:numPr>
      </w:pPr>
      <w:r w:rsidRPr="00C90C3E">
        <w:rPr>
          <w:b/>
          <w:bCs/>
        </w:rPr>
        <w:t>CIF completion within 48 hours</w:t>
      </w:r>
      <w:r w:rsidRPr="00C90C3E">
        <w:t> and </w:t>
      </w:r>
      <w:r w:rsidRPr="00C90C3E">
        <w:rPr>
          <w:b/>
          <w:bCs/>
        </w:rPr>
        <w:t>DALRRD referral closure within 30 days</w:t>
      </w:r>
      <w:r w:rsidRPr="00C90C3E">
        <w:t> shall be district-level KPIs, reported quarterly on the joint dashboard.</w:t>
      </w:r>
    </w:p>
    <w:p w14:paraId="27B88443" w14:textId="77777777" w:rsidR="00C90C3E" w:rsidRPr="00C90C3E" w:rsidRDefault="00C90C3E" w:rsidP="00C90C3E">
      <w:pPr>
        <w:pStyle w:val="ListParagraph"/>
        <w:numPr>
          <w:ilvl w:val="0"/>
          <w:numId w:val="4"/>
        </w:numPr>
      </w:pPr>
      <w:r w:rsidRPr="00C90C3E">
        <w:t>Quarterly performance reports shall go to the provincial Director-General, copied to the national DGs of Health and Agriculture.</w:t>
      </w:r>
    </w:p>
    <w:p w14:paraId="6CB6C5E5" w14:textId="77777777" w:rsidR="00C90C3E" w:rsidRPr="00C90C3E" w:rsidRDefault="00C90C3E" w:rsidP="00C90C3E">
      <w:pPr>
        <w:pStyle w:val="ListParagraph"/>
        <w:numPr>
          <w:ilvl w:val="0"/>
          <w:numId w:val="4"/>
        </w:numPr>
      </w:pPr>
      <w:r w:rsidRPr="00C90C3E">
        <w:rPr>
          <w:b/>
          <w:bCs/>
        </w:rPr>
        <w:t>Persistent non-compliance</w:t>
      </w:r>
      <w:r w:rsidRPr="00C90C3E">
        <w:t> (&lt;70% completion for two consecutive quarters) triggers escalation to the provincial DG with a required remedial plan.</w:t>
      </w:r>
    </w:p>
    <w:p w14:paraId="1598D3D9" w14:textId="3F2FED37" w:rsidR="00C90C3E" w:rsidRDefault="00C90C3E" w:rsidP="00C90C3E">
      <w:pPr>
        <w:pStyle w:val="ListParagraph"/>
        <w:numPr>
          <w:ilvl w:val="0"/>
          <w:numId w:val="4"/>
        </w:numPr>
      </w:pPr>
      <w:r w:rsidRPr="00C90C3E">
        <w:rPr>
          <w:b/>
          <w:bCs/>
        </w:rPr>
        <w:t>The joint KPI dashboard shall be accessible to parliamentary portfolio committees</w:t>
      </w:r>
      <w:r w:rsidRPr="00C90C3E">
        <w:t> on Health and Agriculture, creating political accountability. Aggregate, de-identified data shall be public.</w:t>
      </w:r>
    </w:p>
    <w:p w14:paraId="6EA6E55A" w14:textId="2EFBE199" w:rsidR="00C90C3E" w:rsidRDefault="00C90C3E" w:rsidP="00C90C3E">
      <w:pPr>
        <w:pStyle w:val="ListParagraph"/>
        <w:numPr>
          <w:ilvl w:val="0"/>
          <w:numId w:val="4"/>
        </w:numPr>
        <w:tabs>
          <w:tab w:val="clear" w:pos="1080"/>
        </w:tabs>
        <w:ind w:left="709"/>
      </w:pPr>
      <w:r>
        <w:t>In</w:t>
      </w:r>
      <w:r>
        <w:t>cluding a “dependencies” and “limitations” additions to the full package description:</w:t>
      </w:r>
    </w:p>
    <w:p w14:paraId="0B953633" w14:textId="77777777" w:rsidR="00C90C3E" w:rsidRDefault="00C90C3E" w:rsidP="00C90C3E">
      <w:pPr>
        <w:pStyle w:val="ListParagraph"/>
        <w:ind w:left="709"/>
        <w:rPr>
          <w:b/>
          <w:bCs/>
        </w:rPr>
      </w:pPr>
    </w:p>
    <w:p w14:paraId="75C73580" w14:textId="16B19D63" w:rsidR="00C90C3E" w:rsidRPr="00C90C3E" w:rsidRDefault="00C90C3E" w:rsidP="00C90C3E">
      <w:pPr>
        <w:pStyle w:val="ListParagraph"/>
        <w:ind w:left="709"/>
      </w:pPr>
      <w:r w:rsidRPr="00C90C3E">
        <w:rPr>
          <w:b/>
          <w:bCs/>
        </w:rPr>
        <w:t>Dependencies</w:t>
      </w:r>
      <w:r>
        <w:rPr>
          <w:b/>
          <w:bCs/>
        </w:rPr>
        <w:t>:</w:t>
      </w:r>
    </w:p>
    <w:p w14:paraId="765C62BD" w14:textId="77777777" w:rsidR="00C90C3E" w:rsidRPr="00C90C3E" w:rsidRDefault="00C90C3E" w:rsidP="00C90C3E">
      <w:pPr>
        <w:pStyle w:val="ListParagraph"/>
        <w:numPr>
          <w:ilvl w:val="0"/>
          <w:numId w:val="5"/>
        </w:numPr>
      </w:pPr>
      <w:r w:rsidRPr="00C90C3E">
        <w:rPr>
          <w:b/>
          <w:bCs/>
        </w:rPr>
        <w:t>Input from Brief 1, Option 4:</w:t>
      </w:r>
      <w:r w:rsidRPr="00C90C3E">
        <w:t> The structured CIF and agricultural extension module are required to provide standardised investigation data. Without them, the coordination workflow lacks consistent, actionable inputs.</w:t>
      </w:r>
    </w:p>
    <w:p w14:paraId="5144D496" w14:textId="77777777" w:rsidR="00C90C3E" w:rsidRDefault="00C90C3E" w:rsidP="00C90C3E">
      <w:pPr>
        <w:pStyle w:val="ListParagraph"/>
        <w:numPr>
          <w:ilvl w:val="0"/>
          <w:numId w:val="5"/>
        </w:numPr>
      </w:pPr>
      <w:r w:rsidRPr="00C90C3E">
        <w:rPr>
          <w:b/>
          <w:bCs/>
        </w:rPr>
        <w:t>Output to Brief 3, T2 enforcement:</w:t>
      </w:r>
      <w:r w:rsidRPr="00C90C3E">
        <w:t xml:space="preserve"> The coordination system provides the source-removal trigger, joint compliance task force, and intelligence feed needed to enforce </w:t>
      </w:r>
      <w:proofErr w:type="spellStart"/>
      <w:r w:rsidRPr="00C90C3E">
        <w:t>terbufos</w:t>
      </w:r>
      <w:proofErr w:type="spellEnd"/>
      <w:r w:rsidRPr="00C90C3E">
        <w:t xml:space="preserve"> restrictions. T2 is conditional on this package being operational.</w:t>
      </w:r>
    </w:p>
    <w:p w14:paraId="6D524FA9" w14:textId="5C8143ED" w:rsidR="00C90C3E" w:rsidRPr="00C90C3E" w:rsidRDefault="00C90C3E" w:rsidP="00C90C3E">
      <w:pPr>
        <w:ind w:left="709"/>
      </w:pPr>
      <w:r>
        <w:rPr>
          <w:b/>
          <w:bCs/>
        </w:rPr>
        <w:t>Limitations:</w:t>
      </w:r>
      <w:r w:rsidRPr="00C90C3E">
        <w:t> It ensures every detected case triggers an investigation and, where indicated, a regulatory response. It does not: (a) increase detection (that’s Brief 1); (b) guarantee successful prosecution (depends on DALRRD capacity and evidentiary standards); or (c) address the root causes of intentional self-harm. It is a necessary, not sufficient, condition for effective governance.</w:t>
      </w:r>
    </w:p>
    <w:p w14:paraId="2AC0BDE7" w14:textId="77777777" w:rsidR="009D2291" w:rsidRDefault="009D229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F4210DF" w14:textId="77777777" w:rsidR="009D2291" w:rsidRDefault="009D2291" w:rsidP="009D2291">
      <w:pPr>
        <w:pStyle w:val="Heading2"/>
        <w:sectPr w:rsidR="009D2291" w:rsidSect="004849A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2A5B93F" w14:textId="4F3B2329" w:rsidR="00C90C3E" w:rsidRDefault="009D2291" w:rsidP="009D2291">
      <w:pPr>
        <w:pStyle w:val="Heading2"/>
      </w:pPr>
      <w:r>
        <w:lastRenderedPageBreak/>
        <w:t>Appendix: “Implementation at a Glance” (suggestion for inclusion)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324"/>
        <w:gridCol w:w="2321"/>
        <w:gridCol w:w="1402"/>
        <w:gridCol w:w="1468"/>
        <w:gridCol w:w="1736"/>
        <w:gridCol w:w="1980"/>
        <w:gridCol w:w="1674"/>
      </w:tblGrid>
      <w:tr w:rsidR="009D2291" w:rsidRPr="009D2291" w14:paraId="561D1F8E" w14:textId="77777777" w:rsidTr="009D22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D3D59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599F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FDE2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Lead Agency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87C4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Year 1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A3AAD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Steady-State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9DBD6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Expected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3642E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FE77" w14:textId="77777777" w:rsidR="009D2291" w:rsidRPr="009D2291" w:rsidRDefault="009D2291" w:rsidP="009D2291">
            <w:pPr>
              <w:jc w:val="center"/>
              <w:rPr>
                <w:b/>
                <w:bCs/>
                <w:sz w:val="22"/>
                <w:szCs w:val="22"/>
              </w:rPr>
            </w:pPr>
            <w:r w:rsidRPr="009D2291">
              <w:rPr>
                <w:b/>
                <w:bCs/>
                <w:sz w:val="22"/>
                <w:szCs w:val="22"/>
              </w:rPr>
              <w:t>Depends On</w:t>
            </w:r>
          </w:p>
        </w:tc>
      </w:tr>
      <w:tr w:rsidR="009D2291" w:rsidRPr="009D2291" w14:paraId="5F993B90" w14:textId="77777777" w:rsidTr="009D22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5C09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Surveillance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89C1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Adopt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8BB4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NICD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84305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R377,000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ED5B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R137,000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B464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proofErr w:type="spellStart"/>
            <w:r w:rsidRPr="009D2291">
              <w:rPr>
                <w:sz w:val="22"/>
                <w:szCs w:val="22"/>
              </w:rPr>
              <w:t>P_detect</w:t>
            </w:r>
            <w:proofErr w:type="spellEnd"/>
            <w:r w:rsidRPr="009D2291">
              <w:rPr>
                <w:sz w:val="22"/>
                <w:szCs w:val="22"/>
              </w:rPr>
              <w:t xml:space="preserve"> 5%→19%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5596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12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A6608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–</w:t>
            </w:r>
          </w:p>
        </w:tc>
      </w:tr>
      <w:tr w:rsidR="009D2291" w:rsidRPr="009D2291" w14:paraId="72A389F6" w14:textId="77777777" w:rsidTr="009D22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EEA7E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Surveillance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9BD2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Adopt Option 4 (CIF)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49C08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NDoH/NICD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2C974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R80,000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4C38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R35,000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3DB74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Enables source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EC8C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4–8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D96EB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MVP</w:t>
            </w:r>
          </w:p>
        </w:tc>
      </w:tr>
      <w:tr w:rsidR="009D2291" w:rsidRPr="009D2291" w14:paraId="0CBB68D8" w14:textId="77777777" w:rsidTr="009D22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0A558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E7ED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Adopt Full 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4977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NICD (hub), DALRRD (enforcement)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0FF4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[TBD]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E68B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R145,000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959B6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~957 deaths averted/yr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34E37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[TBD]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C8F8A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Brief 1 Opt. 4</w:t>
            </w:r>
          </w:p>
        </w:tc>
      </w:tr>
      <w:tr w:rsidR="009D2291" w:rsidRPr="009D2291" w14:paraId="4BF9C494" w14:textId="77777777" w:rsidTr="009D22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D36E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proofErr w:type="spellStart"/>
            <w:r w:rsidRPr="009D2291">
              <w:rPr>
                <w:sz w:val="22"/>
                <w:szCs w:val="22"/>
              </w:rPr>
              <w:t>Terbufos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D5D7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Adopt T2 + 24-mo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05964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DALRRD, NDoH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4BAF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[TBD]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E6A3E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[TBD]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950E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≥50% reduction or auto T3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0D56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Immediate/24-mo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4827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Brief 2 (Coordination)</w:t>
            </w:r>
          </w:p>
        </w:tc>
      </w:tr>
      <w:tr w:rsidR="009D2291" w:rsidRPr="009D2291" w14:paraId="1D0F9407" w14:textId="77777777" w:rsidTr="009D22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73563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Financing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FCB7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Ring-fence pesticide levy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EBF2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DALRRD/Treasury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6794E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8FBB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[TBD]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EF670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Sustainable funding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0A1D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[TBD]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FC28" w14:textId="77777777" w:rsidR="009D2291" w:rsidRPr="009D2291" w:rsidRDefault="009D2291" w:rsidP="009D2291">
            <w:pPr>
              <w:rPr>
                <w:sz w:val="22"/>
                <w:szCs w:val="22"/>
              </w:rPr>
            </w:pPr>
            <w:r w:rsidRPr="009D2291">
              <w:rPr>
                <w:sz w:val="22"/>
                <w:szCs w:val="22"/>
              </w:rPr>
              <w:t>Act 36 amendment</w:t>
            </w:r>
          </w:p>
        </w:tc>
      </w:tr>
    </w:tbl>
    <w:p w14:paraId="7D9E83CA" w14:textId="77777777" w:rsidR="009D2291" w:rsidRPr="009D2291" w:rsidRDefault="009D2291" w:rsidP="009D2291"/>
    <w:sectPr w:rsidR="009D2291" w:rsidRPr="009D2291" w:rsidSect="009D229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40F4"/>
    <w:multiLevelType w:val="multilevel"/>
    <w:tmpl w:val="214810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F750D"/>
    <w:multiLevelType w:val="multilevel"/>
    <w:tmpl w:val="77B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F7F6C"/>
    <w:multiLevelType w:val="hybridMultilevel"/>
    <w:tmpl w:val="D91ED4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D08FE"/>
    <w:multiLevelType w:val="hybridMultilevel"/>
    <w:tmpl w:val="3530C4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50916"/>
    <w:multiLevelType w:val="multilevel"/>
    <w:tmpl w:val="98AA170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 w16cid:durableId="699819593">
    <w:abstractNumId w:val="3"/>
  </w:num>
  <w:num w:numId="2" w16cid:durableId="305159459">
    <w:abstractNumId w:val="2"/>
  </w:num>
  <w:num w:numId="3" w16cid:durableId="1928994414">
    <w:abstractNumId w:val="1"/>
  </w:num>
  <w:num w:numId="4" w16cid:durableId="676343236">
    <w:abstractNumId w:val="0"/>
  </w:num>
  <w:num w:numId="5" w16cid:durableId="1281574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A6"/>
    <w:rsid w:val="001E65E5"/>
    <w:rsid w:val="00285F80"/>
    <w:rsid w:val="003574AB"/>
    <w:rsid w:val="004849A6"/>
    <w:rsid w:val="006011DB"/>
    <w:rsid w:val="00633A4D"/>
    <w:rsid w:val="006E620D"/>
    <w:rsid w:val="00976A5D"/>
    <w:rsid w:val="009D2291"/>
    <w:rsid w:val="00C90C3E"/>
    <w:rsid w:val="00CB7A44"/>
    <w:rsid w:val="00D53C96"/>
    <w:rsid w:val="00F96E9C"/>
    <w:rsid w:val="00FF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E15AC"/>
  <w15:chartTrackingRefBased/>
  <w15:docId w15:val="{03F45CD1-688A-47C3-910A-91C34C6EC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4849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A6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A6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A6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A6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A6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A6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A6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48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A6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A6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48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A6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484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A6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4849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9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idaybrummer.github.io/D2P_project/posts/coordination_polic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idaybrummer.github.io/D2P_project/posts/surveillance_policy.html" TargetMode="External"/><Relationship Id="rId5" Type="http://schemas.openxmlformats.org/officeDocument/2006/relationships/hyperlink" Target="https://bridaybrummer.github.io/D2P_project/posts/policy_brief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Lethu Ntshinga | SAMRC</dc:creator>
  <cp:keywords/>
  <dc:description/>
  <cp:lastModifiedBy>Lethu Ntshinga | SAMRC</cp:lastModifiedBy>
  <cp:revision>2</cp:revision>
  <dcterms:created xsi:type="dcterms:W3CDTF">2026-06-19T05:39:00Z</dcterms:created>
  <dcterms:modified xsi:type="dcterms:W3CDTF">2026-06-19T06:36:00Z</dcterms:modified>
</cp:coreProperties>
</file>