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Improving pesticide poisoning surveillance and response in South Africa</w:t>
      </w:r>
    </w:p>
    <w:p>
      <w:pPr>
        <w:pStyle w:val="SubtitleCustom"/>
      </w:pPr>
      <w:r>
        <w:t>Short-term institutional policy options that can be implemented without major legal reform</w:t>
      </w:r>
    </w:p>
    <w:tbl>
      <w:tblPr>
        <w:tblStyle w:val="TableGrid"/>
        <w:tblW w:type="auto" w:w="0"/>
        <w:jc w:val="center"/>
        <w:tblLayout w:type="fixed"/>
        <w:tblLook w:firstColumn="1" w:firstRow="1" w:lastColumn="0" w:lastRow="0" w:noHBand="0" w:noVBand="1" w:val="04A0"/>
        <w:tblBorders>
          <w:top w:val="single" w:sz="6" w:space="0" w:color="C7D6D8"/>
          <w:left w:val="single" w:sz="6" w:space="0" w:color="C7D6D8"/>
          <w:bottom w:val="single" w:sz="6" w:space="0" w:color="C7D6D8"/>
          <w:right w:val="single" w:sz="6" w:space="0" w:color="C7D6D8"/>
          <w:insideH w:val="single" w:sz="6" w:space="0" w:color="C7D6D8"/>
          <w:insideV w:val="single" w:sz="6" w:space="0" w:color="C7D6D8"/>
        </w:tblBorders>
      </w:tblPr>
      <w:tblGrid>
        <w:gridCol w:w="4139"/>
        <w:gridCol w:w="6123"/>
      </w:tblGrid>
      <w:tr>
        <w:trPr>
          <w:tblHeader w:val="true"/>
        </w:trPr>
        <w:tc>
          <w:tcPr>
            <w:tcW w:type="dxa" w:w="4933"/>
            <w:tcMar>
              <w:top w:w="80" w:type="dxa"/>
              <w:start w:w="110" w:type="dxa"/>
              <w:bottom w:w="80" w:type="dxa"/>
              <w:end w:w="110" w:type="dxa"/>
            </w:tcMar>
            <w:shd w:fill="E9F5F6"/>
            <w:vAlign w:val="center"/>
            <w:shd w:fill="E9F5F6"/>
          </w:tcPr>
          <w:p>
            <w:pPr>
              <w:spacing w:before="0" w:after="20" w:line="252" w:lineRule="auto"/>
            </w:pPr>
            <w:r>
              <w:rPr>
                <w:rFonts w:ascii="Aptos" w:hAnsi="Aptos"/>
                <w:b/>
                <w:color w:val="104E55"/>
                <w:sz w:val="19"/>
              </w:rPr>
              <w:t>Policy focus</w:t>
            </w:r>
          </w:p>
        </w:tc>
        <w:tc>
          <w:tcPr>
            <w:tcW w:type="dxa" w:w="4933"/>
            <w:tcMar>
              <w:top w:w="80" w:type="dxa"/>
              <w:start w:w="110" w:type="dxa"/>
              <w:bottom w:w="80" w:type="dxa"/>
              <w:end w:w="110" w:type="dxa"/>
            </w:tcMar>
            <w:shd w:fill="F6FAFA"/>
            <w:vAlign w:val="center"/>
            <w:shd w:fill="E9F5F6"/>
          </w:tcPr>
          <w:p>
            <w:pPr>
              <w:spacing w:before="0" w:after="20" w:line="252" w:lineRule="auto"/>
            </w:pPr>
            <w:r>
              <w:rPr>
                <w:rFonts w:ascii="Aptos" w:hAnsi="Aptos"/>
                <w:b/>
                <w:color w:val="104E55"/>
                <w:sz w:val="19"/>
              </w:rPr>
              <w:t>Actions that can be implemented through institutional policy, routine data-sharing, technical alignment and operational coordination, rather than new legislation.</w:t>
            </w:r>
          </w:p>
        </w:tc>
      </w:tr>
      <w:tr>
        <w:tc>
          <w:tcPr>
            <w:tcW w:type="dxa" w:w="4139"/>
            <w:shd w:fill="E9F5F6"/>
            <w:tcMar>
              <w:top w:w="80" w:type="dxa"/>
              <w:start w:w="110" w:type="dxa"/>
              <w:bottom w:w="80" w:type="dxa"/>
              <w:end w:w="110" w:type="dxa"/>
            </w:tcMar>
            <w:vAlign w:val="center"/>
          </w:tcPr>
          <w:p>
            <w:pPr>
              <w:spacing w:before="0" w:after="20" w:line="252" w:lineRule="auto"/>
            </w:pPr>
            <w:r>
              <w:rPr>
                <w:rFonts w:ascii="Aptos" w:hAnsi="Aptos"/>
                <w:b/>
                <w:sz w:val="19"/>
              </w:rPr>
              <w:t>Immediate platforms</w:t>
            </w:r>
          </w:p>
        </w:tc>
        <w:tc>
          <w:tcPr>
            <w:tcW w:type="dxa" w:w="6123"/>
            <w:shd w:fill="F6FAFA"/>
            <w:tcMar>
              <w:top w:w="80" w:type="dxa"/>
              <w:start w:w="110" w:type="dxa"/>
              <w:bottom w:w="80" w:type="dxa"/>
              <w:end w:w="110" w:type="dxa"/>
            </w:tcMar>
            <w:vAlign w:val="center"/>
          </w:tcPr>
          <w:p>
            <w:pPr>
              <w:spacing w:before="0" w:after="20" w:line="252" w:lineRule="auto"/>
            </w:pPr>
            <w:r>
              <w:rPr>
                <w:rFonts w:ascii="Aptos" w:hAnsi="Aptos"/>
                <w:sz w:val="19"/>
              </w:rPr>
              <w:t>Next MAC meeting; Data-to-Policy interviews; mortality data analysis workshop.</w:t>
            </w:r>
          </w:p>
        </w:tc>
      </w:tr>
    </w:tbl>
    <w:p/>
    <w:p>
      <w:pPr>
        <w:pStyle w:val="SectionCustom"/>
      </w:pPr>
      <w:r>
        <w:t>Key messages</w:t>
      </w:r>
    </w:p>
    <w:p>
      <w:pPr>
        <w:ind w:left="227" w:hanging="142"/>
      </w:pPr>
      <w:r>
        <w:rPr>
          <w:b/>
        </w:rPr>
        <w:t xml:space="preserve">• </w:t>
      </w:r>
      <w:r>
        <w:t>Pesticide poisoning is already an actionable public-health priority in South Africa: suspected agricultural or stock remedy poisoning is now a category 1 notifiable medical condition requiring reporting within 24 hours.[1]</w:t>
      </w:r>
    </w:p>
    <w:p>
      <w:pPr>
        <w:ind w:left="227" w:hanging="142"/>
      </w:pPr>
      <w:r>
        <w:rPr>
          <w:b/>
        </w:rPr>
        <w:t xml:space="preserve">• </w:t>
      </w:r>
      <w:r>
        <w:t>The immediate constraint is not primarily the absence of law, but weak execution across existing systems: under-reporting, incomplete case information, fragmented laboratory and field data, and inconsistent environmental health follow-up.[1,3-5]</w:t>
      </w:r>
    </w:p>
    <w:p>
      <w:pPr>
        <w:ind w:left="227" w:hanging="142"/>
      </w:pPr>
      <w:r>
        <w:rPr>
          <w:b/>
        </w:rPr>
        <w:t xml:space="preserve">• </w:t>
      </w:r>
      <w:r>
        <w:t>Recent South African mortality analyses show that pesticides were the most common type of poisoning in both children and adults, underscoring the need for faster case finding and hotspot detection.[2]</w:t>
      </w:r>
    </w:p>
    <w:p>
      <w:pPr>
        <w:ind w:left="227" w:hanging="142"/>
      </w:pPr>
      <w:r>
        <w:rPr>
          <w:b/>
        </w:rPr>
        <w:t xml:space="preserve">• </w:t>
      </w:r>
      <w:r>
        <w:t>The most feasible near-term package is to integrate existing signals (NMC, cholinesterase, NHLS/TRAK-held FCL, forensic data and EHP investigations), standardise EHP reporting, and publish a technical code/test-set crosswalk for poisoning-related NMCs.</w:t>
      </w:r>
    </w:p>
    <w:p>
      <w:pPr>
        <w:pStyle w:val="SmallCustom"/>
      </w:pPr>
      <w:r>
        <w:rPr>
          <w:b/>
        </w:rPr>
        <w:t>Table 1. Existing data streams that can be used immediately for a poisoning surveillance proof of concept</w:t>
      </w:r>
    </w:p>
    <w:tbl>
      <w:tblPr>
        <w:tblStyle w:val="TableGrid"/>
        <w:tblW w:type="auto" w:w="0"/>
        <w:jc w:val="center"/>
        <w:tblLayout w:type="fixed"/>
        <w:tblLook w:firstColumn="1" w:firstRow="1" w:lastColumn="0" w:lastRow="0" w:noHBand="0" w:noVBand="1" w:val="04A0"/>
        <w:tblBorders>
          <w:top w:val="single" w:sz="6" w:space="0" w:color="C7D6D8"/>
          <w:left w:val="single" w:sz="6" w:space="0" w:color="C7D6D8"/>
          <w:bottom w:val="single" w:sz="6" w:space="0" w:color="C7D6D8"/>
          <w:right w:val="single" w:sz="6" w:space="0" w:color="C7D6D8"/>
          <w:insideH w:val="single" w:sz="6" w:space="0" w:color="C7D6D8"/>
          <w:insideV w:val="single" w:sz="6" w:space="0" w:color="C7D6D8"/>
        </w:tblBorders>
      </w:tblPr>
      <w:tblGrid>
        <w:gridCol w:w="1814"/>
        <w:gridCol w:w="2665"/>
        <w:gridCol w:w="3005"/>
        <w:gridCol w:w="2268"/>
      </w:tblGrid>
      <w:tr>
        <w:trPr>
          <w:tblHeader w:val="true"/>
        </w:trPr>
        <w:tc>
          <w:tcPr>
            <w:tcW w:type="dxa" w:w="2466"/>
            <w:tcMar>
              <w:top w:w="80" w:type="dxa"/>
              <w:start w:w="110" w:type="dxa"/>
              <w:bottom w:w="80" w:type="dxa"/>
              <w:end w:w="110" w:type="dxa"/>
            </w:tcMar>
            <w:vAlign w:val="center"/>
            <w:shd w:fill="DCEFF1"/>
          </w:tcPr>
          <w:p>
            <w:pPr>
              <w:spacing w:before="0" w:after="20" w:line="252" w:lineRule="auto"/>
            </w:pPr>
            <w:r>
              <w:rPr>
                <w:rFonts w:ascii="Aptos" w:hAnsi="Aptos"/>
                <w:b/>
                <w:color w:val="104E55"/>
                <w:sz w:val="18"/>
              </w:rPr>
              <w:t>Data stream</w:t>
            </w:r>
          </w:p>
        </w:tc>
        <w:tc>
          <w:tcPr>
            <w:tcW w:type="dxa" w:w="2466"/>
            <w:tcMar>
              <w:top w:w="80" w:type="dxa"/>
              <w:start w:w="110" w:type="dxa"/>
              <w:bottom w:w="80" w:type="dxa"/>
              <w:end w:w="110" w:type="dxa"/>
            </w:tcMar>
            <w:vAlign w:val="center"/>
            <w:shd w:fill="DCEFF1"/>
          </w:tcPr>
          <w:p>
            <w:pPr>
              <w:spacing w:before="0" w:after="20" w:line="252" w:lineRule="auto"/>
            </w:pPr>
            <w:r>
              <w:rPr>
                <w:rFonts w:ascii="Aptos" w:hAnsi="Aptos"/>
                <w:b/>
                <w:color w:val="104E55"/>
                <w:sz w:val="18"/>
              </w:rPr>
              <w:t>Current route / custodian</w:t>
            </w:r>
          </w:p>
        </w:tc>
        <w:tc>
          <w:tcPr>
            <w:tcW w:type="dxa" w:w="2466"/>
            <w:tcMar>
              <w:top w:w="80" w:type="dxa"/>
              <w:start w:w="110" w:type="dxa"/>
              <w:bottom w:w="80" w:type="dxa"/>
              <w:end w:w="110" w:type="dxa"/>
            </w:tcMar>
            <w:vAlign w:val="center"/>
            <w:shd w:fill="DCEFF1"/>
          </w:tcPr>
          <w:p>
            <w:pPr>
              <w:spacing w:before="0" w:after="20" w:line="252" w:lineRule="auto"/>
            </w:pPr>
            <w:r>
              <w:rPr>
                <w:rFonts w:ascii="Aptos" w:hAnsi="Aptos"/>
                <w:b/>
                <w:color w:val="104E55"/>
                <w:sz w:val="18"/>
              </w:rPr>
              <w:t>Immediate surveillance value</w:t>
            </w:r>
          </w:p>
        </w:tc>
        <w:tc>
          <w:tcPr>
            <w:tcW w:type="dxa" w:w="2466"/>
            <w:tcMar>
              <w:top w:w="80" w:type="dxa"/>
              <w:start w:w="110" w:type="dxa"/>
              <w:bottom w:w="80" w:type="dxa"/>
              <w:end w:w="110" w:type="dxa"/>
            </w:tcMar>
            <w:vAlign w:val="center"/>
            <w:shd w:fill="DCEFF1"/>
          </w:tcPr>
          <w:p>
            <w:pPr>
              <w:spacing w:before="0" w:after="20" w:line="252" w:lineRule="auto"/>
            </w:pPr>
            <w:r>
              <w:rPr>
                <w:rFonts w:ascii="Aptos" w:hAnsi="Aptos"/>
                <w:b/>
                <w:color w:val="104E55"/>
                <w:sz w:val="18"/>
              </w:rPr>
              <w:t>Main gap to solve</w:t>
            </w:r>
          </w:p>
        </w:tc>
      </w:tr>
      <w:tr>
        <w:tc>
          <w:tcPr>
            <w:tcW w:type="dxa" w:w="1814"/>
            <w:tcMar>
              <w:top w:w="80" w:type="dxa"/>
              <w:start w:w="110" w:type="dxa"/>
              <w:bottom w:w="80" w:type="dxa"/>
              <w:end w:w="110" w:type="dxa"/>
            </w:tcMar>
            <w:vAlign w:val="center"/>
          </w:tcPr>
          <w:p>
            <w:pPr>
              <w:spacing w:before="0" w:after="20" w:line="252" w:lineRule="auto"/>
            </w:pPr>
            <w:r>
              <w:rPr>
                <w:rFonts w:ascii="Aptos" w:hAnsi="Aptos"/>
                <w:sz w:val="18"/>
              </w:rPr>
              <w:t>NMC notifications</w:t>
            </w:r>
          </w:p>
        </w:tc>
        <w:tc>
          <w:tcPr>
            <w:tcW w:type="dxa" w:w="2665"/>
            <w:tcMar>
              <w:top w:w="80" w:type="dxa"/>
              <w:start w:w="110" w:type="dxa"/>
              <w:bottom w:w="80" w:type="dxa"/>
              <w:end w:w="110" w:type="dxa"/>
            </w:tcMar>
            <w:vAlign w:val="center"/>
          </w:tcPr>
          <w:p>
            <w:pPr>
              <w:spacing w:before="0" w:after="20" w:line="252" w:lineRule="auto"/>
            </w:pPr>
            <w:r>
              <w:rPr>
                <w:rFonts w:ascii="Aptos" w:hAnsi="Aptos"/>
                <w:sz w:val="18"/>
              </w:rPr>
              <w:t>NICD NMC application; NMC focal persons (including Mabore)</w:t>
            </w:r>
          </w:p>
        </w:tc>
        <w:tc>
          <w:tcPr>
            <w:tcW w:type="dxa" w:w="3005"/>
            <w:tcMar>
              <w:top w:w="80" w:type="dxa"/>
              <w:start w:w="110" w:type="dxa"/>
              <w:bottom w:w="80" w:type="dxa"/>
              <w:end w:w="110" w:type="dxa"/>
            </w:tcMar>
            <w:vAlign w:val="center"/>
          </w:tcPr>
          <w:p>
            <w:pPr>
              <w:spacing w:before="0" w:after="20" w:line="252" w:lineRule="auto"/>
            </w:pPr>
            <w:r>
              <w:rPr>
                <w:rFonts w:ascii="Aptos" w:hAnsi="Aptos"/>
                <w:sz w:val="18"/>
              </w:rPr>
              <w:t>Near-real-time case notification, basic demographics, time and place</w:t>
            </w:r>
          </w:p>
        </w:tc>
        <w:tc>
          <w:tcPr>
            <w:tcW w:type="dxa" w:w="2268"/>
            <w:tcMar>
              <w:top w:w="80" w:type="dxa"/>
              <w:start w:w="110" w:type="dxa"/>
              <w:bottom w:w="80" w:type="dxa"/>
              <w:end w:w="110" w:type="dxa"/>
            </w:tcMar>
            <w:vAlign w:val="center"/>
          </w:tcPr>
          <w:p>
            <w:pPr>
              <w:spacing w:before="0" w:after="20" w:line="252" w:lineRule="auto"/>
            </w:pPr>
            <w:r>
              <w:rPr>
                <w:rFonts w:ascii="Aptos" w:hAnsi="Aptos"/>
                <w:sz w:val="18"/>
              </w:rPr>
              <w:t>Under-reporting; incomplete fields; variable use</w:t>
            </w:r>
          </w:p>
        </w:tc>
      </w:tr>
      <w:tr>
        <w:tc>
          <w:tcPr>
            <w:tcW w:type="dxa" w:w="1814"/>
            <w:tcMar>
              <w:top w:w="80" w:type="dxa"/>
              <w:start w:w="110" w:type="dxa"/>
              <w:bottom w:w="80" w:type="dxa"/>
              <w:end w:w="110" w:type="dxa"/>
            </w:tcMar>
            <w:vAlign w:val="center"/>
            <w:shd w:fill="F7FBFB"/>
          </w:tcPr>
          <w:p>
            <w:pPr>
              <w:spacing w:before="0" w:after="20" w:line="252" w:lineRule="auto"/>
            </w:pPr>
            <w:r>
              <w:rPr>
                <w:rFonts w:ascii="Aptos" w:hAnsi="Aptos"/>
                <w:sz w:val="18"/>
              </w:rPr>
              <w:t>Cholinesterase results</w:t>
            </w:r>
          </w:p>
        </w:tc>
        <w:tc>
          <w:tcPr>
            <w:tcW w:type="dxa" w:w="2665"/>
            <w:tcMar>
              <w:top w:w="80" w:type="dxa"/>
              <w:start w:w="110" w:type="dxa"/>
              <w:bottom w:w="80" w:type="dxa"/>
              <w:end w:w="110" w:type="dxa"/>
            </w:tcMar>
            <w:vAlign w:val="center"/>
            <w:shd w:fill="F7FBFB"/>
          </w:tcPr>
          <w:p>
            <w:pPr>
              <w:spacing w:before="0" w:after="20" w:line="252" w:lineRule="auto"/>
            </w:pPr>
            <w:r>
              <w:rPr>
                <w:rFonts w:ascii="Aptos" w:hAnsi="Aptos"/>
                <w:sz w:val="18"/>
              </w:rPr>
              <w:t>NHLS laboratory systems</w:t>
            </w:r>
          </w:p>
        </w:tc>
        <w:tc>
          <w:tcPr>
            <w:tcW w:type="dxa" w:w="3005"/>
            <w:tcMar>
              <w:top w:w="80" w:type="dxa"/>
              <w:start w:w="110" w:type="dxa"/>
              <w:bottom w:w="80" w:type="dxa"/>
              <w:end w:w="110" w:type="dxa"/>
            </w:tcMar>
            <w:vAlign w:val="center"/>
            <w:shd w:fill="F7FBFB"/>
          </w:tcPr>
          <w:p>
            <w:pPr>
              <w:spacing w:before="0" w:after="20" w:line="252" w:lineRule="auto"/>
            </w:pPr>
            <w:r>
              <w:rPr>
                <w:rFonts w:ascii="Aptos" w:hAnsi="Aptos"/>
                <w:sz w:val="18"/>
              </w:rPr>
              <w:t>Signal for organophosphate/carbamate exposure</w:t>
            </w:r>
          </w:p>
        </w:tc>
        <w:tc>
          <w:tcPr>
            <w:tcW w:type="dxa" w:w="2268"/>
            <w:tcMar>
              <w:top w:w="80" w:type="dxa"/>
              <w:start w:w="110" w:type="dxa"/>
              <w:bottom w:w="80" w:type="dxa"/>
              <w:end w:w="110" w:type="dxa"/>
            </w:tcMar>
            <w:vAlign w:val="center"/>
            <w:shd w:fill="F7FBFB"/>
          </w:tcPr>
          <w:p>
            <w:pPr>
              <w:spacing w:before="0" w:after="20" w:line="252" w:lineRule="auto"/>
            </w:pPr>
            <w:r>
              <w:rPr>
                <w:rFonts w:ascii="Aptos" w:hAnsi="Aptos"/>
                <w:sz w:val="18"/>
              </w:rPr>
              <w:t>Does not capture all pesticide classes; linkage rules need agreement</w:t>
            </w:r>
          </w:p>
        </w:tc>
      </w:tr>
      <w:tr>
        <w:tc>
          <w:tcPr>
            <w:tcW w:type="dxa" w:w="1814"/>
            <w:tcMar>
              <w:top w:w="80" w:type="dxa"/>
              <w:start w:w="110" w:type="dxa"/>
              <w:bottom w:w="80" w:type="dxa"/>
              <w:end w:w="110" w:type="dxa"/>
            </w:tcMar>
            <w:vAlign w:val="center"/>
          </w:tcPr>
          <w:p>
            <w:pPr>
              <w:spacing w:before="0" w:after="20" w:line="252" w:lineRule="auto"/>
            </w:pPr>
            <w:r>
              <w:rPr>
                <w:rFonts w:ascii="Aptos" w:hAnsi="Aptos"/>
                <w:sz w:val="18"/>
              </w:rPr>
              <w:t>FCL (NHLS/TRAK-held)</w:t>
            </w:r>
          </w:p>
        </w:tc>
        <w:tc>
          <w:tcPr>
            <w:tcW w:type="dxa" w:w="2665"/>
            <w:tcMar>
              <w:top w:w="80" w:type="dxa"/>
              <w:start w:w="110" w:type="dxa"/>
              <w:bottom w:w="80" w:type="dxa"/>
              <w:end w:w="110" w:type="dxa"/>
            </w:tcMar>
            <w:vAlign w:val="center"/>
          </w:tcPr>
          <w:p>
            <w:pPr>
              <w:spacing w:before="0" w:after="20" w:line="252" w:lineRule="auto"/>
            </w:pPr>
            <w:r>
              <w:rPr>
                <w:rFonts w:ascii="Aptos" w:hAnsi="Aptos"/>
                <w:sz w:val="18"/>
              </w:rPr>
              <w:t>NHLS / TRAK</w:t>
            </w:r>
          </w:p>
        </w:tc>
        <w:tc>
          <w:tcPr>
            <w:tcW w:type="dxa" w:w="3005"/>
            <w:tcMar>
              <w:top w:w="80" w:type="dxa"/>
              <w:start w:w="110" w:type="dxa"/>
              <w:bottom w:w="80" w:type="dxa"/>
              <w:end w:w="110" w:type="dxa"/>
            </w:tcMar>
            <w:vAlign w:val="center"/>
          </w:tcPr>
          <w:p>
            <w:pPr>
              <w:spacing w:before="0" w:after="20" w:line="252" w:lineRule="auto"/>
            </w:pPr>
            <w:r>
              <w:rPr>
                <w:rFonts w:ascii="Aptos" w:hAnsi="Aptos"/>
                <w:sz w:val="18"/>
              </w:rPr>
              <w:t>Additional laboratory or toxicology signal for case finding and corroboration</w:t>
            </w:r>
          </w:p>
        </w:tc>
        <w:tc>
          <w:tcPr>
            <w:tcW w:type="dxa" w:w="2268"/>
            <w:tcMar>
              <w:top w:w="80" w:type="dxa"/>
              <w:start w:w="110" w:type="dxa"/>
              <w:bottom w:w="80" w:type="dxa"/>
              <w:end w:w="110" w:type="dxa"/>
            </w:tcMar>
            <w:vAlign w:val="center"/>
          </w:tcPr>
          <w:p>
            <w:pPr>
              <w:spacing w:before="0" w:after="20" w:line="252" w:lineRule="auto"/>
            </w:pPr>
            <w:r>
              <w:rPr>
                <w:rFonts w:ascii="Aptos" w:hAnsi="Aptos"/>
                <w:sz w:val="18"/>
              </w:rPr>
              <w:t>Access pathway and minimum extract specification need clarification</w:t>
            </w:r>
          </w:p>
        </w:tc>
      </w:tr>
      <w:tr>
        <w:tc>
          <w:tcPr>
            <w:tcW w:type="dxa" w:w="1814"/>
            <w:tcMar>
              <w:top w:w="80" w:type="dxa"/>
              <w:start w:w="110" w:type="dxa"/>
              <w:bottom w:w="80" w:type="dxa"/>
              <w:end w:w="110" w:type="dxa"/>
            </w:tcMar>
            <w:vAlign w:val="center"/>
            <w:shd w:fill="F7FBFB"/>
          </w:tcPr>
          <w:p>
            <w:pPr>
              <w:spacing w:before="0" w:after="20" w:line="252" w:lineRule="auto"/>
            </w:pPr>
            <w:r>
              <w:rPr>
                <w:rFonts w:ascii="Aptos" w:hAnsi="Aptos"/>
                <w:sz w:val="18"/>
              </w:rPr>
              <w:t>Forensic data</w:t>
            </w:r>
          </w:p>
        </w:tc>
        <w:tc>
          <w:tcPr>
            <w:tcW w:type="dxa" w:w="2665"/>
            <w:tcMar>
              <w:top w:w="80" w:type="dxa"/>
              <w:start w:w="110" w:type="dxa"/>
              <w:bottom w:w="80" w:type="dxa"/>
              <w:end w:w="110" w:type="dxa"/>
            </w:tcMar>
            <w:vAlign w:val="center"/>
            <w:shd w:fill="F7FBFB"/>
          </w:tcPr>
          <w:p>
            <w:pPr>
              <w:spacing w:before="0" w:after="20" w:line="252" w:lineRule="auto"/>
            </w:pPr>
            <w:r>
              <w:rPr>
                <w:rFonts w:ascii="Aptos" w:hAnsi="Aptos"/>
                <w:sz w:val="18"/>
              </w:rPr>
              <w:t>Thakadu / Kagiso and forensic pathways</w:t>
            </w:r>
          </w:p>
        </w:tc>
        <w:tc>
          <w:tcPr>
            <w:tcW w:type="dxa" w:w="3005"/>
            <w:tcMar>
              <w:top w:w="80" w:type="dxa"/>
              <w:start w:w="110" w:type="dxa"/>
              <w:bottom w:w="80" w:type="dxa"/>
              <w:end w:w="110" w:type="dxa"/>
            </w:tcMar>
            <w:vAlign w:val="center"/>
            <w:shd w:fill="F7FBFB"/>
          </w:tcPr>
          <w:p>
            <w:pPr>
              <w:spacing w:before="0" w:after="20" w:line="252" w:lineRule="auto"/>
            </w:pPr>
            <w:r>
              <w:rPr>
                <w:rFonts w:ascii="Aptos" w:hAnsi="Aptos"/>
                <w:sz w:val="18"/>
              </w:rPr>
              <w:t>Fatal cases, cluster deaths, missed cases outside routine clinical notification</w:t>
            </w:r>
          </w:p>
        </w:tc>
        <w:tc>
          <w:tcPr>
            <w:tcW w:type="dxa" w:w="2268"/>
            <w:tcMar>
              <w:top w:w="80" w:type="dxa"/>
              <w:start w:w="110" w:type="dxa"/>
              <w:bottom w:w="80" w:type="dxa"/>
              <w:end w:w="110" w:type="dxa"/>
            </w:tcMar>
            <w:vAlign w:val="center"/>
            <w:shd w:fill="F7FBFB"/>
          </w:tcPr>
          <w:p>
            <w:pPr>
              <w:spacing w:before="0" w:after="20" w:line="252" w:lineRule="auto"/>
            </w:pPr>
            <w:r>
              <w:rPr>
                <w:rFonts w:ascii="Aptos" w:hAnsi="Aptos"/>
                <w:sz w:val="18"/>
              </w:rPr>
              <w:t>Timeliness and data linkage</w:t>
            </w:r>
          </w:p>
        </w:tc>
      </w:tr>
      <w:tr>
        <w:tc>
          <w:tcPr>
            <w:tcW w:type="dxa" w:w="1814"/>
            <w:tcMar>
              <w:top w:w="80" w:type="dxa"/>
              <w:start w:w="110" w:type="dxa"/>
              <w:bottom w:w="80" w:type="dxa"/>
              <w:end w:w="110" w:type="dxa"/>
            </w:tcMar>
            <w:vAlign w:val="center"/>
          </w:tcPr>
          <w:p>
            <w:pPr>
              <w:spacing w:before="0" w:after="20" w:line="252" w:lineRule="auto"/>
            </w:pPr>
            <w:r>
              <w:rPr>
                <w:rFonts w:ascii="Aptos" w:hAnsi="Aptos"/>
                <w:sz w:val="18"/>
              </w:rPr>
              <w:t>EHP investigations</w:t>
            </w:r>
          </w:p>
        </w:tc>
        <w:tc>
          <w:tcPr>
            <w:tcW w:type="dxa" w:w="2665"/>
            <w:tcMar>
              <w:top w:w="80" w:type="dxa"/>
              <w:start w:w="110" w:type="dxa"/>
              <w:bottom w:w="80" w:type="dxa"/>
              <w:end w:w="110" w:type="dxa"/>
            </w:tcMar>
            <w:vAlign w:val="center"/>
          </w:tcPr>
          <w:p>
            <w:pPr>
              <w:spacing w:before="0" w:after="20" w:line="252" w:lineRule="auto"/>
            </w:pPr>
            <w:r>
              <w:rPr>
                <w:rFonts w:ascii="Aptos" w:hAnsi="Aptos"/>
                <w:sz w:val="18"/>
              </w:rPr>
              <w:t>District/provincial environmental health services; SALGA-linked EHP structures</w:t>
            </w:r>
          </w:p>
        </w:tc>
        <w:tc>
          <w:tcPr>
            <w:tcW w:type="dxa" w:w="3005"/>
            <w:tcMar>
              <w:top w:w="80" w:type="dxa"/>
              <w:start w:w="110" w:type="dxa"/>
              <w:bottom w:w="80" w:type="dxa"/>
              <w:end w:w="110" w:type="dxa"/>
            </w:tcMar>
            <w:vAlign w:val="center"/>
          </w:tcPr>
          <w:p>
            <w:pPr>
              <w:spacing w:before="0" w:after="20" w:line="252" w:lineRule="auto"/>
            </w:pPr>
            <w:r>
              <w:rPr>
                <w:rFonts w:ascii="Aptos" w:hAnsi="Aptos"/>
                <w:sz w:val="18"/>
              </w:rPr>
              <w:t>Source identification, exposure setting, packaging/sale context, control actions</w:t>
            </w:r>
          </w:p>
        </w:tc>
        <w:tc>
          <w:tcPr>
            <w:tcW w:type="dxa" w:w="2268"/>
            <w:tcMar>
              <w:top w:w="80" w:type="dxa"/>
              <w:start w:w="110" w:type="dxa"/>
              <w:bottom w:w="80" w:type="dxa"/>
              <w:end w:w="110" w:type="dxa"/>
            </w:tcMar>
            <w:vAlign w:val="center"/>
          </w:tcPr>
          <w:p>
            <w:pPr>
              <w:spacing w:before="0" w:after="20" w:line="252" w:lineRule="auto"/>
            </w:pPr>
            <w:r>
              <w:rPr>
                <w:rFonts w:ascii="Aptos" w:hAnsi="Aptos"/>
                <w:sz w:val="18"/>
              </w:rPr>
              <w:t>No routine standardised reporting back into surveillance</w:t>
            </w:r>
          </w:p>
        </w:tc>
      </w:tr>
    </w:tbl>
    <w:p>
      <w:pPr>
        <w:pStyle w:val="SectionCustom"/>
      </w:pPr>
      <w:r>
        <w:t>Problem statement</w:t>
      </w:r>
    </w:p>
    <w:p>
      <w:r>
        <w:t>Pesticide poisoning remains a substantive but incompletely measured public-health problem in South Africa. South Africa’s notifiable medical conditions (NMC) system already provides a legal and operational basis for action: NICD runs an electronic, real-time reporting application, and pesticide poisoning has recently been upgraded from a category 2 to a category 1 condition requiring notification within 24 hours of clinical or laboratory diagnosis.[1] The policy problem, therefore, is less about creating a new law and more about making the existing surveillance-and-response chain function reliably.</w:t>
      </w:r>
    </w:p>
    <w:p>
      <w:r>
        <w:t>Recent mortality evidence shows why this matters. In nationally representative injury mortality analyses, pesticides were the most common type of poisoning in children and adults; among children, poisoning deaths increased in Gauteng in 2020/21 and were prominent in KwaZulu-Natal, Eastern Cape and Mpumalanga, while adults showed a similar but larger burden.[2] Earlier South African clinical work also found that most paediatric pesticide incidents presented in children younger than 6 years, with strong links to domestic and ‘street pesticide’ exposure and poor notification practice.[4,6]</w:t>
      </w:r>
    </w:p>
    <w:p>
      <w:r>
        <w:t>The current system has several operational weaknesses. Evaluations of the NMC system describe incomplete reporting, incorrect or incomplete data, and discrepancies between NMC and laboratory reports.[1] Older South African work shows that reporting has often focused on organophosphates while omitting other pesticide classes, resulting in severe under-reporting; one estimate suggested that only 10 - 20% of hospitalised cases were reported.[4,5] This leads to weak case detection, delayed hotspot recognition and poor visibility of the true burden in poorer communities.</w:t>
      </w:r>
    </w:p>
    <w:p>
      <w:pPr>
        <w:pStyle w:val="SubsectionCustom"/>
      </w:pPr>
      <w:r>
        <w:t>Fishbone-derived institutional causes that can be addressed now:</w:t>
      </w:r>
    </w:p>
    <w:p>
      <w:pPr>
        <w:ind w:left="227" w:hanging="142"/>
      </w:pPr>
      <w:r>
        <w:rPr>
          <w:b/>
        </w:rPr>
        <w:t xml:space="preserve">• </w:t>
      </w:r>
      <w:r>
        <w:t>Fragmented surveillance architecture: clinical notification, NHLS data, forensic signals and EHP investigations are not routinely integrated into one operational picture.</w:t>
      </w:r>
    </w:p>
    <w:p>
      <w:pPr>
        <w:ind w:left="227" w:hanging="142"/>
      </w:pPr>
      <w:r>
        <w:rPr>
          <w:b/>
        </w:rPr>
        <w:t xml:space="preserve">• </w:t>
      </w:r>
      <w:r>
        <w:t>Unclear technical rules: staff do not consistently know which test sets, codes or laboratory triggers should map onto poisoning-related NMCs.</w:t>
      </w:r>
    </w:p>
    <w:p>
      <w:pPr>
        <w:ind w:left="227" w:hanging="142"/>
      </w:pPr>
      <w:r>
        <w:rPr>
          <w:b/>
        </w:rPr>
        <w:t xml:space="preserve">• </w:t>
      </w:r>
      <w:r>
        <w:t>Weak field investigation feedback: EHPs may investigate cases, but those findings are not systematically fed back into surveillance products.</w:t>
      </w:r>
    </w:p>
    <w:p>
      <w:pPr>
        <w:ind w:left="227" w:hanging="142"/>
      </w:pPr>
      <w:r>
        <w:rPr>
          <w:b/>
        </w:rPr>
        <w:t xml:space="preserve">• </w:t>
      </w:r>
      <w:r>
        <w:t>Access pathways are person-dependent: information may be obtained through individual contacts rather than a stable standard operating procedure.</w:t>
      </w:r>
    </w:p>
    <w:p>
      <w:pPr>
        <w:ind w:left="227" w:hanging="142"/>
      </w:pPr>
      <w:r>
        <w:rPr>
          <w:b/>
        </w:rPr>
        <w:t xml:space="preserve">• </w:t>
      </w:r>
      <w:r>
        <w:t>Data are not routinely translated into action: there is no standing hotspot product that Agriculture, health services and environmental health can use jointly.</w:t>
      </w:r>
    </w:p>
    <w:p>
      <w:pPr>
        <w:pStyle w:val="SubsectionCustom"/>
      </w:pPr>
      <w:r>
        <w:t>Policy context</w:t>
      </w:r>
    </w:p>
    <w:p>
      <w:r>
        <w:t>South Africa already has enabling policy instruments for near-term action. The 2022 national guideline for investigation and control of human chemical poisoning cases states that healthcare providers and establishments must report cases to sub-districts for management and control, and prescribes use of a chemical/pesticide incident report form as a service standard expected of environmental health practitioners (EHPs).[3] International FAO/WHO guidance also notes that pesticide incident reporting can be integrated into broader health monitoring systems rather than built as a separate stand-alone system.[7] The opportunity is therefore to use institutional policy, not legislative overhaul, to make the current framework work better.</w:t>
      </w:r>
    </w:p>
    <w:p>
      <w:pPr>
        <w:pStyle w:val="SectionCustom"/>
      </w:pPr>
      <w:r>
        <w:t>Policy options</w:t>
      </w:r>
    </w:p>
    <w:p>
      <w:r>
        <w:t>Objective: establish a practical surveillance-and-response package that improves case detection, hotspot identification and local preventive action within the current legal framework.</w:t>
      </w:r>
    </w:p>
    <w:p>
      <w:pPr>
        <w:pStyle w:val="SmallCustom"/>
      </w:pPr>
      <w:r>
        <w:rPr>
          <w:b/>
        </w:rPr>
        <w:t>Table 2. Summary of short-term policy options</w:t>
      </w:r>
    </w:p>
    <w:tbl>
      <w:tblPr>
        <w:tblStyle w:val="TableGrid"/>
        <w:tblW w:type="auto" w:w="0"/>
        <w:jc w:val="center"/>
        <w:tblLayout w:type="fixed"/>
        <w:tblLook w:firstColumn="1" w:firstRow="1" w:lastColumn="0" w:lastRow="0" w:noHBand="0" w:noVBand="1" w:val="04A0"/>
        <w:tblBorders>
          <w:top w:val="single" w:sz="6" w:space="0" w:color="C7D6D8"/>
          <w:left w:val="single" w:sz="6" w:space="0" w:color="C7D6D8"/>
          <w:bottom w:val="single" w:sz="6" w:space="0" w:color="C7D6D8"/>
          <w:right w:val="single" w:sz="6" w:space="0" w:color="C7D6D8"/>
          <w:insideH w:val="single" w:sz="6" w:space="0" w:color="C7D6D8"/>
          <w:insideV w:val="single" w:sz="6" w:space="0" w:color="C7D6D8"/>
        </w:tblBorders>
      </w:tblPr>
      <w:tblGrid>
        <w:gridCol w:w="1361"/>
        <w:gridCol w:w="1701"/>
        <w:gridCol w:w="2551"/>
        <w:gridCol w:w="1928"/>
        <w:gridCol w:w="1587"/>
        <w:gridCol w:w="1304"/>
      </w:tblGrid>
      <w:tr>
        <w:trPr>
          <w:tblHeader w:val="true"/>
        </w:trPr>
        <w:tc>
          <w:tcPr>
            <w:tcW w:type="dxa" w:w="1644"/>
            <w:tcMar>
              <w:top w:w="80" w:type="dxa"/>
              <w:start w:w="110" w:type="dxa"/>
              <w:bottom w:w="80" w:type="dxa"/>
              <w:end w:w="110" w:type="dxa"/>
            </w:tcMar>
            <w:vAlign w:val="center"/>
            <w:shd w:fill="DCEFF1"/>
          </w:tcPr>
          <w:p>
            <w:pPr>
              <w:spacing w:before="0" w:after="20" w:line="252" w:lineRule="auto"/>
            </w:pPr>
            <w:r>
              <w:rPr>
                <w:rFonts w:ascii="Aptos" w:hAnsi="Aptos"/>
                <w:b/>
                <w:color w:val="104E55"/>
                <w:sz w:val="18"/>
              </w:rPr>
              <w:t>Option</w:t>
            </w:r>
          </w:p>
        </w:tc>
        <w:tc>
          <w:tcPr>
            <w:tcW w:type="dxa" w:w="1644"/>
            <w:tcMar>
              <w:top w:w="80" w:type="dxa"/>
              <w:start w:w="110" w:type="dxa"/>
              <w:bottom w:w="80" w:type="dxa"/>
              <w:end w:w="110" w:type="dxa"/>
            </w:tcMar>
            <w:vAlign w:val="center"/>
            <w:shd w:fill="DCEFF1"/>
          </w:tcPr>
          <w:p>
            <w:pPr>
              <w:spacing w:before="0" w:after="20" w:line="252" w:lineRule="auto"/>
            </w:pPr>
            <w:r>
              <w:rPr>
                <w:rFonts w:ascii="Aptos" w:hAnsi="Aptos"/>
                <w:b/>
                <w:color w:val="104E55"/>
                <w:sz w:val="18"/>
              </w:rPr>
              <w:t>Root cause addressed</w:t>
            </w:r>
          </w:p>
        </w:tc>
        <w:tc>
          <w:tcPr>
            <w:tcW w:type="dxa" w:w="1644"/>
            <w:tcMar>
              <w:top w:w="80" w:type="dxa"/>
              <w:start w:w="110" w:type="dxa"/>
              <w:bottom w:w="80" w:type="dxa"/>
              <w:end w:w="110" w:type="dxa"/>
            </w:tcMar>
            <w:vAlign w:val="center"/>
            <w:shd w:fill="DCEFF1"/>
          </w:tcPr>
          <w:p>
            <w:pPr>
              <w:spacing w:before="0" w:after="20" w:line="252" w:lineRule="auto"/>
            </w:pPr>
            <w:r>
              <w:rPr>
                <w:rFonts w:ascii="Aptos" w:hAnsi="Aptos"/>
                <w:b/>
                <w:color w:val="104E55"/>
                <w:sz w:val="18"/>
              </w:rPr>
              <w:t>Specific proposal</w:t>
            </w:r>
          </w:p>
        </w:tc>
        <w:tc>
          <w:tcPr>
            <w:tcW w:type="dxa" w:w="1644"/>
            <w:tcMar>
              <w:top w:w="80" w:type="dxa"/>
              <w:start w:w="110" w:type="dxa"/>
              <w:bottom w:w="80" w:type="dxa"/>
              <w:end w:w="110" w:type="dxa"/>
            </w:tcMar>
            <w:vAlign w:val="center"/>
            <w:shd w:fill="DCEFF1"/>
          </w:tcPr>
          <w:p>
            <w:pPr>
              <w:spacing w:before="0" w:after="20" w:line="252" w:lineRule="auto"/>
            </w:pPr>
            <w:r>
              <w:rPr>
                <w:rFonts w:ascii="Aptos" w:hAnsi="Aptos"/>
                <w:b/>
                <w:color w:val="104E55"/>
                <w:sz w:val="18"/>
              </w:rPr>
              <w:t>Evidence base</w:t>
            </w:r>
          </w:p>
        </w:tc>
        <w:tc>
          <w:tcPr>
            <w:tcW w:type="dxa" w:w="1644"/>
            <w:tcMar>
              <w:top w:w="80" w:type="dxa"/>
              <w:start w:w="110" w:type="dxa"/>
              <w:bottom w:w="80" w:type="dxa"/>
              <w:end w:w="110" w:type="dxa"/>
            </w:tcMar>
            <w:vAlign w:val="center"/>
            <w:shd w:fill="DCEFF1"/>
          </w:tcPr>
          <w:p>
            <w:pPr>
              <w:spacing w:before="0" w:after="20" w:line="252" w:lineRule="auto"/>
            </w:pPr>
            <w:r>
              <w:rPr>
                <w:rFonts w:ascii="Aptos" w:hAnsi="Aptos"/>
                <w:b/>
                <w:color w:val="104E55"/>
                <w:sz w:val="18"/>
              </w:rPr>
              <w:t>Budget / public-health impact</w:t>
            </w:r>
          </w:p>
        </w:tc>
        <w:tc>
          <w:tcPr>
            <w:tcW w:type="dxa" w:w="1644"/>
            <w:tcMar>
              <w:top w:w="80" w:type="dxa"/>
              <w:start w:w="110" w:type="dxa"/>
              <w:bottom w:w="80" w:type="dxa"/>
              <w:end w:w="110" w:type="dxa"/>
            </w:tcMar>
            <w:vAlign w:val="center"/>
            <w:shd w:fill="DCEFF1"/>
          </w:tcPr>
          <w:p>
            <w:pPr>
              <w:spacing w:before="0" w:after="20" w:line="252" w:lineRule="auto"/>
            </w:pPr>
            <w:r>
              <w:rPr>
                <w:rFonts w:ascii="Aptos" w:hAnsi="Aptos"/>
                <w:b/>
                <w:color w:val="104E55"/>
                <w:sz w:val="18"/>
              </w:rPr>
              <w:t>Feasibility</w:t>
            </w:r>
          </w:p>
        </w:tc>
      </w:tr>
      <w:tr>
        <w:tc>
          <w:tcPr>
            <w:tcW w:type="dxa" w:w="1361"/>
            <w:tcMar>
              <w:top w:w="80" w:type="dxa"/>
              <w:start w:w="110" w:type="dxa"/>
              <w:bottom w:w="80" w:type="dxa"/>
              <w:end w:w="110" w:type="dxa"/>
            </w:tcMar>
            <w:vAlign w:val="center"/>
          </w:tcPr>
          <w:p>
            <w:pPr>
              <w:spacing w:before="0" w:after="20" w:line="252" w:lineRule="auto"/>
            </w:pPr>
            <w:r>
              <w:rPr>
                <w:rFonts w:ascii="Aptos" w:hAnsi="Aptos"/>
                <w:sz w:val="18"/>
              </w:rPr>
              <w:t>1. Integrated data-sharing and hotspot pilot</w:t>
            </w:r>
          </w:p>
        </w:tc>
        <w:tc>
          <w:tcPr>
            <w:tcW w:type="dxa" w:w="1701"/>
            <w:tcMar>
              <w:top w:w="80" w:type="dxa"/>
              <w:start w:w="110" w:type="dxa"/>
              <w:bottom w:w="80" w:type="dxa"/>
              <w:end w:w="110" w:type="dxa"/>
            </w:tcMar>
            <w:vAlign w:val="center"/>
          </w:tcPr>
          <w:p>
            <w:pPr>
              <w:spacing w:before="0" w:after="20" w:line="252" w:lineRule="auto"/>
            </w:pPr>
            <w:r>
              <w:rPr>
                <w:rFonts w:ascii="Aptos" w:hAnsi="Aptos"/>
                <w:sz w:val="18"/>
              </w:rPr>
              <w:t>Fragmented data streams and no routine analytic product</w:t>
            </w:r>
          </w:p>
        </w:tc>
        <w:tc>
          <w:tcPr>
            <w:tcW w:type="dxa" w:w="2551"/>
            <w:tcMar>
              <w:top w:w="80" w:type="dxa"/>
              <w:start w:w="110" w:type="dxa"/>
              <w:bottom w:w="80" w:type="dxa"/>
              <w:end w:w="110" w:type="dxa"/>
            </w:tcMar>
            <w:vAlign w:val="center"/>
          </w:tcPr>
          <w:p>
            <w:pPr>
              <w:spacing w:before="0" w:after="20" w:line="252" w:lineRule="auto"/>
            </w:pPr>
            <w:r>
              <w:rPr>
                <w:rFonts w:ascii="Aptos" w:hAnsi="Aptos"/>
                <w:sz w:val="18"/>
              </w:rPr>
              <w:t>Run a 6-month proof of concept using routine extracts from NMC, cholinesterase, NHLS/TRAK-held FCL, forensic data and EHP investigations. Create a minimum common dataset and monthly hotspot brief for MAC, Agriculture and local response teams.</w:t>
            </w:r>
          </w:p>
        </w:tc>
        <w:tc>
          <w:tcPr>
            <w:tcW w:type="dxa" w:w="1928"/>
            <w:tcMar>
              <w:top w:w="80" w:type="dxa"/>
              <w:start w:w="110" w:type="dxa"/>
              <w:bottom w:w="80" w:type="dxa"/>
              <w:end w:w="110" w:type="dxa"/>
            </w:tcMar>
            <w:vAlign w:val="center"/>
          </w:tcPr>
          <w:p>
            <w:pPr>
              <w:spacing w:before="0" w:after="20" w:line="252" w:lineRule="auto"/>
            </w:pPr>
            <w:r>
              <w:rPr>
                <w:rFonts w:ascii="Aptos" w:hAnsi="Aptos"/>
                <w:sz w:val="18"/>
              </w:rPr>
              <w:t>Supported by the existing electronic NMC system, the EHP investigation guideline, FAO/WHO reporting guidance, and mortality evidence showing a meaningful poisoning burden.[1-3,7]</w:t>
            </w:r>
          </w:p>
        </w:tc>
        <w:tc>
          <w:tcPr>
            <w:tcW w:type="dxa" w:w="1587"/>
            <w:tcMar>
              <w:top w:w="80" w:type="dxa"/>
              <w:start w:w="110" w:type="dxa"/>
              <w:bottom w:w="80" w:type="dxa"/>
              <w:end w:w="110" w:type="dxa"/>
            </w:tcMar>
            <w:vAlign w:val="center"/>
          </w:tcPr>
          <w:p>
            <w:pPr>
              <w:spacing w:before="0" w:after="20" w:line="252" w:lineRule="auto"/>
            </w:pPr>
            <w:r>
              <w:rPr>
                <w:rFonts w:ascii="Aptos" w:hAnsi="Aptos"/>
                <w:sz w:val="18"/>
              </w:rPr>
              <w:t>Low-to-moderate incremental cost; uses existing datasets and one small analytic cell. Likely high value for earlier cluster detection and targeted action.</w:t>
            </w:r>
          </w:p>
        </w:tc>
        <w:tc>
          <w:tcPr>
            <w:tcW w:type="dxa" w:w="1304"/>
            <w:tcMar>
              <w:top w:w="80" w:type="dxa"/>
              <w:start w:w="110" w:type="dxa"/>
              <w:bottom w:w="80" w:type="dxa"/>
              <w:end w:w="110" w:type="dxa"/>
            </w:tcMar>
            <w:vAlign w:val="center"/>
          </w:tcPr>
          <w:p>
            <w:pPr>
              <w:spacing w:before="0" w:after="20" w:line="252" w:lineRule="auto"/>
            </w:pPr>
            <w:r>
              <w:rPr>
                <w:rFonts w:ascii="Aptos" w:hAnsi="Aptos"/>
                <w:sz w:val="18"/>
              </w:rPr>
              <w:t>Moderate to high. Needs an SOP/MoU and named leads, but not law reform.</w:t>
            </w:r>
          </w:p>
        </w:tc>
      </w:tr>
      <w:tr>
        <w:tc>
          <w:tcPr>
            <w:tcW w:type="dxa" w:w="1361"/>
            <w:tcMar>
              <w:top w:w="80" w:type="dxa"/>
              <w:start w:w="110" w:type="dxa"/>
              <w:bottom w:w="80" w:type="dxa"/>
              <w:end w:w="110" w:type="dxa"/>
            </w:tcMar>
            <w:vAlign w:val="center"/>
            <w:shd w:fill="F7FBFB"/>
          </w:tcPr>
          <w:p>
            <w:pPr>
              <w:spacing w:before="0" w:after="20" w:line="252" w:lineRule="auto"/>
            </w:pPr>
            <w:r>
              <w:rPr>
                <w:rFonts w:ascii="Aptos" w:hAnsi="Aptos"/>
                <w:sz w:val="18"/>
              </w:rPr>
              <w:t>2. Standardised EHP investigation reporting</w:t>
            </w:r>
          </w:p>
        </w:tc>
        <w:tc>
          <w:tcPr>
            <w:tcW w:type="dxa" w:w="1701"/>
            <w:tcMar>
              <w:top w:w="80" w:type="dxa"/>
              <w:start w:w="110" w:type="dxa"/>
              <w:bottom w:w="80" w:type="dxa"/>
              <w:end w:w="110" w:type="dxa"/>
            </w:tcMar>
            <w:vAlign w:val="center"/>
            <w:shd w:fill="F7FBFB"/>
          </w:tcPr>
          <w:p>
            <w:pPr>
              <w:spacing w:before="0" w:after="20" w:line="252" w:lineRule="auto"/>
            </w:pPr>
            <w:r>
              <w:rPr>
                <w:rFonts w:ascii="Aptos" w:hAnsi="Aptos"/>
                <w:sz w:val="18"/>
              </w:rPr>
              <w:t>Weak field investigation feedback and poor source attribution</w:t>
            </w:r>
          </w:p>
        </w:tc>
        <w:tc>
          <w:tcPr>
            <w:tcW w:type="dxa" w:w="2551"/>
            <w:tcMar>
              <w:top w:w="80" w:type="dxa"/>
              <w:start w:w="110" w:type="dxa"/>
              <w:bottom w:w="80" w:type="dxa"/>
              <w:end w:w="110" w:type="dxa"/>
            </w:tcMar>
            <w:vAlign w:val="center"/>
            <w:shd w:fill="F7FBFB"/>
          </w:tcPr>
          <w:p>
            <w:pPr>
              <w:spacing w:before="0" w:after="20" w:line="252" w:lineRule="auto"/>
            </w:pPr>
            <w:r>
              <w:rPr>
                <w:rFonts w:ascii="Aptos" w:hAnsi="Aptos"/>
                <w:sz w:val="18"/>
              </w:rPr>
              <w:t>Adopt one short incident template for all suspected pesticide poisonings, require completion by EHPs, and submit weekly to district/provincial review. Link the report to the NMC case ID where available.</w:t>
            </w:r>
          </w:p>
        </w:tc>
        <w:tc>
          <w:tcPr>
            <w:tcW w:type="dxa" w:w="1928"/>
            <w:tcMar>
              <w:top w:w="80" w:type="dxa"/>
              <w:start w:w="110" w:type="dxa"/>
              <w:bottom w:w="80" w:type="dxa"/>
              <w:end w:w="110" w:type="dxa"/>
            </w:tcMar>
            <w:vAlign w:val="center"/>
            <w:shd w:fill="F7FBFB"/>
          </w:tcPr>
          <w:p>
            <w:pPr>
              <w:spacing w:before="0" w:after="20" w:line="252" w:lineRule="auto"/>
            </w:pPr>
            <w:r>
              <w:rPr>
                <w:rFonts w:ascii="Aptos" w:hAnsi="Aptos"/>
                <w:sz w:val="18"/>
              </w:rPr>
              <w:t>Directly aligned with the 2022 national guideline, which already prescribes a chemical/pesticide incident report form and positions EHP investigation as part of surveillance and control.[3]</w:t>
            </w:r>
          </w:p>
        </w:tc>
        <w:tc>
          <w:tcPr>
            <w:tcW w:type="dxa" w:w="1587"/>
            <w:tcMar>
              <w:top w:w="80" w:type="dxa"/>
              <w:start w:w="110" w:type="dxa"/>
              <w:bottom w:w="80" w:type="dxa"/>
              <w:end w:w="110" w:type="dxa"/>
            </w:tcMar>
            <w:vAlign w:val="center"/>
            <w:shd w:fill="F7FBFB"/>
          </w:tcPr>
          <w:p>
            <w:pPr>
              <w:spacing w:before="0" w:after="20" w:line="252" w:lineRule="auto"/>
            </w:pPr>
            <w:r>
              <w:rPr>
                <w:rFonts w:ascii="Aptos" w:hAnsi="Aptos"/>
                <w:sz w:val="18"/>
              </w:rPr>
              <w:t>Low cost. Improves source identification, exposure context and immediate prevention actions.</w:t>
            </w:r>
          </w:p>
        </w:tc>
        <w:tc>
          <w:tcPr>
            <w:tcW w:type="dxa" w:w="1304"/>
            <w:tcMar>
              <w:top w:w="80" w:type="dxa"/>
              <w:start w:w="110" w:type="dxa"/>
              <w:bottom w:w="80" w:type="dxa"/>
              <w:end w:w="110" w:type="dxa"/>
            </w:tcMar>
            <w:vAlign w:val="center"/>
            <w:shd w:fill="F7FBFB"/>
          </w:tcPr>
          <w:p>
            <w:pPr>
              <w:spacing w:before="0" w:after="20" w:line="252" w:lineRule="auto"/>
            </w:pPr>
            <w:r>
              <w:rPr>
                <w:rFonts w:ascii="Aptos" w:hAnsi="Aptos"/>
                <w:sz w:val="18"/>
              </w:rPr>
              <w:t>High. Can be instituted by circular, SOP or service standard.</w:t>
            </w:r>
          </w:p>
        </w:tc>
      </w:tr>
      <w:tr>
        <w:tc>
          <w:tcPr>
            <w:tcW w:type="dxa" w:w="1361"/>
            <w:tcMar>
              <w:top w:w="80" w:type="dxa"/>
              <w:start w:w="110" w:type="dxa"/>
              <w:bottom w:w="80" w:type="dxa"/>
              <w:end w:w="110" w:type="dxa"/>
            </w:tcMar>
            <w:vAlign w:val="center"/>
          </w:tcPr>
          <w:p>
            <w:pPr>
              <w:spacing w:before="0" w:after="20" w:line="252" w:lineRule="auto"/>
            </w:pPr>
            <w:r>
              <w:rPr>
                <w:rFonts w:ascii="Aptos" w:hAnsi="Aptos"/>
                <w:sz w:val="18"/>
              </w:rPr>
              <w:t>3. Technical code and test-set crosswalk</w:t>
            </w:r>
          </w:p>
        </w:tc>
        <w:tc>
          <w:tcPr>
            <w:tcW w:type="dxa" w:w="1701"/>
            <w:tcMar>
              <w:top w:w="80" w:type="dxa"/>
              <w:start w:w="110" w:type="dxa"/>
              <w:bottom w:w="80" w:type="dxa"/>
              <w:end w:w="110" w:type="dxa"/>
            </w:tcMar>
            <w:vAlign w:val="center"/>
          </w:tcPr>
          <w:p>
            <w:pPr>
              <w:spacing w:before="0" w:after="20" w:line="252" w:lineRule="auto"/>
            </w:pPr>
            <w:r>
              <w:rPr>
                <w:rFonts w:ascii="Aptos" w:hAnsi="Aptos"/>
                <w:sz w:val="18"/>
              </w:rPr>
              <w:t>Unclear mapping between case definitions, codes and laboratory triggers</w:t>
            </w:r>
          </w:p>
        </w:tc>
        <w:tc>
          <w:tcPr>
            <w:tcW w:type="dxa" w:w="2551"/>
            <w:tcMar>
              <w:top w:w="80" w:type="dxa"/>
              <w:start w:w="110" w:type="dxa"/>
              <w:bottom w:w="80" w:type="dxa"/>
              <w:end w:w="110" w:type="dxa"/>
            </w:tcMar>
            <w:vAlign w:val="center"/>
          </w:tcPr>
          <w:p>
            <w:pPr>
              <w:spacing w:before="0" w:after="20" w:line="252" w:lineRule="auto"/>
            </w:pPr>
            <w:r>
              <w:rPr>
                <w:rFonts w:ascii="Aptos" w:hAnsi="Aptos"/>
                <w:sz w:val="18"/>
              </w:rPr>
              <w:t>Convene a short technical exercise with NMC, NHLS and forensic stakeholders (e.g. Mabore, Genevie, Trevor, Jesse, Hloni, Kagiso, Thakadu, Jody) to define which test sets/codes correspond to suspected, probable and confirmed pesticide-related NMC signals.</w:t>
            </w:r>
          </w:p>
        </w:tc>
        <w:tc>
          <w:tcPr>
            <w:tcW w:type="dxa" w:w="1928"/>
            <w:tcMar>
              <w:top w:w="80" w:type="dxa"/>
              <w:start w:w="110" w:type="dxa"/>
              <w:bottom w:w="80" w:type="dxa"/>
              <w:end w:w="110" w:type="dxa"/>
            </w:tcMar>
            <w:vAlign w:val="center"/>
          </w:tcPr>
          <w:p>
            <w:pPr>
              <w:spacing w:before="0" w:after="20" w:line="252" w:lineRule="auto"/>
            </w:pPr>
            <w:r>
              <w:rPr>
                <w:rFonts w:ascii="Aptos" w:hAnsi="Aptos"/>
                <w:sz w:val="18"/>
              </w:rPr>
              <w:t>Addresses documented discrepancies between NMC and laboratory reports, and the historical tendency to notify only organophosphate cases.[1,4,5]</w:t>
            </w:r>
          </w:p>
        </w:tc>
        <w:tc>
          <w:tcPr>
            <w:tcW w:type="dxa" w:w="1587"/>
            <w:tcMar>
              <w:top w:w="80" w:type="dxa"/>
              <w:start w:w="110" w:type="dxa"/>
              <w:bottom w:w="80" w:type="dxa"/>
              <w:end w:w="110" w:type="dxa"/>
            </w:tcMar>
            <w:vAlign w:val="center"/>
          </w:tcPr>
          <w:p>
            <w:pPr>
              <w:spacing w:before="0" w:after="20" w:line="252" w:lineRule="auto"/>
            </w:pPr>
            <w:r>
              <w:rPr>
                <w:rFonts w:ascii="Aptos" w:hAnsi="Aptos"/>
                <w:sz w:val="18"/>
              </w:rPr>
              <w:t>Low cost. Improves sensitivity, specificity and future automation of surveillance queries.</w:t>
            </w:r>
          </w:p>
        </w:tc>
        <w:tc>
          <w:tcPr>
            <w:tcW w:type="dxa" w:w="1304"/>
            <w:tcMar>
              <w:top w:w="80" w:type="dxa"/>
              <w:start w:w="110" w:type="dxa"/>
              <w:bottom w:w="80" w:type="dxa"/>
              <w:end w:w="110" w:type="dxa"/>
            </w:tcMar>
            <w:vAlign w:val="center"/>
          </w:tcPr>
          <w:p>
            <w:pPr>
              <w:spacing w:before="0" w:after="20" w:line="252" w:lineRule="auto"/>
            </w:pPr>
            <w:r>
              <w:rPr>
                <w:rFonts w:ascii="Aptos" w:hAnsi="Aptos"/>
                <w:sz w:val="18"/>
              </w:rPr>
              <w:t>Very high. A technical working group can complete this quickly.</w:t>
            </w:r>
          </w:p>
        </w:tc>
      </w:tr>
      <w:tr>
        <w:tc>
          <w:tcPr>
            <w:tcW w:type="dxa" w:w="1361"/>
            <w:tcMar>
              <w:top w:w="80" w:type="dxa"/>
              <w:start w:w="110" w:type="dxa"/>
              <w:bottom w:w="80" w:type="dxa"/>
              <w:end w:w="110" w:type="dxa"/>
            </w:tcMar>
            <w:vAlign w:val="center"/>
            <w:shd w:fill="F7FBFB"/>
          </w:tcPr>
          <w:p>
            <w:pPr>
              <w:spacing w:before="0" w:after="20" w:line="252" w:lineRule="auto"/>
            </w:pPr>
            <w:r>
              <w:rPr>
                <w:rFonts w:ascii="Aptos" w:hAnsi="Aptos"/>
                <w:sz w:val="18"/>
              </w:rPr>
              <w:t>4. Notification and data-use activation package</w:t>
            </w:r>
          </w:p>
        </w:tc>
        <w:tc>
          <w:tcPr>
            <w:tcW w:type="dxa" w:w="1701"/>
            <w:tcMar>
              <w:top w:w="80" w:type="dxa"/>
              <w:start w:w="110" w:type="dxa"/>
              <w:bottom w:w="80" w:type="dxa"/>
              <w:end w:w="110" w:type="dxa"/>
            </w:tcMar>
            <w:vAlign w:val="center"/>
            <w:shd w:fill="F7FBFB"/>
          </w:tcPr>
          <w:p>
            <w:pPr>
              <w:spacing w:before="0" w:after="20" w:line="252" w:lineRule="auto"/>
            </w:pPr>
            <w:r>
              <w:rPr>
                <w:rFonts w:ascii="Aptos" w:hAnsi="Aptos"/>
                <w:sz w:val="18"/>
              </w:rPr>
              <w:t>Low awareness, variable use of data and weak decision linkage</w:t>
            </w:r>
          </w:p>
        </w:tc>
        <w:tc>
          <w:tcPr>
            <w:tcW w:type="dxa" w:w="2551"/>
            <w:tcMar>
              <w:top w:w="80" w:type="dxa"/>
              <w:start w:w="110" w:type="dxa"/>
              <w:bottom w:w="80" w:type="dxa"/>
              <w:end w:w="110" w:type="dxa"/>
            </w:tcMar>
            <w:vAlign w:val="center"/>
            <w:shd w:fill="F7FBFB"/>
          </w:tcPr>
          <w:p>
            <w:pPr>
              <w:spacing w:before="0" w:after="20" w:line="252" w:lineRule="auto"/>
            </w:pPr>
            <w:r>
              <w:rPr>
                <w:rFonts w:ascii="Aptos" w:hAnsi="Aptos"/>
                <w:sz w:val="18"/>
              </w:rPr>
              <w:t>Use the next MAC meeting to approve the pilot, use D2P interviews to define priority decisions and outputs, and use the mortality data analysis workshop to train on case definitions, hotspot interpretation and mortality linkage.</w:t>
            </w:r>
          </w:p>
        </w:tc>
        <w:tc>
          <w:tcPr>
            <w:tcW w:type="dxa" w:w="1928"/>
            <w:tcMar>
              <w:top w:w="80" w:type="dxa"/>
              <w:start w:w="110" w:type="dxa"/>
              <w:bottom w:w="80" w:type="dxa"/>
              <w:end w:w="110" w:type="dxa"/>
            </w:tcMar>
            <w:vAlign w:val="center"/>
            <w:shd w:fill="F7FBFB"/>
          </w:tcPr>
          <w:p>
            <w:pPr>
              <w:spacing w:before="0" w:after="20" w:line="252" w:lineRule="auto"/>
            </w:pPr>
            <w:r>
              <w:rPr>
                <w:rFonts w:ascii="Aptos" w:hAnsi="Aptos"/>
                <w:sz w:val="18"/>
              </w:rPr>
              <w:t>South African mHealth work showed that targeted guidance can improve clinician confidence and notification practice; better surveillance depends on awareness and workflow support.[5]</w:t>
            </w:r>
          </w:p>
        </w:tc>
        <w:tc>
          <w:tcPr>
            <w:tcW w:type="dxa" w:w="1587"/>
            <w:tcMar>
              <w:top w:w="80" w:type="dxa"/>
              <w:start w:w="110" w:type="dxa"/>
              <w:bottom w:w="80" w:type="dxa"/>
              <w:end w:w="110" w:type="dxa"/>
            </w:tcMar>
            <w:vAlign w:val="center"/>
            <w:shd w:fill="F7FBFB"/>
          </w:tcPr>
          <w:p>
            <w:pPr>
              <w:spacing w:before="0" w:after="20" w:line="252" w:lineRule="auto"/>
            </w:pPr>
            <w:r>
              <w:rPr>
                <w:rFonts w:ascii="Aptos" w:hAnsi="Aptos"/>
                <w:sz w:val="18"/>
              </w:rPr>
              <w:t>Low cost. Improves uptake and helps ensure the pilot serves real decision needs.</w:t>
            </w:r>
          </w:p>
        </w:tc>
        <w:tc>
          <w:tcPr>
            <w:tcW w:type="dxa" w:w="1304"/>
            <w:tcMar>
              <w:top w:w="80" w:type="dxa"/>
              <w:start w:w="110" w:type="dxa"/>
              <w:bottom w:w="80" w:type="dxa"/>
              <w:end w:w="110" w:type="dxa"/>
            </w:tcMar>
            <w:vAlign w:val="center"/>
            <w:shd w:fill="F7FBFB"/>
          </w:tcPr>
          <w:p>
            <w:pPr>
              <w:spacing w:before="0" w:after="20" w:line="252" w:lineRule="auto"/>
            </w:pPr>
            <w:r>
              <w:rPr>
                <w:rFonts w:ascii="Aptos" w:hAnsi="Aptos"/>
                <w:sz w:val="18"/>
              </w:rPr>
              <w:t>Very high. Immediate implementation platform already exists.</w:t>
            </w:r>
          </w:p>
        </w:tc>
      </w:tr>
    </w:tbl>
    <w:p>
      <w:pPr>
        <w:pStyle w:val="SubsectionCustom"/>
      </w:pPr>
      <w:r>
        <w:t>Option appraisal</w:t>
      </w:r>
    </w:p>
    <w:p>
      <w:r>
        <w:t>The options are best viewed as a package rather than as competitors. Option 1 creates the core surveillance product; option 2 improves the quality of source and exposure information; option 3 stabilises the technical rules needed to identify cases across systems; and option 4 uses existing meetings and workshops to institutionalise the work. None of these options requires major legal reform. All can be implemented through service standards, technical working arrangements, routine data-sharing agreements and targeted managerial direction.</w:t>
      </w:r>
    </w:p>
    <w:p>
      <w:pPr>
        <w:pStyle w:val="SectionCustom"/>
      </w:pPr>
      <w:r>
        <w:t>Recommendations and next steps</w:t>
      </w:r>
    </w:p>
    <w:p>
      <w:r>
        <w:t>Recommendation: adopt options 1 - 3 as a single 6-month implementation package, and use option 4 as the enabling mechanism. The immediate goal should not be a fully fledged live feed from day one. Instead, the first step should be a proof-of-concept integrated surveillance product based on routine extracts, standardised EHP reporting and an agreed technical crosswalk.</w:t>
      </w:r>
    </w:p>
    <w:p>
      <w:pPr>
        <w:pStyle w:val="SubsectionCustom"/>
      </w:pPr>
      <w:r>
        <w:t>Why this is the preferred approach</w:t>
      </w:r>
    </w:p>
    <w:p>
      <w:pPr>
        <w:ind w:left="227" w:hanging="142"/>
      </w:pPr>
      <w:r>
        <w:rPr>
          <w:b/>
        </w:rPr>
        <w:t xml:space="preserve">• </w:t>
      </w:r>
      <w:r>
        <w:t>It addresses the most important short-term system failures without waiting for legislative amendment.</w:t>
      </w:r>
    </w:p>
    <w:p>
      <w:pPr>
        <w:ind w:left="227" w:hanging="142"/>
      </w:pPr>
      <w:r>
        <w:rPr>
          <w:b/>
        </w:rPr>
        <w:t xml:space="preserve">• </w:t>
      </w:r>
      <w:r>
        <w:t>It is credible because it works through existing institutions, roles and reporting obligations.</w:t>
      </w:r>
    </w:p>
    <w:p>
      <w:pPr>
        <w:ind w:left="227" w:hanging="142"/>
      </w:pPr>
      <w:r>
        <w:rPr>
          <w:b/>
        </w:rPr>
        <w:t xml:space="preserve">• </w:t>
      </w:r>
      <w:r>
        <w:t>It is feasible because it uses current data assets and existing convening points.</w:t>
      </w:r>
    </w:p>
    <w:p>
      <w:pPr>
        <w:ind w:left="227" w:hanging="142"/>
      </w:pPr>
      <w:r>
        <w:rPr>
          <w:b/>
        </w:rPr>
        <w:t xml:space="preserve">• </w:t>
      </w:r>
      <w:r>
        <w:t>It is scalable: once the proof of concept works, the case for more automated or near-real-time data exchange becomes much stronger.</w:t>
      </w:r>
    </w:p>
    <w:p>
      <w:pPr>
        <w:pStyle w:val="SubsectionCustom"/>
      </w:pPr>
      <w:r>
        <w:t>Practical steps over the next 90 days</w:t>
      </w:r>
    </w:p>
    <w:p>
      <w:pPr>
        <w:ind w:left="227" w:hanging="142"/>
      </w:pPr>
      <w:r>
        <w:rPr>
          <w:b/>
        </w:rPr>
        <w:t xml:space="preserve">• </w:t>
      </w:r>
      <w:r>
        <w:t>At the next MAC meeting, approve the short-term package, nominate a lead coordinator and confirm the pilot objective: hotspot detection and rapid follow-up.</w:t>
      </w:r>
    </w:p>
    <w:p>
      <w:pPr>
        <w:ind w:left="227" w:hanging="142"/>
      </w:pPr>
      <w:r>
        <w:rPr>
          <w:b/>
        </w:rPr>
        <w:t xml:space="preserve">• </w:t>
      </w:r>
      <w:r>
        <w:t>Within 2 weeks, map each dataset (NMC, cholinesterase, FCL, forensic data, EHP investigations) against its custodian, platform, minimum fields, frequency and access pathway.</w:t>
      </w:r>
    </w:p>
    <w:p>
      <w:pPr>
        <w:ind w:left="227" w:hanging="142"/>
      </w:pPr>
      <w:r>
        <w:rPr>
          <w:b/>
        </w:rPr>
        <w:t xml:space="preserve">• </w:t>
      </w:r>
      <w:r>
        <w:t>Within 4 weeks, convene the technical working group to finalise the code/test-set crosswalk and define case-linkage rules.</w:t>
      </w:r>
    </w:p>
    <w:p>
      <w:pPr>
        <w:ind w:left="227" w:hanging="142"/>
      </w:pPr>
      <w:r>
        <w:rPr>
          <w:b/>
        </w:rPr>
        <w:t xml:space="preserve">• </w:t>
      </w:r>
      <w:r>
        <w:t>Within 6 weeks, issue a standard EHP investigation template and reporting SOP, including the requirement to submit findings back to the surveillance team.</w:t>
      </w:r>
    </w:p>
    <w:p>
      <w:pPr>
        <w:ind w:left="227" w:hanging="142"/>
      </w:pPr>
      <w:r>
        <w:rPr>
          <w:b/>
        </w:rPr>
        <w:t xml:space="preserve">• </w:t>
      </w:r>
      <w:r>
        <w:t>Within 8 weeks, begin the integrated proof of concept using routine extracts and produce the first hotspot output.</w:t>
      </w:r>
    </w:p>
    <w:p>
      <w:pPr>
        <w:ind w:left="227" w:hanging="142"/>
      </w:pPr>
      <w:r>
        <w:rPr>
          <w:b/>
        </w:rPr>
        <w:t xml:space="preserve">• </w:t>
      </w:r>
      <w:r>
        <w:t>Use D2P interviews to test what outputs decision-makers need, and use the mortality data analysis workshop to strengthen interpretation of poisoning-related morbidity and mortality signals.</w:t>
      </w:r>
    </w:p>
    <w:p>
      <w:pPr>
        <w:pStyle w:val="SubsectionCustom"/>
      </w:pPr>
      <w:r>
        <w:t>Limitations</w:t>
      </w:r>
    </w:p>
    <w:p>
      <w:r>
        <w:t>This brief focuses deliberately on near-term institutional action. It does not attempt to cost broader regulatory reforms on pesticide availability or enforcement in informal markets, even though those remain important longer-term issues. Exact budget impacts for the recommended package have not yet been formally modelled. The true burden of pesticide poisoning is also likely underestimated because of under-reporting, incomplete mortality data and incomplete linkage across data sources.[1,2,4,5]</w:t>
      </w:r>
    </w:p>
    <w:p>
      <w:r>
        <w:t>Even with these limitations, delaying action until legal reform is complete would be a mistake. South Africa already has enough policy basis to improve poisoning surveillance materially. The next practical step is to formalise data-sharing, clarify the technical rules for case identification, and ensure that EHP investigations feed back into a routine hotspot product that can guide prevention and response.</w:t>
      </w:r>
    </w:p>
    <w:p>
      <w:pPr>
        <w:pStyle w:val="SectionCustom"/>
      </w:pPr>
      <w:r>
        <w:t>References</w:t>
      </w:r>
    </w:p>
    <w:p>
      <w:pPr>
        <w:ind w:left="340" w:hanging="255"/>
      </w:pPr>
      <w:r>
        <w:t>1. Mathee A, Stephen C, Nzenze SA, Chandu L. New case definitions and thresholds for environmental notifiable medical conditions in South Africa: Pesticide, lead and mercury poisoning. South African Medical Journal. 2025;115(11):e2565.</w:t>
      </w:r>
    </w:p>
    <w:p>
      <w:pPr>
        <w:ind w:left="340" w:hanging="255"/>
      </w:pPr>
      <w:r>
        <w:t>2. Prinsloo M, Roomaney RA, Neethling I, et al. Tracking poison ingestion deaths for South Africa: The need for access to timely reliable data. South African Medical Journal. 2025;115(5):e2993.</w:t>
      </w:r>
    </w:p>
    <w:p>
      <w:pPr>
        <w:ind w:left="340" w:hanging="255"/>
      </w:pPr>
      <w:r>
        <w:t>3. National Department of Health, South Africa. Guideline for investigation and control of human chemical poisoning cases. Pretoria: NDoH; 2022.</w:t>
      </w:r>
    </w:p>
    <w:p>
      <w:pPr>
        <w:ind w:left="340" w:hanging="255"/>
      </w:pPr>
      <w:r>
        <w:t>4. Rother H-A. Improving poisoning diagnosis and surveillance of street pesticides. South African Medical Journal. 2012;102(6):485-488.</w:t>
      </w:r>
    </w:p>
    <w:p>
      <w:pPr>
        <w:ind w:left="340" w:hanging="255"/>
      </w:pPr>
      <w:r>
        <w:t>5. Kabanda S, Rother H-A. Evaluating a South African mobile application for healthcare professionals to improve diagnosis and notification of pesticide poisonings. BMC Medical Informatics and Decision Making. 2019;19:40.</w:t>
      </w:r>
    </w:p>
    <w:p>
      <w:pPr>
        <w:ind w:left="340" w:hanging="255"/>
      </w:pPr>
      <w:r>
        <w:t>6. Balme KH, Roberts JC, Glasstone M, Curling L, Mann MD. Pesticide poisonings at a tertiary children's hospital in South Africa: An increasing problem. Clinical Toxicology. 2010;48(9):928-934.</w:t>
      </w:r>
    </w:p>
    <w:p>
      <w:pPr>
        <w:ind w:left="340" w:hanging="255"/>
      </w:pPr>
      <w:r>
        <w:t>7. Food and Agriculture Organization of the United Nations; World Health Organization. Guidelines on developing a reporting system for health and environmental incidents resulting from exposure to pesticides. Rome/Geneva: FAO/WHO; 2009.</w:t>
      </w:r>
    </w:p>
    <w:p>
      <w:pPr>
        <w:ind w:left="340" w:hanging="255"/>
      </w:pPr>
      <w:r>
        <w:t>8. London L, Bailie R. Challenges for improving surveillance for pesticide poisoning: Policy implications for developing countries. International Journal of Epidemiology. 2001;30(3):564-570.</w:t>
      </w:r>
    </w:p>
    <w:sectPr w:rsidR="00FC693F" w:rsidRPr="0006063C" w:rsidSect="00034616">
      <w:footerReference w:type="default" r:id="rId9"/>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6"/>
      </w:rPr>
      <w:t>Policy brief draft | April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60" w:line="269" w:lineRule="auto"/>
    </w:pPr>
    <w:rPr>
      <w:rFonts w:ascii="Aptos" w:hAnsi="Aptos"/>
      <w:b/>
      <w:color w:val="104E55"/>
      <w:sz w:val="44"/>
    </w:rPr>
  </w:style>
  <w:style w:type="paragraph" w:customStyle="1" w:styleId="SubtitleCustom">
    <w:name w:val="SubtitleCustom"/>
    <w:basedOn w:val="Normal"/>
    <w:pPr>
      <w:spacing w:before="0" w:after="240" w:line="269" w:lineRule="auto"/>
    </w:pPr>
    <w:rPr>
      <w:rFonts w:ascii="Aptos" w:hAnsi="Aptos"/>
      <w:b w:val="0"/>
      <w:color w:val="5A5A5A"/>
      <w:sz w:val="23"/>
    </w:rPr>
  </w:style>
  <w:style w:type="paragraph" w:customStyle="1" w:styleId="SectionCustom">
    <w:name w:val="SectionCustom"/>
    <w:basedOn w:val="Normal"/>
    <w:pPr>
      <w:spacing w:before="160" w:after="100" w:line="269" w:lineRule="auto"/>
    </w:pPr>
    <w:rPr>
      <w:rFonts w:ascii="Aptos" w:hAnsi="Aptos"/>
      <w:b/>
      <w:color w:val="104E55"/>
      <w:sz w:val="26"/>
    </w:rPr>
  </w:style>
  <w:style w:type="paragraph" w:customStyle="1" w:styleId="SubsectionCustom">
    <w:name w:val="SubsectionCustom"/>
    <w:basedOn w:val="Normal"/>
    <w:pPr>
      <w:spacing w:before="100" w:after="40" w:line="269" w:lineRule="auto"/>
    </w:pPr>
    <w:rPr>
      <w:rFonts w:ascii="Aptos" w:hAnsi="Aptos"/>
      <w:b/>
      <w:color w:val="357279"/>
      <w:sz w:val="23"/>
    </w:rPr>
  </w:style>
  <w:style w:type="paragraph" w:customStyle="1" w:styleId="SmallCustom">
    <w:name w:val="SmallCustom"/>
    <w:basedOn w:val="Normal"/>
    <w:pPr>
      <w:spacing w:before="0" w:after="60" w:line="269" w:lineRule="auto"/>
    </w:pPr>
    <w:rPr>
      <w:rFonts w:ascii="Aptos" w:hAnsi="Aptos"/>
      <w:b w:val="0"/>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