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56.png" ContentType="image/png"/>
  <Override PartName="/word/media/rId51.png" ContentType="image/png"/>
  <Override PartName="/word/media/rId44.png" ContentType="image/png"/>
  <Override PartName="/word/media/rId38.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Policy Brief 2: Closing the Coordination Loop</w:t>
      </w:r>
    </w:p>
    <w:p>
      <w:pPr>
        <w:pStyle w:val="Subtitle"/>
      </w:pPr>
      <w:r>
        <w:t xml:space="preserve">Making NMC, EHPs, DALRRD, and provincial response work as one system</w:t>
      </w:r>
    </w:p>
    <w:p>
      <w:pPr>
        <w:pStyle w:val="Author"/>
      </w:pPr>
      <w:r>
        <w:t xml:space="preserve">D2P Project Team</w:t>
      </w:r>
    </w:p>
    <w:p>
      <w:pPr>
        <w:pStyle w:val="Date"/>
      </w:pPr>
      <w:r>
        <w:t xml:space="preserve">2025-09-05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For Decision-Makers</w:t>
            </w:r>
          </w:p>
        </w:tc>
      </w:tr>
      <w:tr>
        <w:trPr>
          <w:cantSplit/>
        </w:trPr>
        <w:tc>
          <w:tcPr>
            <w:tcMar>
              <w:top w:w="108" w:type="dxa"/>
              <w:bottom w:w="108" w:type="dxa"/>
            </w:tcMar>
          </w:tcPr>
          <w:p>
            <w:pPr>
              <w:pStyle w:val="BodyText"/>
            </w:pPr>
            <w:pPr>
              <w:spacing w:before="16"/>
            </w:pPr>
            <w:r>
              <w:rPr>
                <w:b/>
                <w:bCs/>
              </w:rPr>
              <w:t xml:space="preserve">Target audience:</w:t>
            </w:r>
            <w:r>
              <w:t xml:space="preserve"> </w:t>
            </w:r>
            <w:r>
              <w:t xml:space="preserve">Ministerial Advisory Committee (MAC), National Department of Health (NDoH), DALRRD Pesticide Registrar, Provincial Health Leadership.</w:t>
            </w:r>
          </w:p>
          <w:p>
            <w:pPr>
              <w:pStyle w:val="BodyText"/>
            </w:pPr>
            <w:pPr>
              <w:spacing w:after="16"/>
            </w:pPr>
            <w:r>
              <w:rPr>
                <w:b/>
                <w:bCs/>
              </w:rPr>
              <w:t xml:space="preserve">Companion briefs:</w:t>
            </w:r>
            <w:r>
              <w:t xml:space="preserve"> </w:t>
            </w:r>
            <w:hyperlink r:id="rId9">
              <w:r>
                <w:rPr>
                  <w:rStyle w:val="Hyperlink"/>
                </w:rPr>
                <w:t xml:space="preserve">Surveillance</w:t>
              </w:r>
            </w:hyperlink>
            <w:r>
              <w:t xml:space="preserve"> </w:t>
            </w:r>
            <w:r>
              <w:t xml:space="preserve">·</w:t>
            </w:r>
            <w:r>
              <w:t xml:space="preserve"> </w:t>
            </w:r>
            <w:hyperlink r:id="rId10">
              <w:r>
                <w:rPr>
                  <w:rStyle w:val="Hyperlink"/>
                </w:rPr>
                <w:t xml:space="preserve">Terbufos restriction</w:t>
              </w:r>
            </w:hyperlink>
            <w:r>
              <w:t xml:space="preserve">.</w:t>
            </w:r>
          </w:p>
          <w:p/>
        </w:tc>
      </w:tr>
    </w:tbl>
    <w:bookmarkStart w:id="11" w:name="policy-question"/>
    <w:p>
      <w:pPr>
        <w:pStyle w:val="Heading2"/>
      </w:pPr>
      <w:r>
        <w:t xml:space="preserve">1. Policy question</w:t>
      </w:r>
    </w:p>
    <w:p>
      <w:pPr>
        <w:pStyle w:val="FirstParagraph"/>
      </w:pPr>
      <w:r>
        <w:rPr>
          <w:b/>
          <w:bCs/>
        </w:rPr>
        <w:t xml:space="preserve">Should NDoH and DALRRD mandate a closed-loop coordination workflow — where every NMC notification triggers an investigation that is recorded on NMC, every EHP→DALRRD referral is structured, and every DALRRD action is fed back to NICD and the clinician?</w:t>
      </w:r>
    </w:p>
    <w:bookmarkEnd w:id="11"/>
    <w:bookmarkStart w:id="12" w:name="public-health-problem"/>
    <w:p>
      <w:pPr>
        <w:pStyle w:val="Heading2"/>
      </w:pPr>
      <w:r>
        <w:t xml:space="preserve">2. Public health problem</w:t>
      </w:r>
    </w:p>
    <w:p>
      <w:pPr>
        <w:pStyle w:val="FirstParagraph"/>
      </w:pPr>
      <w:r>
        <w:t xml:space="preserve">Better detection (see the</w:t>
      </w:r>
      <w:r>
        <w:t xml:space="preserve"> </w:t>
      </w:r>
      <w:hyperlink r:id="rId9">
        <w:r>
          <w:rPr>
            <w:rStyle w:val="Hyperlink"/>
          </w:rPr>
          <w:t xml:space="preserve">Surveillance brief</w:t>
        </w:r>
      </w:hyperlink>
      <w:r>
        <w:t xml:space="preserve">) is wasted if the system does not</w:t>
      </w:r>
      <w:r>
        <w:t xml:space="preserve"> </w:t>
      </w:r>
      <w:r>
        <w:rPr>
          <w:b/>
          <w:bCs/>
        </w:rPr>
        <w:t xml:space="preserve">act</w:t>
      </w:r>
      <w:r>
        <w:t xml:space="preserve"> </w:t>
      </w:r>
      <w:r>
        <w:t xml:space="preserve">on what it detects. The response chain has</w:t>
      </w:r>
      <w:r>
        <w:t xml:space="preserve"> </w:t>
      </w:r>
      <w:r>
        <w:rPr>
          <w:b/>
          <w:bCs/>
        </w:rPr>
        <w:t xml:space="preserve">eight sequential decision points</w:t>
      </w:r>
      <w:r>
        <w:t xml:space="preserve"> </w:t>
      </w:r>
      <w:r>
        <w:t xml:space="preserve">between</w:t>
      </w:r>
      <w:r>
        <w:t xml:space="preserve"> </w:t>
      </w:r>
      <w:r>
        <w:t xml:space="preserve">“case suspected”</w:t>
      </w:r>
      <w:r>
        <w:t xml:space="preserve"> </w:t>
      </w:r>
      <w:r>
        <w:t xml:space="preserve">and</w:t>
      </w:r>
      <w:r>
        <w:t xml:space="preserve"> </w:t>
      </w:r>
      <w:r>
        <w:t xml:space="preserve">“regulatory action closes the loop”</w:t>
      </w:r>
      <w:r>
        <w:t xml:space="preserve">;</w:t>
      </w:r>
      <w:r>
        <w:t xml:space="preserve"> </w:t>
      </w:r>
      <w:r>
        <w:rPr>
          <w:b/>
          <w:bCs/>
        </w:rPr>
        <w:t xml:space="preserve">six of the eight default to a broken-loop terminal</w:t>
      </w:r>
      <w:r>
        <w:t xml:space="preserve">. A correctly-notified case can still produce no investigation, no source removal, and no regulatory follow-up — leaving the underlying hazard in place and producing predictable secondary cases.</w:t>
      </w:r>
    </w:p>
    <w:p>
      <w:pPr>
        <w:pStyle w:val="BodyText"/>
      </w:pPr>
      <w:r>
        <w:t xml:space="preserve">The coordination loop is</w:t>
      </w:r>
      <w:r>
        <w:t xml:space="preserve"> </w:t>
      </w:r>
      <w:r>
        <w:rPr>
          <w:b/>
          <w:bCs/>
        </w:rPr>
        <w:t xml:space="preserve">agent-agnostic</w:t>
      </w:r>
      <w:r>
        <w:t xml:space="preserve">: it processes terbufos clusters today, will process aldicarb or paraquat tomorrow, and — as South Africa’s burden shifts with development — opioids, methadone, or recreational-drug overdoses thereafter. The closed loop is therefore the durable institutional asset; the</w:t>
      </w:r>
      <w:r>
        <w:t xml:space="preserve"> </w:t>
      </w:r>
      <w:hyperlink r:id="rId10">
        <w:r>
          <w:rPr>
            <w:rStyle w:val="Hyperlink"/>
          </w:rPr>
          <w:t xml:space="preserve">Terbufos brief</w:t>
        </w:r>
      </w:hyperlink>
      <w:r>
        <w:t xml:space="preserve"> </w:t>
      </w:r>
      <w:r>
        <w:t xml:space="preserve">is the first product-specific output it should deliver, not the last.</w:t>
      </w:r>
    </w:p>
    <w:bookmarkEnd w:id="12"/>
    <w:bookmarkStart w:id="32" w:name="status-quo"/>
    <w:p>
      <w:pPr>
        <w:pStyle w:val="Heading2"/>
      </w:pPr>
      <w:r>
        <w:t xml:space="preserve">3. Status quo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Canonical model parameters (auto-loaded from the</w:t>
            </w:r>
            <w:r>
              <w:t xml:space="preserve"> </w:t>
            </w:r>
            <w:hyperlink r:id="rId13">
              <w:r>
                <w:rPr>
                  <w:rStyle w:val="Hyperlink"/>
                </w:rPr>
                <w:t xml:space="preserve">Parameters Hub</w:t>
              </w:r>
            </w:hyperlink>
            <w:r>
              <w:t xml:space="preserve">)</w:t>
            </w:r>
          </w:p>
        </w:tc>
      </w:tr>
      <w:tr>
        <w:trPr>
          <w:cantSplit/>
        </w:trPr>
        <w:tc>
          <w:tcPr>
            <w:tcMar>
              <w:top w:w="108" w:type="dxa"/>
              <w:bottom w:w="108" w:type="dxa"/>
            </w:tcMar>
          </w:tcPr>
          <w:p>
            <w:pPr>
              <w:pStyle w:val="BodyText"/>
            </w:pPr>
            <w:pPr>
              <w:spacing w:before="16"/>
            </w:pPr>
            <w:r>
              <w:t xml:space="preserve">All numerical claims in this brief draw from a single CSV —</w:t>
            </w:r>
            <w:r>
              <w:t xml:space="preserve"> </w:t>
            </w:r>
            <w:hyperlink r:id="rId14">
              <w:r>
                <w:rPr>
                  <w:rStyle w:val="VerbatimChar"/>
                </w:rPr>
                <w:t xml:space="preserve">amua_import_parameters_v4.csv</w:t>
              </w:r>
            </w:hyperlink>
            <w:r>
              <w:t xml:space="preserve"> </w:t>
            </w:r>
            <w:r>
              <w:t xml:space="preserve">— rendered in full at the</w:t>
            </w:r>
            <w:r>
              <w:t xml:space="preserve"> </w:t>
            </w:r>
            <w:hyperlink r:id="rId13">
              <w:r>
                <w:rPr>
                  <w:rStyle w:val="Hyperlink"/>
                </w:rPr>
                <w:t xml:space="preserve">Parameters Hub</w:t>
              </w:r>
            </w:hyperlink>
            <w:r>
              <w:t xml:space="preserve">. The headline values below are pulled from that file at render time;</w:t>
            </w:r>
            <w:r>
              <w:t xml:space="preserve"> </w:t>
            </w:r>
            <w:r>
              <w:rPr>
                <w:b/>
                <w:bCs/>
              </w:rPr>
              <w:t xml:space="preserve">do not edit the numbers in this brief — edit the CSV and re-render</w:t>
            </w:r>
            <w: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Headline parameters used in this brief</w:t>
            </w:r>
          </w:p>
          <w:p>
            <w:pPr>
              <w:spacing w:before="0" w:after="60"/>
              <w:keepNext/>
              <w:jc w:val="start"/>
              <w:pStyle w:val="caption"/>
            </w:pPr>
            <w:r>
              <w:rPr>
                <w:rFonts w:ascii="Calibri" w:hAnsi="Calibri"/>
                <w:sz w:val="20"/>
                <w:color w:val="333333"/>
              </w:rPr>
              <w:t xml:space="default">Pulled from amua_import_parameters_v4.csv at render time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Parameter</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Annual NMC pesticide notifications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Annual NHLS severe BChE inhibitions (live)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Annual PIH pesticide-related calls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True annual burden (sum, upper bound)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Headline annual deaths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Blended headline morbidity cost per 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R12,000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Mortality cost per death (human-capital)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R1.50 million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Headline annual economic burden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R1.61 billion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Response efficacy η (base case)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Detection probability — status quo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Detection probability — full package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Full Package narrow operating cost / yr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R237,000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Full Package whole-system operating cost / yr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R1.19 million</w:t>
                  </w:r>
                </w:p>
              </w:tc>
            </w:tr>
          </w:tbl>
          <w:bookmarkStart w:id="16" w:name="who-bears-the-r1.61b-annual-burden"/>
          <w:p>
            <w:pPr>
              <w:pStyle w:val="Heading3"/>
            </w:pPr>
            <w:r>
              <w:t xml:space="preserve">Who bears the R1.61B annual burden?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Annual burden by stakeholder (headline scenario, ZAR 2025)</w:t>
            </w:r>
          </w:p>
          <w:p>
            <w:pPr>
              <w:spacing w:before="0" w:after="60"/>
              <w:keepNext/>
              <w:jc w:val="start"/>
              <w:pStyle w:val="caption"/>
            </w:pPr>
            <w:r>
              <w:rPr>
                <w:rFonts w:ascii="Calibri" w:hAnsi="Calibri"/>
                <w:sz w:val="20"/>
                <w:color w:val="333333"/>
              </w:rPr>
              <w:t xml:space="default">Each rand of the R1.61B falls on exactly one bearer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Stakeholder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Value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Share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NDoH — public hospitals (UPFS ward + ICU + drugs)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R70.00 million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NHLS — laboratory (BChE, GC-MS, repeat clinical chemistry)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R10.00 million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DALRRD — regulator (no burden-side share by construction)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Individuals / households — out-of-pocket + lost wages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R10.00 million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Households / wider society — lost lifetime earnings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R1.52 billion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R1.61 billion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100%</w:t>
                  </w:r>
                </w:p>
              </w:tc>
            </w:tr>
          </w:tbl>
          <w:p>
            <w:pPr>
              <w:pStyle w:val="FirstParagraph"/>
            </w:pPr>
            <w:r>
              <w:rPr>
                <w:b/>
                <w:bCs/>
              </w:rPr>
              <w:t xml:space="preserve">Reading the table.</w:t>
            </w:r>
            <w:r>
              <w:t xml:space="preserve"> </w:t>
            </w:r>
            <w:r>
              <w:t xml:space="preserve">~94 % of the R1.61B is</w:t>
            </w:r>
            <w:r>
              <w:t xml:space="preserve"> </w:t>
            </w:r>
            <w:r>
              <w:rPr>
                <w:b/>
                <w:bCs/>
              </w:rPr>
              <w:t xml:space="preserve">mortality, borne by households and the wider economy</w:t>
            </w:r>
            <w:r>
              <w:t xml:space="preserve"> </w:t>
            </w:r>
            <w:r>
              <w:t xml:space="preserve">as lost lifetime earnings (1,014 deaths × R1.5M human-capital, undiscounted; sensitivity: R1.05M at 3 % discount). The directly-budgeted health-sector share is</w:t>
            </w:r>
            <w:r>
              <w:t xml:space="preserve"> </w:t>
            </w:r>
            <w:r>
              <w:rPr>
                <w:b/>
                <w:bCs/>
              </w:rPr>
              <w:t xml:space="preserve">R80M</w:t>
            </w:r>
            <w:r>
              <w:t xml:space="preserve"> </w:t>
            </w:r>
            <w:r>
              <w:t xml:space="preserve">(NDoH ~R70M hospital + NHLS ~R10M lab) — modest in absolute terms, but it is the only column that appears on a departmental budget line. DALRRD bears</w:t>
            </w:r>
            <w:r>
              <w:t xml:space="preserve"> </w:t>
            </w:r>
            <w:r>
              <w:rPr>
                <w:b/>
                <w:bCs/>
              </w:rPr>
              <w:t xml:space="preserve">R0</w:t>
            </w:r>
            <w:r>
              <w:t xml:space="preserve"> </w:t>
            </w:r>
            <w:r>
              <w:t xml:space="preserve">of the</w:t>
            </w:r>
            <w:r>
              <w:t xml:space="preserve"> </w:t>
            </w:r>
            <w:r>
              <w:rPr>
                <w:i/>
                <w:iCs/>
              </w:rPr>
              <w:t xml:space="preserve">burden</w:t>
            </w:r>
            <w:r>
              <w:t xml:space="preserve"> </w:t>
            </w:r>
            <w:r>
              <w:t xml:space="preserve">side by construction: their cost sits on the</w:t>
            </w:r>
            <w:r>
              <w:t xml:space="preserve"> </w:t>
            </w:r>
            <w:r>
              <w:rPr>
                <w:i/>
                <w:iCs/>
              </w:rPr>
              <w:t xml:space="preserve">intervention</w:t>
            </w:r>
            <w:r>
              <w:t xml:space="preserve"> </w:t>
            </w:r>
            <w:r>
              <w:t xml:space="preserve">side (enforcement, recalls, registration action).</w:t>
            </w:r>
          </w:p>
          <w:p>
            <w:pPr>
              <w:pStyle w:val="BodyText"/>
            </w:pPr>
            <w:r>
              <w:t xml:space="preserve">For the full sourced parameter set (CFR by severity, UPFS tariffs, per-option costs, induced-demand components, DALY monetisation, NMB), see the</w:t>
            </w:r>
            <w:r>
              <w:t xml:space="preserve"> </w:t>
            </w:r>
            <w:hyperlink r:id="rId13">
              <w:r>
                <w:rPr>
                  <w:rStyle w:val="Hyperlink"/>
                  <w:b/>
                  <w:bCs/>
                </w:rPr>
                <w:t xml:space="preserve">Parameters Hub</w:t>
              </w:r>
            </w:hyperlink>
            <w:r>
              <w:t xml:space="preserve">. For the v2 → v3 critical appraisal, see</w:t>
            </w:r>
            <w:r>
              <w:t xml:space="preserve"> </w:t>
            </w:r>
            <w:hyperlink r:id="rId15">
              <w:r>
                <w:rPr>
                  <w:rStyle w:val="VerbatimChar"/>
                </w:rPr>
                <w:t xml:space="preserve">parameter_appraisal.qmd</w:t>
              </w:r>
            </w:hyperlink>
            <w:r>
              <w:t xml:space="preserve">.</w:t>
            </w:r>
          </w:p>
          <w:bookmarkEnd w:id="16"/>
          <w:bookmarkStart w:id="17" w:name="X2ad17f6fd94d6dd4c40b4ff1ca653e26ab54848"/>
          <w:p>
            <w:pPr>
              <w:pStyle w:val="Heading3"/>
            </w:pPr>
            <w:r>
              <w:t xml:space="preserve">Canonical option costs (Detect · Act · Restrict)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Option costs by stage (Detect · Act · Restrict)</w:t>
            </w:r>
          </w:p>
          <w:p>
            <w:pPr>
              <w:spacing w:before="0" w:after="60"/>
              <w:keepNext/>
              <w:jc w:val="start"/>
              <w:pStyle w:val="caption"/>
            </w:pPr>
            <w:r>
              <w:rPr>
                <w:rFonts w:ascii="Calibri" w:hAnsi="Calibri"/>
                <w:sz w:val="20"/>
                <w:color w:val="333333"/>
              </w:rPr>
              <w:t xml:space="default">All values pulled from amua_import_parameters_v3.csv at render time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Option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Cost</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Notes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Detect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 — NHLS→NMC IT feed (operating)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R60,000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0.05 FTE analyst + QA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S3a — BChE auto-notify (operating)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R55,000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LIS HL7 middleware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 — PIH dashboard / MVD (operating)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R82,000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MVD redesign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Surveillance MVP (S1+S3a+S4, operating)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R137,000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R60k + R55k + R42k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Surveillance MVP setup (one-off)</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R80,000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S3a HL7 dominates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Act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C1 — NMC closure-of-loop field (operating)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R30,000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Schema + EHP training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C2 — Structured DALRRD referral form (operating)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R25,000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Form + workflow</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C3 — NICD→DALRRD intelligence feed (operating)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R40,000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Quarterly brief + alerts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C4 — Clinician auto-feedback (operating)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R20,000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Email templating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C5 — Joint KPI dashboard (operating)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R30,000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Public hosting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Coordination Full Package (operating)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R145,000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Σ C1..C5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Restrict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T2 — RUP + audit + formulation restriction (low)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R1.00 million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DALRRD inspectorate, lower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T2 — RUP + audit + formulation restriction (mid)★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R2.00 million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Working 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T2 — RUP + audit + formulation restriction (hi)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R3.00 million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Upper</w:t>
                  </w:r>
                </w:p>
              </w:tc>
            </w:tr>
          </w:tbl>
          <w:p/>
        </w:tc>
      </w:tr>
    </w:tbl>
    <w:bookmarkEnd w:id="17"/>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16" w:after="16"/>
            </w:pPr>
            <w:r>
              <w:t xml:space="preserve">Under the hood — models, packages, and formulae</w:t>
            </w:r>
          </w:p>
        </w:tc>
      </w:tr>
      <w:tr>
        <w:trPr>
          <w:cantSplit/>
        </w:trPr>
        <w:tc>
          <w:tcPr>
            <w:tcMar>
              <w:top w:w="108" w:type="dxa"/>
              <w:bottom w:w="108" w:type="dxa"/>
            </w:tcMar>
          </w:tcPr>
          <w:p>
            <w:pPr>
              <w:pStyle w:val="BodyText"/>
            </w:pPr>
            <w:pPr>
              <w:spacing w:before="16"/>
            </w:pPr>
            <w:r>
              <w:rPr>
                <w:b/>
                <w:bCs/>
              </w:rPr>
              <w:t xml:space="preserve">Software stack.</w:t>
            </w:r>
            <w:r>
              <w:t xml:space="preserve"> </w:t>
            </w:r>
            <w:r>
              <w:t xml:space="preserve">This site is built with</w:t>
            </w:r>
            <w:r>
              <w:t xml:space="preserve"> </w:t>
            </w:r>
            <w:r>
              <w:rPr>
                <w:b/>
                <w:bCs/>
              </w:rPr>
              <w:t xml:space="preserve">Quarto v1.x</w:t>
            </w:r>
            <w:r>
              <w:t xml:space="preserve"> </w:t>
            </w:r>
            <w:r>
              <w:t xml:space="preserve">rendering R chunks through</w:t>
            </w:r>
            <w:r>
              <w:t xml:space="preserve"> </w:t>
            </w:r>
            <w:r>
              <w:rPr>
                <w:b/>
                <w:bCs/>
              </w:rPr>
              <w:t xml:space="preserve">R ≥ 4.3</w:t>
            </w:r>
            <w:r>
              <w:t xml:space="preserve"> </w:t>
            </w:r>
            <w:r>
              <w:t xml:space="preserve">and</w:t>
            </w:r>
            <w:r>
              <w:t xml:space="preserve"> </w:t>
            </w:r>
            <w:r>
              <w:rPr>
                <w:b/>
                <w:bCs/>
              </w:rPr>
              <w:t xml:space="preserve">knitr</w:t>
            </w:r>
            <w:r>
              <w:t xml:space="preserve">. Tables use</w:t>
            </w:r>
            <w:r>
              <w:t xml:space="preserve"> </w:t>
            </w:r>
            <w:hyperlink r:id="rId18">
              <w:r>
                <w:rPr>
                  <w:rStyle w:val="Hyperlink"/>
                  <w:b/>
                  <w:bCs/>
                </w:rPr>
                <w:t xml:space="preserve">gt</w:t>
              </w:r>
            </w:hyperlink>
            <w:r>
              <w:t xml:space="preserve">; data wrangling</w:t>
            </w:r>
            <w:r>
              <w:t xml:space="preserve"> </w:t>
            </w:r>
            <w:hyperlink r:id="rId19">
              <w:r>
                <w:rPr>
                  <w:rStyle w:val="Hyperlink"/>
                  <w:b/>
                  <w:bCs/>
                </w:rPr>
                <w:t xml:space="preserve">tidyverse</w:t>
              </w:r>
            </w:hyperlink>
            <w:r>
              <w:t xml:space="preserve"> </w:t>
            </w:r>
            <w:r>
              <w:t xml:space="preserve">(</w:t>
            </w:r>
            <w:r>
              <w:rPr>
                <w:rStyle w:val="VerbatimChar"/>
              </w:rPr>
              <w:t xml:space="preserve">dplyr</w:t>
            </w:r>
            <w:r>
              <w:t xml:space="preserve">,</w:t>
            </w:r>
            <w:r>
              <w:t xml:space="preserve"> </w:t>
            </w:r>
            <w:r>
              <w:rPr>
                <w:rStyle w:val="VerbatimChar"/>
              </w:rPr>
              <w:t xml:space="preserve">readr</w:t>
            </w:r>
            <w:r>
              <w:t xml:space="preserve">,</w:t>
            </w:r>
            <w:r>
              <w:t xml:space="preserve"> </w:t>
            </w:r>
            <w:r>
              <w:rPr>
                <w:rStyle w:val="VerbatimChar"/>
              </w:rPr>
              <w:t xml:space="preserve">tibble</w:t>
            </w:r>
            <w:r>
              <w:t xml:space="preserve">); percentage formatting</w:t>
            </w:r>
            <w:r>
              <w:t xml:space="preserve"> </w:t>
            </w:r>
            <w:hyperlink r:id="rId20">
              <w:r>
                <w:rPr>
                  <w:rStyle w:val="Hyperlink"/>
                  <w:b/>
                  <w:bCs/>
                </w:rPr>
                <w:t xml:space="preserve">scales</w:t>
              </w:r>
            </w:hyperlink>
            <w:r>
              <w:t xml:space="preserve">; diagrams</w:t>
            </w:r>
            <w:r>
              <w:t xml:space="preserve"> </w:t>
            </w:r>
            <w:hyperlink r:id="rId21">
              <w:r>
                <w:rPr>
                  <w:rStyle w:val="Hyperlink"/>
                  <w:b/>
                  <w:bCs/>
                </w:rPr>
                <w:t xml:space="preserve">mermaid</w:t>
              </w:r>
            </w:hyperlink>
            <w:r>
              <w:t xml:space="preserve"> </w:t>
            </w:r>
            <w:r>
              <w:t xml:space="preserve">via Quarto’s built-in diagram filter. The interactive</w:t>
            </w:r>
            <w:r>
              <w:t xml:space="preserve"> </w:t>
            </w:r>
            <w:hyperlink r:id="rId22">
              <w:r>
                <w:rPr>
                  <w:rStyle w:val="Hyperlink"/>
                </w:rPr>
                <w:t xml:space="preserve">Parameter Playground</w:t>
              </w:r>
            </w:hyperlink>
            <w:r>
              <w:t xml:space="preserve"> </w:t>
            </w:r>
            <w:r>
              <w:t xml:space="preserve">layer adds</w:t>
            </w:r>
            <w:r>
              <w:t xml:space="preserve"> </w:t>
            </w:r>
            <w:hyperlink r:id="rId23">
              <w:r>
                <w:rPr>
                  <w:rStyle w:val="Hyperlink"/>
                  <w:b/>
                  <w:bCs/>
                </w:rPr>
                <w:t xml:space="preserve">Observable JS</w:t>
              </w:r>
            </w:hyperlink>
            <w:r>
              <w:t xml:space="preserve"> </w:t>
            </w:r>
            <w:r>
              <w:t xml:space="preserve">via Quarto OJS.</w:t>
            </w:r>
          </w:p>
          <w:p>
            <w:pPr>
              <w:pStyle w:val="BodyText"/>
            </w:pPr>
            <w:r>
              <w:rPr>
                <w:b/>
                <w:bCs/>
              </w:rPr>
              <w:t xml:space="preserve">Canonical parameter file.</w:t>
            </w:r>
            <w:r>
              <w:t xml:space="preserve"> </w:t>
            </w:r>
            <w:r>
              <w:t xml:space="preserve">All numerical values in every brief, the one-pager, and the playground resolve through</w:t>
            </w:r>
            <w:r>
              <w:t xml:space="preserve"> </w:t>
            </w:r>
            <w:r>
              <w:rPr>
                <w:rStyle w:val="VerbatimChar"/>
              </w:rPr>
              <w:t xml:space="preserve">pick(name)</w:t>
            </w:r>
            <w:r>
              <w:t xml:space="preserve"> </w:t>
            </w:r>
            <w:r>
              <w:t xml:space="preserve">→</w:t>
            </w:r>
            <w:r>
              <w:t xml:space="preserve"> </w:t>
            </w:r>
            <w:r>
              <w:rPr>
                <w:rStyle w:val="VerbatimChar"/>
              </w:rPr>
              <w:t xml:space="preserve">readr::read_csv("../amua_import_parameters_v3.csv")</w:t>
            </w:r>
            <w:r>
              <w:t xml:space="preserve"> </w:t>
            </w:r>
            <w:r>
              <w:t xml:space="preserve">→ string lookup →</w:t>
            </w:r>
            <w:r>
              <w:t xml:space="preserve"> </w:t>
            </w:r>
            <w:r>
              <w:rPr>
                <w:rStyle w:val="VerbatimChar"/>
              </w:rPr>
              <w:t xml:space="preserve">as.numeric()</w:t>
            </w:r>
            <w:r>
              <w:t xml:space="preserve"> </w:t>
            </w:r>
            <w:r>
              <w:t xml:space="preserve">→</w:t>
            </w:r>
            <w:r>
              <w:t xml:space="preserve"> </w:t>
            </w:r>
            <w:r>
              <w:rPr>
                <w:rStyle w:val="VerbatimChar"/>
              </w:rPr>
              <w:t xml:space="preserve">zar()</w:t>
            </w:r>
            <w:r>
              <w:t xml:space="preserve"> </w:t>
            </w:r>
            <w:r>
              <w:t xml:space="preserve">formatter.</w:t>
            </w:r>
            <w:r>
              <w:t xml:space="preserve"> </w:t>
            </w:r>
            <w:r>
              <w:rPr>
                <w:b/>
                <w:bCs/>
              </w:rPr>
              <w:t xml:space="preserve">No rand value in any brief is a literal in prose</w:t>
            </w:r>
            <w:r>
              <w:t xml:space="preserve"> </w:t>
            </w:r>
            <w:r>
              <w:t xml:space="preserve">(except where prose paraphrases a CSV-sourced value). The audit chain is: CSV row →</w:t>
            </w:r>
            <w:r>
              <w:t xml:space="preserve"> </w:t>
            </w:r>
            <w:r>
              <w:rPr>
                <w:rStyle w:val="VerbatimChar"/>
              </w:rPr>
              <w:t xml:space="preserve">_shared_parameters.qmd</w:t>
            </w:r>
            <w:r>
              <w:t xml:space="preserve"> </w:t>
            </w:r>
            <w:r>
              <w:rPr>
                <w:rStyle w:val="VerbatimChar"/>
              </w:rPr>
              <w:t xml:space="preserve">pick()</w:t>
            </w:r>
            <w:r>
              <w:t xml:space="preserve"> </w:t>
            </w:r>
            <w:r>
              <w:t xml:space="preserve">call → rendered</w:t>
            </w:r>
            <w:r>
              <w:t xml:space="preserve"> </w:t>
            </w:r>
            <w:r>
              <w:rPr>
                <w:rStyle w:val="VerbatimChar"/>
              </w:rPr>
              <w:t xml:space="preserve">gt</w:t>
            </w:r>
            <w:r>
              <w:t xml:space="preserve"> </w:t>
            </w:r>
            <w:r>
              <w:t xml:space="preserve">cell.</w:t>
            </w:r>
          </w:p>
          <w:p>
            <w:pPr>
              <w:pStyle w:val="BodyText"/>
            </w:pPr>
            <w:r>
              <w:rPr>
                <w:b/>
                <w:bCs/>
              </w:rPr>
              <w:t xml:space="preserve">Burden model (closed-form, deterministic).</w:t>
            </w:r>
          </w:p>
          <w:p>
            <w:pPr>
              <w:pStyle w:val="BodyText"/>
            </w:pPr>
            <m:oMathPara>
              <m:oMathParaPr>
                <m:jc m:val="center"/>
              </m:oMathParaPr>
              <m:oMath>
                <m:sSub>
                  <m:e>
                    <m:r>
                      <m:t>C</m:t>
                    </m:r>
                  </m:e>
                  <m:sub>
                    <m:r>
                      <m:rPr>
                        <m:nor/>
                        <m:sty m:val="p"/>
                      </m:rPr>
                      <m:t>burden</m:t>
                    </m:r>
                  </m:sub>
                </m:sSub>
                <m:r>
                  <m:t> </m:t>
                </m:r>
                <m:r>
                  <m:rPr>
                    <m:sty m:val="p"/>
                  </m:rPr>
                  <m:t>=</m:t>
                </m:r>
                <m:r>
                  <m:t> </m:t>
                </m:r>
                <m:limLow>
                  <m:e>
                    <m:limLow>
                      <m:e>
                        <m:nary>
                          <m:naryPr>
                            <m:chr m:val="∑"/>
                            <m:limLoc m:val="undOvr"/>
                            <m:subHide m:val="off"/>
                            <m:supHide m:val="on"/>
                          </m:naryPr>
                          <m:sub>
                            <m:r>
                              <m:t>s</m:t>
                            </m:r>
                            <m:r>
                              <m:rPr>
                                <m:sty m:val="p"/>
                              </m:rPr>
                              <m:t>∈</m:t>
                            </m:r>
                            <m:r>
                              <m:rPr>
                                <m:sty m:val="p"/>
                              </m:rPr>
                              <m:t>{</m:t>
                            </m:r>
                            <m:r>
                              <m:rPr>
                                <m:nor/>
                                <m:sty m:val="p"/>
                              </m:rPr>
                              <m:t>PIH</m:t>
                            </m:r>
                            <m:r>
                              <m:rPr>
                                <m:sty m:val="p"/>
                              </m:rPr>
                              <m:t>,</m:t>
                            </m:r>
                            <m:r>
                              <m:rPr>
                                <m:nor/>
                                <m:sty m:val="p"/>
                              </m:rPr>
                              <m:t>NHLS</m:t>
                            </m:r>
                            <m:r>
                              <m:rPr>
                                <m:sty m:val="p"/>
                              </m:rPr>
                              <m:t>,</m:t>
                            </m:r>
                            <m:r>
                              <m:rPr>
                                <m:nor/>
                                <m:sty m:val="p"/>
                              </m:rPr>
                              <m:t>NMC</m:t>
                            </m:r>
                            <m:r>
                              <m:rPr>
                                <m:sty m:val="p"/>
                              </m:rPr>
                              <m:t>}</m:t>
                            </m:r>
                          </m:sub>
                          <m:sup>
                            <m:r>
                              <m:t>​</m:t>
                            </m:r>
                          </m:sup>
                          <m:e>
                            <m:sSub>
                              <m:e>
                                <m:r>
                                  <m:t>n</m:t>
                                </m:r>
                              </m:e>
                              <m:sub>
                                <m:r>
                                  <m:t>s</m:t>
                                </m:r>
                              </m:sub>
                            </m:sSub>
                          </m:e>
                        </m:nary>
                        <m:r>
                          <m:rPr>
                            <m:sty m:val="p"/>
                          </m:rPr>
                          <m:t>⋅</m:t>
                        </m:r>
                        <m:sSubSup>
                          <m:e>
                            <m:r>
                              <m:t>c</m:t>
                            </m:r>
                          </m:e>
                          <m:sub>
                            <m:r>
                              <m:t>s</m:t>
                            </m:r>
                          </m:sub>
                          <m:sup>
                            <m:r>
                              <m:rPr>
                                <m:nor/>
                                <m:sty m:val="p"/>
                              </m:rPr>
                              <m:t>morb</m:t>
                            </m:r>
                          </m:sup>
                        </m:sSubSup>
                      </m:e>
                      <m:lim>
                        <m:r>
                          <m:rPr>
                            <m:sty m:val="p"/>
                          </m:rPr>
                          <m:t>⏟</m:t>
                        </m:r>
                      </m:lim>
                    </m:limLow>
                  </m:e>
                  <m:lim>
                    <m:r>
                      <m:rPr>
                        <m:nor/>
                        <m:sty m:val="p"/>
                      </m:rPr>
                      <m:t>morbidity</m:t>
                    </m:r>
                  </m:lim>
                </m:limLow>
                <m:r>
                  <m:t> </m:t>
                </m:r>
                <m:r>
                  <m:rPr>
                    <m:sty m:val="p"/>
                  </m:rPr>
                  <m:t>+</m:t>
                </m:r>
                <m:r>
                  <m:t> </m:t>
                </m:r>
                <m:limLow>
                  <m:e>
                    <m:limLow>
                      <m:e>
                        <m:sSub>
                          <m:e>
                            <m:r>
                              <m:t>n</m:t>
                            </m:r>
                          </m:e>
                          <m:sub>
                            <m:r>
                              <m:rPr>
                                <m:nor/>
                                <m:sty m:val="p"/>
                              </m:rPr>
                              <m:t>deaths</m:t>
                            </m:r>
                          </m:sub>
                        </m:sSub>
                        <m:r>
                          <m:rPr>
                            <m:sty m:val="p"/>
                          </m:rPr>
                          <m:t>⋅</m:t>
                        </m:r>
                        <m:sSubSup>
                          <m:e>
                            <m:r>
                              <m:t>c</m:t>
                            </m:r>
                          </m:e>
                          <m:sub>
                            <m:r>
                              <m:rPr>
                                <m:nor/>
                                <m:sty m:val="p"/>
                              </m:rPr>
                              <m:t>HC</m:t>
                            </m:r>
                          </m:sub>
                          <m:sup>
                            <m:r>
                              <m:rPr>
                                <m:nor/>
                                <m:sty m:val="p"/>
                              </m:rPr>
                              <m:t>mort</m:t>
                            </m:r>
                          </m:sup>
                        </m:sSubSup>
                      </m:e>
                      <m:lim>
                        <m:r>
                          <m:rPr>
                            <m:sty m:val="p"/>
                          </m:rPr>
                          <m:t>⏟</m:t>
                        </m:r>
                      </m:lim>
                    </m:limLow>
                  </m:e>
                  <m:lim>
                    <m:r>
                      <m:rPr>
                        <m:nor/>
                        <m:sty m:val="p"/>
                      </m:rPr>
                      <m:t>mortality (human-capital)</m:t>
                    </m:r>
                  </m:lim>
                </m:limLow>
              </m:oMath>
            </m:oMathPara>
          </w:p>
          <w:p>
            <w:pPr>
              <w:pStyle w:val="FirstParagraph"/>
            </w:pPr>
            <w:r>
              <w:t xml:space="preserve">where</w:t>
            </w:r>
            <w:r>
              <w:t xml:space="preserve"> </w:t>
            </w:r>
            <m:oMath>
              <m:sSub>
                <m:e>
                  <m:r>
                    <m:t>n</m:t>
                  </m:r>
                </m:e>
                <m:sub>
                  <m:r>
                    <m:t>s</m:t>
                  </m:r>
                </m:sub>
              </m:sSub>
            </m:oMath>
            <w:r>
              <w:t xml:space="preserve"> </w:t>
            </w:r>
            <w:r>
              <w:t xml:space="preserve">= stream counts (rows</w:t>
            </w:r>
            <w:r>
              <w:t xml:space="preserve"> </w:t>
            </w:r>
            <w:r>
              <w:rPr>
                <w:rStyle w:val="VerbatimChar"/>
              </w:rPr>
              <w:t xml:space="preserve">n_pih_annual</w:t>
            </w:r>
            <w:r>
              <w:t xml:space="preserve">,</w:t>
            </w:r>
            <w:r>
              <w:t xml:space="preserve"> </w:t>
            </w:r>
            <w:r>
              <w:rPr>
                <w:rStyle w:val="VerbatimChar"/>
              </w:rPr>
              <w:t xml:space="preserve">n_nhls_severe_annual</w:t>
            </w:r>
            <w:r>
              <w:t xml:space="preserve">,</w:t>
            </w:r>
            <w:r>
              <w:t xml:space="preserve"> </w:t>
            </w:r>
            <w:r>
              <w:rPr>
                <w:rStyle w:val="VerbatimChar"/>
              </w:rPr>
              <w:t xml:space="preserve">n_nmc_annual</w:t>
            </w:r>
            <w:r>
              <w:t xml:space="preserve">),</w:t>
            </w:r>
            <w:r>
              <w:t xml:space="preserve"> </w:t>
            </w:r>
            <m:oMath>
              <m:sSubSup>
                <m:e>
                  <m:r>
                    <m:t>c</m:t>
                  </m:r>
                </m:e>
                <m:sub>
                  <m:r>
                    <m:t>s</m:t>
                  </m:r>
                </m:sub>
                <m:sup>
                  <m:r>
                    <m:rPr>
                      <m:nor/>
                      <m:sty m:val="p"/>
                    </m:rPr>
                    <m:t>morb</m:t>
                  </m:r>
                </m:sup>
              </m:sSubSup>
            </m:oMath>
            <w:r>
              <w:t xml:space="preserve"> </w:t>
            </w:r>
            <w:r>
              <w:t xml:space="preserve">= stratum-specific per-case morbidity costs (rows</w:t>
            </w:r>
            <w:r>
              <w:t xml:space="preserve"> </w:t>
            </w:r>
            <w:r>
              <w:rPr>
                <w:rStyle w:val="VerbatimChar"/>
              </w:rPr>
              <w:t xml:space="preserve">c_morbidity_*</w:t>
            </w:r>
            <w:r>
              <w:t xml:space="preserve">),</w:t>
            </w:r>
            <w:r>
              <w:t xml:space="preserve"> </w:t>
            </w:r>
            <m:oMath>
              <m:sSub>
                <m:e>
                  <m:r>
                    <m:t>n</m:t>
                  </m:r>
                </m:e>
                <m:sub>
                  <m:r>
                    <m:rPr>
                      <m:nor/>
                      <m:sty m:val="p"/>
                    </m:rPr>
                    <m:t>deaths</m:t>
                  </m:r>
                </m:sub>
              </m:sSub>
              <m:r>
                <m:rPr>
                  <m:sty m:val="p"/>
                </m:rPr>
                <m:t>=</m:t>
              </m:r>
              <m:r>
                <m:t>1</m:t>
              </m:r>
              <m:r>
                <m:rPr>
                  <m:sty m:val="p"/>
                </m:rPr>
                <m:t>,</m:t>
              </m:r>
              <m:r>
                <m:t>014</m:t>
              </m:r>
            </m:oMath>
            <w:r>
              <w:t xml:space="preserve"> </w:t>
            </w:r>
            <w:r>
              <w:t xml:space="preserve">(</w:t>
            </w:r>
            <w:r>
              <w:rPr>
                <w:rStyle w:val="VerbatimChar"/>
              </w:rPr>
              <w:t xml:space="preserve">n_deaths_statssa_macod</w:t>
            </w:r>
            <w:r>
              <w:t xml:space="preserve"> </w:t>
            </w:r>
            <w:r>
              <w:t xml:space="preserve">—</w:t>
            </w:r>
            <w:r>
              <w:t xml:space="preserve"> </w:t>
            </w:r>
            <w:r>
              <w:rPr>
                <w:b/>
                <w:bCs/>
              </w:rPr>
              <w:t xml:space="preserve">StatsSA MACOD 2022, pesticide-specific UCOD codes (X48+X68+X87+Y18), is the canonical truth source for deaths and is updated as new StatsSA releases land</w:t>
            </w:r>
            <w:r>
              <w:t xml:space="preserve">;</w:t>
            </w:r>
            <w:r>
              <w:t xml:space="preserve"> </w:t>
            </w:r>
            <w:r>
              <w:rPr>
                <w:rStyle w:val="VerbatimChar"/>
              </w:rPr>
              <w:t xml:space="preserve">n_deaths_headline</w:t>
            </w:r>
            <w:r>
              <w:t xml:space="preserve"> </w:t>
            </w:r>
            <w:r>
              <w:t xml:space="preserve">mirrors it), $c^{</w:t>
            </w:r>
            <w:r>
              <w:t xml:space="preserve">}_{</w:t>
            </w:r>
            <w:r>
              <w:t xml:space="preserve">} = $ 25 productive years × R60k median income, undiscounted (</w:t>
            </w:r>
            <w:r>
              <w:rPr>
                <w:rStyle w:val="VerbatimChar"/>
              </w:rPr>
              <w:t xml:space="preserve">c_mortality_human_capital</w:t>
            </w:r>
            <w:r>
              <w:t xml:space="preserve">). Stratified-CFR alternative (</w:t>
            </w:r>
            <w:r>
              <w:rPr>
                <w:rStyle w:val="VerbatimChar"/>
              </w:rPr>
              <w:t xml:space="preserve">C_burden_total_conservative</w:t>
            </w:r>
            <w:r>
              <w:t xml:space="preserve"> </w:t>
            </w:r>
            <w:r>
              <w:t xml:space="preserve">≈ R1.34B) is supplied as a sensitivity.</w:t>
            </w:r>
          </w:p>
          <w:p>
            <w:pPr>
              <w:pStyle w:val="BodyText"/>
            </w:pPr>
            <w:r>
              <w:rPr>
                <w:b/>
                <w:bCs/>
              </w:rPr>
              <w:t xml:space="preserve">Coordination decision tree (closed-form joint probability).</w:t>
            </w:r>
          </w:p>
          <w:p>
            <w:pPr>
              <w:pStyle w:val="BodyText"/>
            </w:pPr>
            <m:oMathPara>
              <m:oMathParaPr>
                <m:jc m:val="center"/>
              </m:oMathParaPr>
              <m:oMath>
                <m:r>
                  <m:t>P</m:t>
                </m:r>
                <m:r>
                  <m:rPr>
                    <m:sty m:val="p"/>
                  </m:rPr>
                  <m:t>(</m:t>
                </m:r>
                <m:r>
                  <m:rPr>
                    <m:nor/>
                    <m:sty m:val="p"/>
                  </m:rPr>
                  <m:t>loop closed</m:t>
                </m:r>
                <m:r>
                  <m:rPr>
                    <m:sty m:val="p"/>
                  </m:rPr>
                  <m:t>)</m:t>
                </m:r>
                <m:r>
                  <m:t> </m:t>
                </m:r>
                <m:r>
                  <m:rPr>
                    <m:sty m:val="p"/>
                  </m:rPr>
                  <m:t>=</m:t>
                </m:r>
                <m:r>
                  <m:t> </m:t>
                </m:r>
                <m:nary>
                  <m:naryPr>
                    <m:chr m:val="∏"/>
                    <m:limLoc m:val="undOvr"/>
                    <m:subHide m:val="off"/>
                    <m:supHide m:val="off"/>
                  </m:naryPr>
                  <m:sub>
                    <m:r>
                      <m:t>i</m:t>
                    </m:r>
                    <m:r>
                      <m:rPr>
                        <m:sty m:val="p"/>
                      </m:rPr>
                      <m:t>=</m:t>
                    </m:r>
                    <m:r>
                      <m:t>1</m:t>
                    </m:r>
                  </m:sub>
                  <m:sup>
                    <m:r>
                      <m:t>8</m:t>
                    </m:r>
                  </m:sup>
                  <m:e>
                    <m:sSub>
                      <m:e>
                        <m:r>
                          <m:t>p</m:t>
                        </m:r>
                      </m:e>
                      <m:sub>
                        <m:r>
                          <m:t>i</m:t>
                        </m:r>
                      </m:sub>
                    </m:sSub>
                  </m:e>
                </m:nary>
              </m:oMath>
            </m:oMathPara>
          </w:p>
          <w:p>
            <w:pPr>
              <w:pStyle w:val="FirstParagraph"/>
            </w:pPr>
            <w:r>
              <w:t xml:space="preserve">over eight sequential nodes (notify → SMS → investigate → record → refer → DALRRD acts → feedback → feedback to clinician). Status-quo joint product ≈ 1.1 % (</w:t>
            </w:r>
            <w:r>
              <w:rPr>
                <w:rStyle w:val="VerbatimChar"/>
              </w:rPr>
              <w:t xml:space="preserve">p_loop_closed_status_quo</w:t>
            </w:r>
            <w:r>
              <w:t xml:space="preserve">); Full Package ≈ 70 % (</w:t>
            </w:r>
            <w:r>
              <w:rPr>
                <w:rStyle w:val="VerbatimChar"/>
              </w:rPr>
              <w:t xml:space="preserve">p_loop_closed_FP</w:t>
            </w:r>
            <w:r>
              <w:t xml:space="preserve">). Deaths averted =</w:t>
            </w:r>
            <w:r>
              <w:t xml:space="preserve"> </w:t>
            </w:r>
            <m:oMath>
              <m:r>
                <m:rPr>
                  <m:sty m:val="p"/>
                </m:rPr>
                <m:t>Δ</m:t>
              </m:r>
              <m:r>
                <m:t>P</m:t>
              </m:r>
              <m:r>
                <m:rPr>
                  <m:sty m:val="p"/>
                </m:rPr>
                <m:t>×</m:t>
              </m:r>
              <m:r>
                <m:t>η</m:t>
              </m:r>
              <m:r>
                <m:rPr>
                  <m:sty m:val="p"/>
                </m:rPr>
                <m:t>×</m:t>
              </m:r>
              <m:sSub>
                <m:e>
                  <m:r>
                    <m:t>n</m:t>
                  </m:r>
                </m:e>
                <m:sub>
                  <m:r>
                    <m:rPr>
                      <m:nor/>
                      <m:sty m:val="p"/>
                    </m:rPr>
                    <m:t>burden</m:t>
                  </m:r>
                </m:sub>
              </m:sSub>
              <m:r>
                <m:rPr>
                  <m:sty m:val="p"/>
                </m:rPr>
                <m:t>×</m:t>
              </m:r>
              <m:sSub>
                <m:e>
                  <m:r>
                    <m:t>p</m:t>
                  </m:r>
                </m:e>
                <m:sub>
                  <m:r>
                    <m:rPr>
                      <m:nor/>
                      <m:sty m:val="p"/>
                    </m:rPr>
                    <m:t>death</m:t>
                  </m:r>
                </m:sub>
              </m:sSub>
            </m:oMath>
            <w:r>
              <w:t xml:space="preserve">, with</w:t>
            </w:r>
            <w:r>
              <w:t xml:space="preserve"> </w:t>
            </w:r>
            <m:oMath>
              <m:r>
                <m:t>η</m:t>
              </m:r>
            </m:oMath>
            <w:r>
              <w:t xml:space="preserve"> </w:t>
            </w:r>
            <w:r>
              <w:t xml:space="preserve">from</w:t>
            </w:r>
            <w:r>
              <w:t xml:space="preserve"> </w:t>
            </w:r>
            <w:r>
              <w:rPr>
                <w:rStyle w:val="VerbatimChar"/>
              </w:rPr>
              <w:t xml:space="preserve">eta_response_mid</w:t>
            </w:r>
            <w:r>
              <w:t xml:space="preserve"> </w:t>
            </w:r>
            <w:r>
              <w:t xml:space="preserve">= 0.30 and</w:t>
            </w:r>
            <w:r>
              <w:t xml:space="preserve"> </w:t>
            </w:r>
            <m:oMath>
              <m:sSub>
                <m:e>
                  <m:r>
                    <m:t>p</m:t>
                  </m:r>
                </m:e>
                <m:sub>
                  <m:r>
                    <m:rPr>
                      <m:nor/>
                      <m:sty m:val="p"/>
                    </m:rPr>
                    <m:t>death</m:t>
                  </m:r>
                </m:sub>
              </m:sSub>
            </m:oMath>
            <w:r>
              <w:t xml:space="preserve"> </w:t>
            </w:r>
            <w:r>
              <w:t xml:space="preserve">from</w:t>
            </w:r>
            <w:r>
              <w:t xml:space="preserve"> </w:t>
            </w:r>
            <w:r>
              <w:rPr>
                <w:rStyle w:val="VerbatimChar"/>
              </w:rPr>
              <w:t xml:space="preserve">cfr_headline_mid</w:t>
            </w:r>
            <w:r>
              <w:t xml:space="preserve"> </w:t>
            </w:r>
            <w:r>
              <w:t xml:space="preserve">= 0.125.</w:t>
            </w:r>
          </w:p>
          <w:p>
            <w:pPr>
              <w:pStyle w:val="BodyText"/>
            </w:pPr>
            <w:r>
              <w:rPr>
                <w:b/>
                <w:bCs/>
              </w:rPr>
              <w:t xml:space="preserve">Terbufos bracketed estimate.</w:t>
            </w:r>
          </w:p>
          <w:p>
            <w:pPr>
              <w:pStyle w:val="BodyText"/>
            </w:pPr>
            <m:oMathPara>
              <m:oMathParaPr>
                <m:jc m:val="center"/>
              </m:oMathParaPr>
              <m:oMath>
                <m:sSub>
                  <m:e>
                    <m:r>
                      <m:rPr>
                        <m:nor/>
                        <m:sty m:val="p"/>
                      </m:rPr>
                      <m:t>Deaths averted</m:t>
                    </m:r>
                  </m:e>
                  <m:sub>
                    <m:r>
                      <m:t>T</m:t>
                    </m:r>
                    <m:r>
                      <m:t>3</m:t>
                    </m:r>
                  </m:sub>
                </m:sSub>
                <m:r>
                  <m:t> </m:t>
                </m:r>
                <m:r>
                  <m:rPr>
                    <m:sty m:val="p"/>
                  </m:rPr>
                  <m:t>=</m:t>
                </m:r>
                <m:r>
                  <m:t> </m:t>
                </m:r>
                <m:sSub>
                  <m:e>
                    <m:r>
                      <m:t>f</m:t>
                    </m:r>
                  </m:e>
                  <m:sub>
                    <m:r>
                      <m:rPr>
                        <m:nor/>
                        <m:sty m:val="p"/>
                      </m:rPr>
                      <m:t>attr</m:t>
                    </m:r>
                  </m:sub>
                </m:sSub>
                <m:r>
                  <m:rPr>
                    <m:sty m:val="p"/>
                  </m:rPr>
                  <m:t>⋅</m:t>
                </m:r>
                <m:sSub>
                  <m:e>
                    <m:r>
                      <m:t>ϕ</m:t>
                    </m:r>
                  </m:e>
                  <m:sub>
                    <m:r>
                      <m:rPr>
                        <m:nor/>
                        <m:sty m:val="p"/>
                      </m:rPr>
                      <m:t>retired</m:t>
                    </m:r>
                  </m:sub>
                </m:sSub>
                <m:r>
                  <m:rPr>
                    <m:sty m:val="p"/>
                  </m:rPr>
                  <m:t>⋅</m:t>
                </m:r>
                <m:sSub>
                  <m:e>
                    <m:r>
                      <m:t>n</m:t>
                    </m:r>
                  </m:e>
                  <m:sub>
                    <m:r>
                      <m:rPr>
                        <m:nor/>
                        <m:sty m:val="p"/>
                      </m:rPr>
                      <m:t>deaths</m:t>
                    </m:r>
                  </m:sub>
                </m:sSub>
              </m:oMath>
            </m:oMathPara>
          </w:p>
          <w:p>
            <w:pPr>
              <w:pStyle w:val="FirstParagraph"/>
            </w:pPr>
            <w:r>
              <w:t xml:space="preserve">with</w:t>
            </w:r>
            <w:r>
              <w:t xml:space="preserve"> </w:t>
            </w:r>
            <m:oMath>
              <m:sSub>
                <m:e>
                  <m:r>
                    <m:t>f</m:t>
                  </m:r>
                </m:e>
                <m:sub>
                  <m:r>
                    <m:rPr>
                      <m:nor/>
                      <m:sty m:val="p"/>
                    </m:rPr>
                    <m:t>attr</m:t>
                  </m:r>
                </m:sub>
              </m:sSub>
              <m:r>
                <m:rPr>
                  <m:sty m:val="p"/>
                </m:rPr>
                <m:t>∈</m:t>
              </m:r>
              <m:r>
                <m:rPr>
                  <m:sty m:val="p"/>
                </m:rPr>
                <m:t>[</m:t>
              </m:r>
              <m:r>
                <m:t>0.20</m:t>
              </m:r>
              <m:r>
                <m:rPr>
                  <m:sty m:val="p"/>
                </m:rPr>
                <m:t>,</m:t>
              </m:r>
              <m:r>
                <m:t>0.35</m:t>
              </m:r>
              <m:r>
                <m:rPr>
                  <m:sty m:val="p"/>
                </m:rPr>
                <m:t>]</m:t>
              </m:r>
            </m:oMath>
            <w:r>
              <w:t xml:space="preserve"> </w:t>
            </w:r>
            <w:r>
              <w:t xml:space="preserve">(</w:t>
            </w:r>
            <w:r>
              <w:rPr>
                <w:rStyle w:val="VerbatimChar"/>
              </w:rPr>
              <w:t xml:space="preserve">frac_terbufos_attributable_{lo,mid,hi}</w:t>
            </w:r>
            <w:r>
              <w:t xml:space="preserve">, anchored to Sri Lanka Class Ia withdrawal natural experiments, Gunnell et al. </w:t>
            </w:r>
            <w:r>
              <w:rPr>
                <w:i/>
                <w:iCs/>
              </w:rPr>
              <w:t xml:space="preserve">Lancet Glob Health</w:t>
            </w:r>
            <w:r>
              <w:t xml:space="preserve"> </w:t>
            </w:r>
            <w:r>
              <w:t xml:space="preserve">2017) and</w:t>
            </w:r>
            <w:r>
              <w:t xml:space="preserve"> </w:t>
            </w:r>
            <m:oMath>
              <m:sSub>
                <m:e>
                  <m:r>
                    <m:t>ϕ</m:t>
                  </m:r>
                </m:e>
                <m:sub>
                  <m:r>
                    <m:rPr>
                      <m:nor/>
                      <m:sty m:val="p"/>
                    </m:rPr>
                    <m:t>retired</m:t>
                  </m:r>
                </m:sub>
              </m:sSub>
              <m:r>
                <m:rPr>
                  <m:sty m:val="p"/>
                </m:rPr>
                <m:t>∈</m:t>
              </m:r>
              <m:r>
                <m:rPr>
                  <m:sty m:val="p"/>
                </m:rPr>
                <m:t>[</m:t>
              </m:r>
              <m:r>
                <m:t>0.60</m:t>
              </m:r>
              <m:r>
                <m:rPr>
                  <m:sty m:val="p"/>
                </m:rPr>
                <m:t>,</m:t>
              </m:r>
              <m:r>
                <m:t>0.80</m:t>
              </m:r>
              <m:r>
                <m:rPr>
                  <m:sty m:val="p"/>
                </m:rPr>
                <m:t>]</m:t>
              </m:r>
            </m:oMath>
            <w:r>
              <w:t xml:space="preserve"> </w:t>
            </w:r>
            <w:r>
              <w:t xml:space="preserve">(Sri Lanka substitution-incompleteness). Bracket: 200–400 deaths/yr (</w:t>
            </w:r>
            <w:r>
              <w:rPr>
                <w:rStyle w:val="VerbatimChar"/>
              </w:rPr>
              <w:t xml:space="preserve">n_deaths_averted_T3_{lo,hi}</w:t>
            </w:r>
            <w:r>
              <w:t xml:space="preserve">).</w:t>
            </w:r>
          </w:p>
          <w:p>
            <w:pPr>
              <w:pStyle w:val="BodyText"/>
            </w:pPr>
            <w:r>
              <w:rPr>
                <w:b/>
                <w:bCs/>
              </w:rPr>
              <w:t xml:space="preserve">Surveillance detection model.</w:t>
            </w:r>
          </w:p>
          <w:p>
            <w:pPr>
              <w:pStyle w:val="BodyText"/>
            </w:pPr>
            <m:oMathPara>
              <m:oMathParaPr>
                <m:jc m:val="center"/>
              </m:oMathParaPr>
              <m:oMath>
                <m:r>
                  <m:rPr>
                    <m:nor/>
                    <m:sty m:val="p"/>
                  </m:rPr>
                  <m:t>Cases averted</m:t>
                </m:r>
                <m:r>
                  <m:t> </m:t>
                </m:r>
                <m:r>
                  <m:rPr>
                    <m:sty m:val="p"/>
                  </m:rPr>
                  <m:t>=</m:t>
                </m:r>
                <m:r>
                  <m:t> </m:t>
                </m:r>
                <m:r>
                  <m:rPr>
                    <m:sty m:val="p"/>
                  </m:rPr>
                  <m:t>(</m:t>
                </m:r>
                <m:sSub>
                  <m:e>
                    <m:r>
                      <m:t>P</m:t>
                    </m:r>
                  </m:e>
                  <m:sub>
                    <m:r>
                      <m:rPr>
                        <m:nor/>
                        <m:sty m:val="p"/>
                      </m:rPr>
                      <m:t>detect</m:t>
                    </m:r>
                  </m:sub>
                </m:sSub>
                <m:r>
                  <m:rPr>
                    <m:sty m:val="p"/>
                  </m:rPr>
                  <m:t>−</m:t>
                </m:r>
                <m:sSubSup>
                  <m:e>
                    <m:r>
                      <m:t>P</m:t>
                    </m:r>
                  </m:e>
                  <m:sub>
                    <m:r>
                      <m:rPr>
                        <m:nor/>
                        <m:sty m:val="p"/>
                      </m:rPr>
                      <m:t>detect</m:t>
                    </m:r>
                  </m:sub>
                  <m:sup>
                    <m:r>
                      <m:rPr>
                        <m:nor/>
                        <m:sty m:val="p"/>
                      </m:rPr>
                      <m:t>SQ</m:t>
                    </m:r>
                  </m:sup>
                </m:sSubSup>
                <m:r>
                  <m:rPr>
                    <m:sty m:val="p"/>
                  </m:rPr>
                  <m:t>)</m:t>
                </m:r>
                <m:r>
                  <m:rPr>
                    <m:sty m:val="p"/>
                  </m:rPr>
                  <m:t>⋅</m:t>
                </m:r>
                <m:r>
                  <m:t>η</m:t>
                </m:r>
                <m:r>
                  <m:rPr>
                    <m:sty m:val="p"/>
                  </m:rPr>
                  <m:t>⋅</m:t>
                </m:r>
                <m:sSub>
                  <m:e>
                    <m:r>
                      <m:t>n</m:t>
                    </m:r>
                  </m:e>
                  <m:sub>
                    <m:r>
                      <m:rPr>
                        <m:nor/>
                        <m:sty m:val="p"/>
                      </m:rPr>
                      <m:t>burden</m:t>
                    </m:r>
                  </m:sub>
                </m:sSub>
              </m:oMath>
            </m:oMathPara>
          </w:p>
          <w:p>
            <w:pPr>
              <w:pStyle w:val="FirstParagraph"/>
            </w:pPr>
            <w:r>
              <w:t xml:space="preserve">with</w:t>
            </w:r>
            <w:r>
              <w:t xml:space="preserve"> </w:t>
            </w:r>
            <m:oMath>
              <m:sSub>
                <m:e>
                  <m:r>
                    <m:t>P</m:t>
                  </m:r>
                </m:e>
                <m:sub>
                  <m:r>
                    <m:rPr>
                      <m:nor/>
                      <m:sty m:val="p"/>
                    </m:rPr>
                    <m:t>detect</m:t>
                  </m:r>
                </m:sub>
              </m:sSub>
            </m:oMath>
            <w:r>
              <w:t xml:space="preserve"> </w:t>
            </w:r>
            <w:r>
              <w:t xml:space="preserve">pulled from</w:t>
            </w:r>
            <w:r>
              <w:t xml:space="preserve"> </w:t>
            </w:r>
            <w:r>
              <w:rPr>
                <w:rStyle w:val="VerbatimChar"/>
              </w:rPr>
              <w:t xml:space="preserve">d_status_quo</w:t>
            </w:r>
            <w:r>
              <w:t xml:space="preserve">,</w:t>
            </w:r>
            <w:r>
              <w:t xml:space="preserve"> </w:t>
            </w:r>
            <w:r>
              <w:rPr>
                <w:rStyle w:val="VerbatimChar"/>
              </w:rPr>
              <w:t xml:space="preserve">d_option1_NHLS_MOU</w:t>
            </w:r>
            <w:r>
              <w:t xml:space="preserve">, …,</w:t>
            </w:r>
            <w:r>
              <w:t xml:space="preserve"> </w:t>
            </w:r>
            <w:r>
              <w:rPr>
                <w:rStyle w:val="VerbatimChar"/>
              </w:rPr>
              <w:t xml:space="preserve">d_full_package</w:t>
            </w:r>
            <w:r>
              <w:t xml:space="preserve"> </w:t>
            </w:r>
            <w:r>
              <w:t xml:space="preserve">(expert elicitation, beta priors). Cost-effectiveness uses</w:t>
            </w:r>
            <w:r>
              <w:t xml:space="preserve"> </w:t>
            </w:r>
            <w:r>
              <w:rPr>
                <w:b/>
                <w:bCs/>
              </w:rPr>
              <w:t xml:space="preserve">net monetary benefit (NMB)</w:t>
            </w:r>
            <w:r>
              <w:t xml:space="preserve"> </w:t>
            </w:r>
            <w:r>
              <w:t xml:space="preserve">at the SA cost-effectiveness threshold</w:t>
            </w:r>
            <w:r>
              <w:t xml:space="preserve"> </w:t>
            </w:r>
            <m:oMath>
              <m:r>
                <m:t>λ</m:t>
              </m:r>
            </m:oMath>
            <w:r>
              <w:t xml:space="preserve"> </w:t>
            </w:r>
            <w:r>
              <w:t xml:space="preserve">= R38,500/DALY averted (Edoka &amp; Stacey 2020).</w:t>
            </w:r>
          </w:p>
          <w:p>
            <w:pPr>
              <w:pStyle w:val="BodyText"/>
            </w:pPr>
            <w:r>
              <w:rPr>
                <w:b/>
                <w:bCs/>
              </w:rPr>
              <w:t xml:space="preserve">Probabilistic sensitivity analysis (PSA).</w:t>
            </w:r>
            <w:r>
              <w:t xml:space="preserve"> </w:t>
            </w:r>
            <w:r>
              <w:t xml:space="preserve">Each CSV row carries a</w:t>
            </w:r>
            <w:r>
              <w:t xml:space="preserve"> </w:t>
            </w:r>
            <w:r>
              <w:rPr>
                <w:rStyle w:val="VerbatimChar"/>
              </w:rPr>
              <w:t xml:space="preserve">dist=&lt;family&gt;(&lt;params&gt;)</w:t>
            </w:r>
            <w:r>
              <w:t xml:space="preserve"> </w:t>
            </w:r>
            <w:r>
              <w:t xml:space="preserve">tag (</w:t>
            </w:r>
            <w:r>
              <w:rPr>
                <w:rStyle w:val="VerbatimChar"/>
              </w:rPr>
              <w:t xml:space="preserve">beta</w:t>
            </w:r>
            <w:r>
              <w:t xml:space="preserve">,</w:t>
            </w:r>
            <w:r>
              <w:t xml:space="preserve"> </w:t>
            </w:r>
            <w:r>
              <w:rPr>
                <w:rStyle w:val="VerbatimChar"/>
              </w:rPr>
              <w:t xml:space="preserve">gamma</w:t>
            </w:r>
            <w:r>
              <w:t xml:space="preserve">,</w:t>
            </w:r>
            <w:r>
              <w:t xml:space="preserve"> </w:t>
            </w:r>
            <w:r>
              <w:rPr>
                <w:rStyle w:val="VerbatimChar"/>
              </w:rPr>
              <w:t xml:space="preserve">fixed</w:t>
            </w:r>
            <w:r>
              <w:t xml:space="preserve">) parsed by the analysis pipeline (</w:t>
            </w:r>
            <w:r>
              <w:rPr>
                <w:rStyle w:val="VerbatimChar"/>
              </w:rPr>
              <w:t xml:space="preserve">wrangling_v2.r</w:t>
            </w:r>
            <w:r>
              <w:t xml:space="preserve">) for Monte Carlo PSA. Distributions follow standard health-economics conventions: gamma for costs (shape 25 → CV ≈ 0.20), beta for probabilities (parameterised on the sample-equivalent count), fixed for deterministic anchors and derived sums.</w:t>
            </w:r>
          </w:p>
          <w:p>
            <w:pPr>
              <w:pStyle w:val="BodyText"/>
            </w:pPr>
            <w:pPr>
              <w:spacing w:after="16"/>
            </w:pPr>
            <w:r>
              <w:rPr>
                <w:b/>
                <w:bCs/>
              </w:rPr>
              <w:t xml:space="preserve">What this site does</w:t>
            </w:r>
            <w:r>
              <w:rPr>
                <w:b/>
                <w:bCs/>
              </w:rPr>
              <w:t xml:space="preserve"> </w:t>
            </w:r>
            <w:r>
              <w:rPr>
                <w:b/>
                <w:bCs/>
                <w:i/>
                <w:iCs/>
              </w:rPr>
              <w:t xml:space="preserve">not</w:t>
            </w:r>
            <w:r>
              <w:rPr>
                <w:b/>
                <w:bCs/>
              </w:rPr>
              <w:t xml:space="preserve"> </w:t>
            </w:r>
            <w:r>
              <w:rPr>
                <w:b/>
                <w:bCs/>
              </w:rPr>
              <w:t xml:space="preserve">do.</w:t>
            </w:r>
            <w:r>
              <w:t xml:space="preserve"> </w:t>
            </w:r>
            <w:r>
              <w:t xml:space="preserve">No mixed-effects regression, no machine-learning model, no causal-inference identification strategy, no Bayesian hierarchical model. The site is a transparent deterministic burden-and-decision-tree calculator with explicit PSA. Strength comes from auditability, not algorithmic complexity.</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Who bears the R1.61B</w:t>
            </w:r>
          </w:p>
        </w:tc>
      </w:tr>
      <w:tr>
        <w:trPr>
          <w:cantSplit/>
        </w:trPr>
        <w:tc>
          <w:tcPr>
            <w:tcMar>
              <w:top w:w="108" w:type="dxa"/>
              <w:bottom w:w="108" w:type="dxa"/>
            </w:tcMar>
          </w:tcPr>
          <w:p>
            <w:pPr>
              <w:pStyle w:val="BodyText"/>
            </w:pPr>
            <w:pPr>
              <w:spacing w:before="16" w:after="16"/>
            </w:pPr>
            <w:r>
              <w:t xml:space="preserve">NDoH ~R70M (4 %), NHLS ~R10M (&lt;1 %), households ~R10M OOP (&lt;1 %), and ~R1.52B (94 %) in lost lifetime earnings borne by households and the wider economy. DALRRD bears no direct burden-side cost but holds</w:t>
            </w:r>
            <w:r>
              <w:t xml:space="preserve"> </w:t>
            </w:r>
            <w:r>
              <w:rPr>
                <w:b/>
                <w:bCs/>
              </w:rPr>
              <w:t xml:space="preserve">the only legal lever that prevents the underlying exposure</w:t>
            </w:r>
            <w:r>
              <w:t xml:space="preserve">. That asymmetry is why the loop must terminate in DALRRD action: the agency with the lowest burden share controls the highest-leverage intervention.</w:t>
            </w:r>
          </w:p>
          <w:p/>
        </w:tc>
      </w:tr>
    </w:tbl>
    <w:bookmarkStart w:id="31" w:name="Xba5670a5b5efd3a732bfc894c177b90d063a7a4"/>
    <w:p>
      <w:pPr>
        <w:pStyle w:val="Heading3"/>
      </w:pPr>
      <w:r>
        <w:t xml:space="preserve">The notification pathway — one-way and broken</w:t>
      </w:r>
    </w:p>
    <w:tbl>
      <w:tblPr>
        <w:tblStyle w:val="Table"/>
        <w:tblW w:type="pct" w:w="5000"/>
        <w:tblLayout w:type="fixed"/>
        <w:tblLook w:firstRow="0" w:lastRow="0" w:firstColumn="0" w:lastColumn="0" w:noHBand="0" w:noVBand="0" w:val="0000"/>
      </w:tblPr>
      <w:tblGrid>
        <w:gridCol w:w="7920"/>
      </w:tblGrid>
      <w:tr>
        <w:tc>
          <w:tcPr/>
          <w:bookmarkStart w:id="30" w:name="fig-coord-status-quo-flow"/>
          <w:p>
            <w:pPr>
              <w:jc w:val="center"/>
            </w:pPr>
            <w:r>
              <w:drawing>
                <wp:inline>
                  <wp:extent cx="5334000" cy="983058"/>
                  <wp:effectExtent b="0" l="0" r="0" t="0"/>
                  <wp:docPr descr="" title="" id="28" name="Picture"/>
                  <a:graphic>
                    <a:graphicData uri="http://schemas.openxmlformats.org/drawingml/2006/picture">
                      <pic:pic>
                        <pic:nvPicPr>
                          <pic:cNvPr descr="coordination_policy_files/figure-docx/mermaid-figure-1.png" id="29" name="Picture"/>
                          <pic:cNvPicPr>
                            <a:picLocks noChangeArrowheads="1" noChangeAspect="1"/>
                          </pic:cNvPicPr>
                        </pic:nvPicPr>
                        <pic:blipFill>
                          <a:blip r:embed="rId27"/>
                          <a:stretch>
                            <a:fillRect/>
                          </a:stretch>
                        </pic:blipFill>
                        <pic:spPr bwMode="auto">
                          <a:xfrm>
                            <a:off x="0" y="0"/>
                            <a:ext cx="5334000" cy="98305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Current notification pathway. Clinicians and public-health officials notify on the NMC platform; NMC sends an SMS to the local EHP, who is mandated to investigate but does not record the investigation back on NMC. The EHP may informally refer to DALRRD, but this is not captured on NMC and DALRRD’s action (if any) is not fed back to NMC or the clinician.</w:t>
            </w:r>
          </w:p>
          <w:bookmarkEnd w:id="30"/>
        </w:tc>
      </w:tr>
    </w:tbl>
    <w:p>
      <w:pPr>
        <w:pStyle w:val="BodyText"/>
      </w:pPr>
      <w:r>
        <w:rPr>
          <w:b/>
          <w:bCs/>
        </w:rPr>
        <w:t xml:space="preserve">Reading the diagram.</w:t>
      </w:r>
      <w:r>
        <w:t xml:space="preserve"> </w:t>
      </w:r>
      <w:r>
        <w:t xml:space="preserve">Clinicians</w:t>
      </w:r>
      <w:r>
        <w:t xml:space="preserve"> </w:t>
      </w:r>
      <w:r>
        <w:rPr>
          <w:i/>
          <w:iCs/>
        </w:rPr>
        <w:t xml:space="preserve">do</w:t>
      </w:r>
      <w:r>
        <w:t xml:space="preserve"> </w:t>
      </w:r>
      <w:r>
        <w:t xml:space="preserve">file on NMC — that is the formal entry point. NMC</w:t>
      </w:r>
      <w:r>
        <w:t xml:space="preserve"> </w:t>
      </w:r>
      <w:r>
        <w:rPr>
          <w:i/>
          <w:iCs/>
        </w:rPr>
        <w:t xml:space="preserve">does</w:t>
      </w:r>
      <w:r>
        <w:t xml:space="preserve"> </w:t>
      </w:r>
      <w:r>
        <w:t xml:space="preserve">SMS the local EHP, who</w:t>
      </w:r>
      <w:r>
        <w:t xml:space="preserve"> </w:t>
      </w:r>
      <w:r>
        <w:rPr>
          <w:i/>
          <w:iCs/>
        </w:rPr>
        <w:t xml:space="preserve">is</w:t>
      </w:r>
      <w:r>
        <w:t xml:space="preserve"> </w:t>
      </w:r>
      <w:r>
        <w:t xml:space="preserve">mandated to investigate. The chain breaks at two specific places: (a) the EHP investigation outcome is</w:t>
      </w:r>
      <w:r>
        <w:t xml:space="preserve"> </w:t>
      </w:r>
      <w:r>
        <w:rPr>
          <w:b/>
          <w:bCs/>
        </w:rPr>
        <w:t xml:space="preserve">never written back to NMC</w:t>
      </w:r>
      <w:r>
        <w:t xml:space="preserve"> </w:t>
      </w:r>
      <w:r>
        <w:t xml:space="preserve">because no NMC field requires it; and (b) the EHP→DALRRD referral, when it happens, is informal and likewise unrecorded. DALRRD action — if any — flows back to the EHP at best, and never to NICD or the originating clinician.</w:t>
      </w:r>
    </w:p>
    <w:bookmarkEnd w:id="31"/>
    <w:bookmarkEnd w:id="32"/>
    <w:bookmarkStart w:id="37" w:name="root-cause-analysis"/>
    <w:p>
      <w:pPr>
        <w:pStyle w:val="Heading2"/>
      </w:pPr>
      <w:r>
        <w:t xml:space="preserve">4. Root cause analysis</w:t>
      </w:r>
    </w:p>
    <w:tbl>
      <w:tblPr>
        <w:tblStyle w:val="Table"/>
        <w:tblW w:type="pct" w:w="5000"/>
        <w:tblLayout w:type="fixed"/>
        <w:tblLook w:firstRow="0" w:lastRow="0" w:firstColumn="0" w:lastColumn="0" w:noHBand="0" w:noVBand="0" w:val="0000"/>
      </w:tblPr>
      <w:tblGrid>
        <w:gridCol w:w="7920"/>
      </w:tblGrid>
      <w:tr>
        <w:tc>
          <w:tcPr/>
          <w:bookmarkStart w:id="36" w:name="fig-coord-fishbone"/>
          <w:p>
            <w:pPr>
              <w:jc w:val="center"/>
            </w:pPr>
            <w:r>
              <w:drawing>
                <wp:inline>
                  <wp:extent cx="5334000" cy="4348503"/>
                  <wp:effectExtent b="0" l="0" r="0" t="0"/>
                  <wp:docPr descr="" title="" id="34" name="Picture"/>
                  <a:graphic>
                    <a:graphicData uri="http://schemas.openxmlformats.org/drawingml/2006/picture">
                      <pic:pic>
                        <pic:nvPicPr>
                          <pic:cNvPr descr="coordination_policy_files/figure-docx/mermaid-figure-6.png" id="35" name="Picture"/>
                          <pic:cNvPicPr>
                            <a:picLocks noChangeArrowheads="1" noChangeAspect="1"/>
                          </pic:cNvPicPr>
                        </pic:nvPicPr>
                        <pic:blipFill>
                          <a:blip r:embed="rId33"/>
                          <a:stretch>
                            <a:fillRect/>
                          </a:stretch>
                        </pic:blipFill>
                        <pic:spPr bwMode="auto">
                          <a:xfrm>
                            <a:off x="0" y="0"/>
                            <a:ext cx="5334000" cy="434850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Root causes of coordination failure across the NMC–EHP–DALRRD chain.</w:t>
            </w:r>
          </w:p>
          <w:bookmarkEnd w:id="36"/>
        </w:tc>
      </w:tr>
    </w:tbl>
    <w:p>
      <w:pPr>
        <w:pStyle w:val="BodyText"/>
      </w:pPr>
      <w:r>
        <w:t xml:space="preserve">The five drivers are: (1) NMC schema lacks a closure-of-loop field; (2) EHP→DALRRD referral has no SOP; (3) DALRRD has no inbound NICD intelligence feed despite a formal request for one; (4) clinicians get no case-status feedback so the notification has no perceived value; (5)</w:t>
      </w:r>
      <w:r>
        <w:t xml:space="preserve"> </w:t>
      </w:r>
      <w:r>
        <w:rPr>
          <w:b/>
          <w:bCs/>
        </w:rPr>
        <w:t xml:space="preserve">no decision node in the chain has an accountable owner with a KPI</w:t>
      </w:r>
      <w:r>
        <w:t xml:space="preserve">, so nothing fails loudly when the loop breaks.</w:t>
      </w:r>
    </w:p>
    <w:bookmarkEnd w:id="37"/>
    <w:bookmarkStart w:id="43" w:name="policy-options"/>
    <w:p>
      <w:pPr>
        <w:pStyle w:val="Heading2"/>
      </w:pPr>
      <w:r>
        <w:t xml:space="preserve">5. Policy options</w:t>
      </w:r>
    </w:p>
    <w:tbl>
      <w:tblPr>
        <w:tblStyle w:val="Table"/>
        <w:tblW w:type="pct" w:w="5000"/>
        <w:tblLayout w:type="fixed"/>
        <w:tblLook w:firstRow="1" w:lastRow="0" w:firstColumn="0" w:lastColumn="0" w:noHBand="0" w:noVBand="0" w:val="0020"/>
      </w:tblPr>
      <w:tblGrid>
        <w:gridCol w:w="812"/>
        <w:gridCol w:w="1624"/>
        <w:gridCol w:w="2843"/>
        <w:gridCol w:w="2640"/>
      </w:tblGrid>
      <w:tr>
        <w:trPr>
          <w:tblHeader w:val="on"/>
        </w:trPr>
        <w:tc>
          <w:tcPr/>
          <w:p>
            <w:pPr>
              <w:pStyle w:val="Compact"/>
              <w:jc w:val="left"/>
            </w:pPr>
            <w:r>
              <w:t xml:space="preserve">ID</w:t>
            </w:r>
          </w:p>
        </w:tc>
        <w:tc>
          <w:tcPr/>
          <w:p>
            <w:pPr>
              <w:pStyle w:val="Compact"/>
              <w:jc w:val="left"/>
            </w:pPr>
            <w:r>
              <w:t xml:space="preserve">Option</w:t>
            </w:r>
          </w:p>
        </w:tc>
        <w:tc>
          <w:tcPr/>
          <w:p>
            <w:pPr>
              <w:pStyle w:val="Compact"/>
              <w:jc w:val="left"/>
            </w:pPr>
            <w:r>
              <w:t xml:space="preserve">What it does</w:t>
            </w:r>
          </w:p>
        </w:tc>
        <w:tc>
          <w:tcPr/>
          <w:p>
            <w:pPr>
              <w:pStyle w:val="Compact"/>
              <w:jc w:val="right"/>
            </w:pPr>
            <w:r>
              <w:t xml:space="preserve">Annual cost</w:t>
            </w:r>
          </w:p>
        </w:tc>
      </w:tr>
      <w:tr>
        <w:tc>
          <w:tcPr/>
          <w:p>
            <w:pPr>
              <w:pStyle w:val="Compact"/>
              <w:jc w:val="left"/>
            </w:pPr>
            <w:r>
              <w:rPr>
                <w:b/>
                <w:bCs/>
              </w:rPr>
              <w:t xml:space="preserve">C1</w:t>
            </w:r>
          </w:p>
        </w:tc>
        <w:tc>
          <w:tcPr/>
          <w:p>
            <w:pPr>
              <w:pStyle w:val="Compact"/>
              <w:jc w:val="left"/>
            </w:pPr>
            <w:r>
              <w:t xml:space="preserve">NMC closure-of-loop field for EHPs</w:t>
            </w:r>
          </w:p>
        </w:tc>
        <w:tc>
          <w:tcPr/>
          <w:p>
            <w:pPr>
              <w:pStyle w:val="Compact"/>
              <w:jc w:val="left"/>
            </w:pPr>
            <w:r>
              <w:t xml:space="preserve">Structured</w:t>
            </w:r>
            <w:r>
              <w:t xml:space="preserve"> </w:t>
            </w:r>
            <w:r>
              <w:t xml:space="preserve">“investigation outcome”</w:t>
            </w:r>
            <w:r>
              <w:t xml:space="preserve"> </w:t>
            </w:r>
            <w:r>
              <w:t xml:space="preserve">field (visited, source identified, sampling, referral); 14-day completion KPI. No new legislation.</w:t>
            </w:r>
          </w:p>
        </w:tc>
        <w:tc>
          <w:tcPr/>
          <w:p>
            <w:pPr>
              <w:pStyle w:val="Compact"/>
              <w:jc w:val="right"/>
            </w:pPr>
            <w:r>
              <w:t xml:space="preserve">~R30k</w:t>
            </w:r>
          </w:p>
        </w:tc>
      </w:tr>
      <w:tr>
        <w:tc>
          <w:tcPr/>
          <w:p>
            <w:pPr>
              <w:pStyle w:val="Compact"/>
              <w:jc w:val="left"/>
            </w:pPr>
            <w:r>
              <w:rPr>
                <w:b/>
                <w:bCs/>
              </w:rPr>
              <w:t xml:space="preserve">C2</w:t>
            </w:r>
          </w:p>
        </w:tc>
        <w:tc>
          <w:tcPr/>
          <w:p>
            <w:pPr>
              <w:pStyle w:val="Compact"/>
              <w:jc w:val="left"/>
            </w:pPr>
            <w:r>
              <w:t xml:space="preserve">Structured EHP→DALRRD referral form on NMC</w:t>
            </w:r>
          </w:p>
        </w:tc>
        <w:tc>
          <w:tcPr/>
          <w:p>
            <w:pPr>
              <w:pStyle w:val="Compact"/>
              <w:jc w:val="left"/>
            </w:pPr>
            <w:r>
              <w:t xml:space="preserve">Auto-emails DALRRD Inspectorate with product, location, agent, severity; replaces informal phone/email referral.</w:t>
            </w:r>
          </w:p>
        </w:tc>
        <w:tc>
          <w:tcPr/>
          <w:p>
            <w:pPr>
              <w:pStyle w:val="Compact"/>
              <w:jc w:val="right"/>
            </w:pPr>
            <w:r>
              <w:t xml:space="preserve">~R25k</w:t>
            </w:r>
          </w:p>
        </w:tc>
      </w:tr>
      <w:tr>
        <w:tc>
          <w:tcPr/>
          <w:p>
            <w:pPr>
              <w:pStyle w:val="Compact"/>
              <w:jc w:val="left"/>
            </w:pPr>
            <w:r>
              <w:rPr>
                <w:b/>
                <w:bCs/>
              </w:rPr>
              <w:t xml:space="preserve">C3</w:t>
            </w:r>
            <w:r>
              <w:t xml:space="preserve"> </w:t>
            </w:r>
            <w:r>
              <w:t xml:space="preserve">★</w:t>
            </w:r>
          </w:p>
        </w:tc>
        <w:tc>
          <w:tcPr/>
          <w:p>
            <w:pPr>
              <w:pStyle w:val="Compact"/>
              <w:jc w:val="left"/>
            </w:pPr>
            <w:r>
              <w:t xml:space="preserve">NICD→DALRRD poisoning intelligence feed</w:t>
            </w:r>
          </w:p>
        </w:tc>
        <w:tc>
          <w:tcPr/>
          <w:p>
            <w:pPr>
              <w:pStyle w:val="Compact"/>
              <w:jc w:val="left"/>
            </w:pPr>
            <w:r>
              <w:t xml:space="preserve">Quarterly NICD brief by product/geography/season + ad-hoc case-spike alerts. Gives DALRRD the evidence base for product-specific action (prerequisite for the</w:t>
            </w:r>
            <w:r>
              <w:t xml:space="preserve"> </w:t>
            </w:r>
            <w:hyperlink r:id="rId10">
              <w:r>
                <w:rPr>
                  <w:rStyle w:val="Hyperlink"/>
                </w:rPr>
                <w:t xml:space="preserve">Terbufos brief</w:t>
              </w:r>
            </w:hyperlink>
            <w:r>
              <w:t xml:space="preserve">).</w:t>
            </w:r>
          </w:p>
        </w:tc>
        <w:tc>
          <w:tcPr/>
          <w:p>
            <w:pPr>
              <w:pStyle w:val="Compact"/>
              <w:jc w:val="right"/>
            </w:pPr>
            <w:r>
              <w:t xml:space="preserve">~R40k</w:t>
            </w:r>
          </w:p>
        </w:tc>
      </w:tr>
      <w:tr>
        <w:tc>
          <w:tcPr/>
          <w:p>
            <w:pPr>
              <w:pStyle w:val="Compact"/>
              <w:jc w:val="left"/>
            </w:pPr>
            <w:r>
              <w:rPr>
                <w:b/>
                <w:bCs/>
              </w:rPr>
              <w:t xml:space="preserve">C4</w:t>
            </w:r>
          </w:p>
        </w:tc>
        <w:tc>
          <w:tcPr/>
          <w:p>
            <w:pPr>
              <w:pStyle w:val="Compact"/>
              <w:jc w:val="left"/>
            </w:pPr>
            <w:r>
              <w:t xml:space="preserve">Notifier auto-feedback</w:t>
            </w:r>
          </w:p>
        </w:tc>
        <w:tc>
          <w:tcPr/>
          <w:p>
            <w:pPr>
              <w:pStyle w:val="Compact"/>
              <w:jc w:val="left"/>
            </w:pPr>
            <w:r>
              <w:t xml:space="preserve">Quarterly NMC case-status summary back to the notifying clinician. Removes the</w:t>
            </w:r>
            <w:r>
              <w:t xml:space="preserve"> </w:t>
            </w:r>
            <w:r>
              <w:t xml:space="preserve">“notify into a black hole”</w:t>
            </w:r>
            <w:r>
              <w:t xml:space="preserve"> </w:t>
            </w:r>
            <w:r>
              <w:t xml:space="preserve">disincentive.</w:t>
            </w:r>
          </w:p>
        </w:tc>
        <w:tc>
          <w:tcPr/>
          <w:p>
            <w:pPr>
              <w:pStyle w:val="Compact"/>
              <w:jc w:val="right"/>
            </w:pPr>
            <w:r>
              <w:t xml:space="preserve">~R20k</w:t>
            </w:r>
          </w:p>
        </w:tc>
      </w:tr>
      <w:tr>
        <w:tc>
          <w:tcPr/>
          <w:p>
            <w:pPr>
              <w:pStyle w:val="Compact"/>
              <w:jc w:val="left"/>
            </w:pPr>
            <w:r>
              <w:rPr>
                <w:b/>
                <w:bCs/>
              </w:rPr>
              <w:t xml:space="preserve">C5</w:t>
            </w:r>
          </w:p>
        </w:tc>
        <w:tc>
          <w:tcPr/>
          <w:p>
            <w:pPr>
              <w:pStyle w:val="Compact"/>
              <w:jc w:val="left"/>
            </w:pPr>
            <w:r>
              <w:t xml:space="preserve">Joint KPI dashboard</w:t>
            </w:r>
          </w:p>
        </w:tc>
        <w:tc>
          <w:tcPr/>
          <w:p>
            <w:pPr>
              <w:pStyle w:val="Compact"/>
              <w:jc w:val="left"/>
            </w:pPr>
            <w:r>
              <w:t xml:space="preserve">Public dashboard: notification-to-investigation time, % with recorded outcome, % with DALRRD action, % notifiers receiving feedback. Co-owned by NICD, DALRRD, provincial DoHs.</w:t>
            </w:r>
          </w:p>
        </w:tc>
        <w:tc>
          <w:tcPr/>
          <w:p>
            <w:pPr>
              <w:pStyle w:val="Compact"/>
              <w:jc w:val="right"/>
            </w:pPr>
            <w:r>
              <w:t xml:space="preserve">~R30k</w:t>
            </w:r>
          </w:p>
        </w:tc>
      </w:tr>
    </w:tbl>
    <w:bookmarkStart w:id="42" w:name="coordination-full-package-c1-c2-c3-c4-c5"/>
    <w:p>
      <w:pPr>
        <w:pStyle w:val="Heading3"/>
      </w:pPr>
      <w:r>
        <w:t xml:space="preserve">Coordination Full Package (C1 + C2 + C3 + C4 + C5)</w:t>
      </w:r>
    </w:p>
    <w:tbl>
      <w:tblPr>
        <w:tblStyle w:val="Table"/>
        <w:tblW w:type="pct" w:w="5000"/>
        <w:tblLayout w:type="fixed"/>
        <w:tblLook w:firstRow="0" w:lastRow="0" w:firstColumn="0" w:lastColumn="0" w:noHBand="0" w:noVBand="0" w:val="0000"/>
      </w:tblPr>
      <w:tblGrid>
        <w:gridCol w:w="7920"/>
      </w:tblGrid>
      <w:tr>
        <w:tc>
          <w:tcPr/>
          <w:bookmarkStart w:id="41" w:name="fig-coord-feedback-loop"/>
          <w:p>
            <w:pPr>
              <w:jc w:val="center"/>
            </w:pPr>
            <w:r>
              <w:drawing>
                <wp:inline>
                  <wp:extent cx="5334000" cy="2287934"/>
                  <wp:effectExtent b="0" l="0" r="0" t="0"/>
                  <wp:docPr descr="" title="" id="39" name="Picture"/>
                  <a:graphic>
                    <a:graphicData uri="http://schemas.openxmlformats.org/drawingml/2006/picture">
                      <pic:pic>
                        <pic:nvPicPr>
                          <pic:cNvPr descr="coordination_policy_files/figure-docx/mermaid-figure-5.png" id="40" name="Picture"/>
                          <pic:cNvPicPr>
                            <a:picLocks noChangeArrowheads="1" noChangeAspect="1"/>
                          </pic:cNvPicPr>
                        </pic:nvPicPr>
                        <pic:blipFill>
                          <a:blip r:embed="rId38"/>
                          <a:stretch>
                            <a:fillRect/>
                          </a:stretch>
                        </pic:blipFill>
                        <pic:spPr bwMode="auto">
                          <a:xfrm>
                            <a:off x="0" y="0"/>
                            <a:ext cx="5334000" cy="228793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Proposed end-state: a closed feedback loop linking clinicians, laboratories, NICD, EHPs, DALRRD, and provincial response teams. Every actor both contributes data and receives back the action taken.</w:t>
            </w:r>
          </w:p>
          <w:bookmarkEnd w:id="41"/>
        </w:tc>
      </w:tr>
    </w:tbl>
    <w:p>
      <w:pPr>
        <w:pStyle w:val="BodyText"/>
      </w:pPr>
      <w:r>
        <w:t xml:space="preserve">Total annual cost of the Coordination Full Package:</w:t>
      </w:r>
      <w:r>
        <w:t xml:space="preserve"> </w:t>
      </w:r>
      <w:r>
        <w:rPr>
          <w:b/>
          <w:bCs/>
        </w:rPr>
        <w:t xml:space="preserve">~R145,000</w:t>
      </w:r>
      <w:r>
        <w:t xml:space="preserve">. No new legislation required.</w:t>
      </w:r>
    </w:p>
    <w:bookmarkEnd w:id="42"/>
    <w:bookmarkEnd w:id="43"/>
    <w:bookmarkStart w:id="68" w:name="X90a74e3bd7536710007ea97804cac21d669f635"/>
    <w:p>
      <w:pPr>
        <w:pStyle w:val="Heading2"/>
      </w:pPr>
      <w:r>
        <w:t xml:space="preserve">6. Decision tree — coordination outcomes per suspected case</w:t>
      </w:r>
    </w:p>
    <w:bookmarkStart w:id="47" w:name="a.-where-the-chain-breaks-today"/>
    <w:p>
      <w:pPr>
        <w:pStyle w:val="Heading3"/>
      </w:pPr>
      <w:r>
        <w:t xml:space="preserve">6a. Where the chain breaks today</w:t>
      </w:r>
    </w:p>
    <w:p>
      <w:pPr>
        <w:pStyle w:val="FirstParagraph"/>
      </w:pPr>
    </w:p>
    <w:p>
      <w:pPr>
        <w:pStyle w:val="BodyText"/>
      </w:pPr>
      <w:r>
        <w:drawing>
          <wp:inline>
            <wp:extent cx="5334000" cy="11334750"/>
            <wp:effectExtent b="0" l="0" r="0" t="0"/>
            <wp:docPr descr="" title="" id="45" name="Picture"/>
            <a:graphic>
              <a:graphicData uri="http://schemas.openxmlformats.org/drawingml/2006/picture">
                <pic:pic>
                  <pic:nvPicPr>
                    <pic:cNvPr descr="coordination_policy_files/figure-docx/mermaid-figure-4.png" id="46" name="Picture"/>
                    <pic:cNvPicPr>
                      <a:picLocks noChangeArrowheads="1" noChangeAspect="1"/>
                    </pic:cNvPicPr>
                  </pic:nvPicPr>
                  <pic:blipFill>
                    <a:blip r:embed="rId44"/>
                    <a:stretch>
                      <a:fillRect/>
                    </a:stretch>
                  </pic:blipFill>
                  <pic:spPr bwMode="auto">
                    <a:xfrm>
                      <a:off x="0" y="0"/>
                      <a:ext cx="5334000" cy="11334750"/>
                    </a:xfrm>
                    <a:prstGeom prst="rect">
                      <a:avLst/>
                    </a:prstGeom>
                    <a:noFill/>
                    <a:ln w="9525">
                      <a:noFill/>
                      <a:headEnd/>
                      <a:tailEnd/>
                    </a:ln>
                  </pic:spPr>
                </pic:pic>
              </a:graphicData>
            </a:graphic>
          </wp:inline>
        </w:drawing>
      </w:r>
    </w:p>
    <w:p>
      <w:pPr>
        <w:pStyle w:val="BodyText"/>
      </w:pPr>
      <w:r>
        <w:t xml:space="preserve"> </w:t>
      </w:r>
      <w:r>
        <w:t xml:space="preserve">Coordination decision tree for a single suspected case under the status quo. Eight conditional steps; six terminate in a broken-loop outcome. All eight node probabilities pulled from amua_import_parameters_v3.csv at render time.</w:t>
      </w:r>
      <w:r>
        <w:t xml:space="preserve"> </w:t>
      </w:r>
    </w:p>
    <w:p>
      <w:pPr>
        <w:pStyle w:val="BodyText"/>
      </w:pPr>
      <w:r>
        <w:rPr>
          <w:b/>
          <w:bCs/>
        </w:rPr>
        <w:t xml:space="preserve">Joint P(loop fully closes) ≈ 1.1 %</w:t>
      </w:r>
      <w:r>
        <w:t xml:space="preserve"> </w:t>
      </w:r>
      <w:r>
        <w:t xml:space="preserve">under the status quo (CSV:</w:t>
      </w:r>
      <w:r>
        <w:t xml:space="preserve"> </w:t>
      </w:r>
      <w:r>
        <w:rPr>
          <w:rStyle w:val="VerbatimChar"/>
        </w:rPr>
        <w:t xml:space="preserve">p_loop_closed_status_quo</w:t>
      </w:r>
      <w:r>
        <w:t xml:space="preserve">). Expected coordination cost per suspected case ≈</w:t>
      </w:r>
      <w:r>
        <w:t xml:space="preserve"> </w:t>
      </w:r>
      <w:r>
        <w:rPr>
          <w:b/>
          <w:bCs/>
        </w:rPr>
        <w:t xml:space="preserve">R196,400</w:t>
      </w:r>
      <w:r>
        <w:t xml:space="preserve"> </w:t>
      </w:r>
      <w:r>
        <w:t xml:space="preserve">— virtually the full per-case societal burden of R197,000, because the loop almost never closes.</w:t>
      </w:r>
    </w:p>
    <w:bookmarkEnd w:id="47"/>
    <w:bookmarkStart w:id="50" w:name="X2bea31acb40001212a8183ad6bec9a363f4efe9"/>
    <w:p>
      <w:pPr>
        <w:pStyle w:val="Heading3"/>
      </w:pPr>
      <w:r>
        <w:t xml:space="preserve">6b. Per-loop yield — the parameter the integrated model consumes</w:t>
      </w:r>
    </w:p>
    <w:p>
      <w:pPr>
        <w:pStyle w:val="FirstParagraph"/>
      </w:pPr>
      <w:r>
        <w:t xml:space="preserve">A single fully-closed loop retires one uncontrolled source. The source would otherwise produce a cluster of</w:t>
      </w:r>
      <w:r>
        <w:t xml:space="preserve"> </w:t>
      </w:r>
      <m:oMath>
        <m:sSub>
          <m:e>
            <m:r>
              <m:t>ρ</m:t>
            </m:r>
          </m:e>
          <m:sub>
            <m:r>
              <m:rPr>
                <m:nor/>
                <m:sty m:val="p"/>
              </m:rPr>
              <m:t>secondary</m:t>
            </m:r>
          </m:sub>
        </m:sSub>
      </m:oMath>
      <w:r>
        <w:t xml:space="preserve"> </w:t>
      </w:r>
      <w:r>
        <w:t xml:space="preserve">further cases. Response efficacy</w:t>
      </w:r>
      <w:r>
        <w:t xml:space="preserve"> </w:t>
      </w:r>
      <m:oMath>
        <m:r>
          <m:t>η</m:t>
        </m:r>
      </m:oMath>
      <w:r>
        <w:t xml:space="preserve"> </w:t>
      </w:r>
      <w:r>
        <w:t xml:space="preserve">is the fraction of that cluster that is actually averted once the loop closes. Per loop closed:</w:t>
      </w:r>
    </w:p>
    <w:p>
      <w:pPr>
        <w:pStyle w:val="BodyText"/>
      </w:pPr>
      <m:oMathPara>
        <m:oMathParaPr>
          <m:jc m:val="center"/>
        </m:oMathParaPr>
        <m:oMath>
          <m:r>
            <m:rPr>
              <m:nor/>
              <m:sty m:val="p"/>
            </m:rPr>
            <m:t>cases prevented</m:t>
          </m:r>
          <m:r>
            <m:rPr>
              <m:sty m:val="p"/>
            </m:rPr>
            <m:t>=</m:t>
          </m:r>
          <m:sSub>
            <m:e>
              <m:r>
                <m:t>ρ</m:t>
              </m:r>
            </m:e>
            <m:sub>
              <m:r>
                <m:rPr>
                  <m:nor/>
                  <m:sty m:val="p"/>
                </m:rPr>
                <m:t>secondary</m:t>
              </m:r>
            </m:sub>
          </m:sSub>
          <m:r>
            <m:rPr>
              <m:sty m:val="p"/>
            </m:rPr>
            <m:t>×</m:t>
          </m:r>
          <m:r>
            <m:t>η</m:t>
          </m:r>
          <m:r>
            <m:t>  </m:t>
          </m:r>
          <m:r>
            <m:rPr>
              <m:nor/>
              <m:sty m:val="p"/>
            </m:rPr>
            <m:t>deaths prevented</m:t>
          </m:r>
          <m:r>
            <m:rPr>
              <m:sty m:val="p"/>
            </m:rPr>
            <m:t>=</m:t>
          </m:r>
          <m:sSub>
            <m:e>
              <m:r>
                <m:t>ρ</m:t>
              </m:r>
            </m:e>
            <m:sub>
              <m:r>
                <m:rPr>
                  <m:nor/>
                  <m:sty m:val="p"/>
                </m:rPr>
                <m:t>secondary</m:t>
              </m:r>
            </m:sub>
          </m:sSub>
          <m:r>
            <m:rPr>
              <m:sty m:val="p"/>
            </m:rPr>
            <m:t>×</m:t>
          </m:r>
          <m:r>
            <m:t>η</m:t>
          </m:r>
          <m:r>
            <m:rPr>
              <m:sty m:val="p"/>
            </m:rPr>
            <m:t>×</m:t>
          </m:r>
          <m:sSub>
            <m:e>
              <m:r>
                <m:t>p</m:t>
              </m:r>
            </m:e>
            <m:sub>
              <m:r>
                <m:rPr>
                  <m:nor/>
                  <m:sty m:val="p"/>
                </m:rPr>
                <m:t>death</m:t>
              </m:r>
            </m:sub>
          </m:sSub>
        </m:oMath>
      </m:oMathPara>
    </w:p>
    <w:tbl>
      <w:tblPr>
        <w:tblStyle w:val="Table"/>
        <w:tblW w:type="pct" w:w="5000"/>
        <w:tblLayout w:type="fixed"/>
        <w:tblLook w:firstRow="0" w:lastRow="0" w:firstColumn="0" w:lastColumn="0" w:noHBand="0" w:noVBand="0" w:val="0000"/>
      </w:tblPr>
      <w:tblGrid>
        <w:gridCol w:w="7920"/>
      </w:tblGrid>
      <w:tr>
        <w:tc>
          <w:tcPr/>
          <w:bookmarkStart w:id="48" w:name="tbl-per-loop-yield"/>
          <w:p>
            <w:pPr>
              <w:jc w:val="center"/>
            </w:pPr>
            <w:pPr>
              <w:jc w:val="left"/>
              <w:spacing w:before="200"/>
              <w:pStyle w:val="ImageCaption"/>
            </w:pPr>
            <w:r>
              <w:t xml:space="preserve">Table 1: Preventable cases, deaths, and societal burden per</w:t>
            </w:r>
            <w:r>
              <w:t xml:space="preserve"> </w:t>
            </w:r>
            <w:r>
              <w:rPr>
                <w:i/>
                <w:iCs/>
              </w:rPr>
              <w:t xml:space="preserve">additional</w:t>
            </w:r>
            <w:r>
              <w:t xml:space="preserve"> </w:t>
            </w:r>
            <w:r>
              <w:t xml:space="preserve">fully-closed loop, at low/mid/high response efficacy. All inputs from amua_import_parameters_v4.csv. These are the rates that overall_policy_model.qmd multiplies by Δ(loops closed) under each policy scenario.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Scenario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η</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Cases / loop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Deaths / loop</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Burden retired / loop (R)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Low engagement (η_lo)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R93,150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Base case (η_mid)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R186,300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Well-resourced (η_hi)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R310,500</w:t>
                  </w:r>
                </w:p>
              </w:tc>
            </w:tr>
          </w:tbl>
          <w:bookmarkEnd w:id="48"/>
        </w:tc>
      </w:tr>
    </w:tbl>
    <w:p>
      <w:pPr>
        <w:pStyle w:val="BodyText"/>
      </w:pPr>
      <w:r>
        <w:rPr>
          <w:b/>
          <w:bCs/>
        </w:rPr>
        <w:t xml:space="preserve">Headline rule of thumb.</w:t>
      </w:r>
      <w:r>
        <w:t xml:space="preserve"> </w:t>
      </w:r>
      <w:r>
        <w:t xml:space="preserve">At base case (</w:t>
      </w:r>
      <m:oMath>
        <m:r>
          <m:t>ρ</m:t>
        </m:r>
        <m:r>
          <m:rPr>
            <m:sty m:val="p"/>
          </m:rPr>
          <m:t>=</m:t>
        </m:r>
        <m:r>
          <m:t>3</m:t>
        </m:r>
      </m:oMath>
      <w:r>
        <w:t xml:space="preserve">,</w:t>
      </w:r>
      <w:r>
        <w:t xml:space="preserve"> </w:t>
      </w:r>
      <m:oMath>
        <m:r>
          <m:t>η</m:t>
        </m:r>
        <m:r>
          <m:rPr>
            <m:sty m:val="p"/>
          </m:rPr>
          <m:t>=</m:t>
        </m:r>
        <m:r>
          <m:t>0.3</m:t>
        </m:r>
      </m:oMath>
      <w:r>
        <w:t xml:space="preserve">,</w:t>
      </w:r>
      <w:r>
        <w:t xml:space="preserve"> </w:t>
      </w:r>
      <m:oMath>
        <m:sSub>
          <m:e>
            <m:r>
              <m:t>p</m:t>
            </m:r>
          </m:e>
          <m:sub>
            <m:r>
              <m:rPr>
                <m:nor/>
                <m:sty m:val="p"/>
              </m:rPr>
              <m:t>death</m:t>
            </m:r>
          </m:sub>
        </m:sSub>
        <m:r>
          <m:rPr>
            <m:sty m:val="p"/>
          </m:rPr>
          <m:t>=</m:t>
        </m:r>
        <m:r>
          <m:t>0.13</m:t>
        </m:r>
      </m:oMath>
      <w:r>
        <w:t xml:space="preserve">):</w:t>
      </w:r>
      <w:r>
        <w:t xml:space="preserve"> </w:t>
      </w:r>
      <w:r>
        <w:rPr>
          <w:b/>
          <w:bCs/>
        </w:rPr>
        <w:t xml:space="preserve">every loop closed prevents ≈ 0.9 future cases and ≈ 0.12 deaths</w:t>
      </w:r>
      <w:r>
        <w:t xml:space="preserve">, retiring</w:t>
      </w:r>
      <w:r>
        <w:t xml:space="preserve"> </w:t>
      </w:r>
      <w:r>
        <w:rPr>
          <w:b/>
          <w:bCs/>
        </w:rPr>
        <w:t xml:space="preserve">≈ R186,300 of societal burden</w:t>
      </w:r>
      <w:r>
        <w:t xml:space="preserve">. Multiply by the change in number of loops closed under any scenario in</w:t>
      </w:r>
      <w:r>
        <w:t xml:space="preserve"> </w:t>
      </w:r>
      <w:hyperlink r:id="rId49">
        <w:r>
          <w:rPr>
            <w:rStyle w:val="Hyperlink"/>
          </w:rPr>
          <w:t xml:space="preserve">the integrated model</w:t>
        </w:r>
      </w:hyperlink>
      <w:r>
        <w:t xml:space="preserve"> </w:t>
      </w:r>
      <w:r>
        <w:t xml:space="preserve">to get the policy yield.</w:t>
      </w:r>
    </w:p>
    <w:bookmarkEnd w:id="50"/>
    <w:bookmarkStart w:id="54" w:name="c.-clinical-outcome-subtree"/>
    <w:p>
      <w:pPr>
        <w:pStyle w:val="Heading3"/>
      </w:pPr>
      <w:r>
        <w:t xml:space="preserve">6c. Clinical-outcome subtree</w:t>
      </w:r>
    </w:p>
    <w:p>
      <w:pPr>
        <w:pStyle w:val="FirstParagraph"/>
      </w:pPr>
      <w:r>
        <w:t xml:space="preserve">Each coordination terminal feeds into a clinical-outcome subtree for the index case</w:t>
      </w:r>
      <w:r>
        <w:t xml:space="preserve"> </w:t>
      </w:r>
      <w:r>
        <w:rPr>
          <w:i/>
          <w:iCs/>
        </w:rPr>
        <w:t xml:space="preserve">and</w:t>
      </w:r>
      <w:r>
        <w:t xml:space="preserve"> </w:t>
      </w:r>
      <w:r>
        <w:t xml:space="preserve">for the secondary cases that would otherwise follow from the same source:</w:t>
      </w:r>
    </w:p>
    <w:p>
      <w:pPr>
        <w:pStyle w:val="BodyText"/>
      </w:pPr>
    </w:p>
    <w:p>
      <w:pPr>
        <w:pStyle w:val="BodyText"/>
      </w:pPr>
      <w:r>
        <w:drawing>
          <wp:inline>
            <wp:extent cx="5334000" cy="4070684"/>
            <wp:effectExtent b="0" l="0" r="0" t="0"/>
            <wp:docPr descr="" title="" id="52" name="Picture"/>
            <a:graphic>
              <a:graphicData uri="http://schemas.openxmlformats.org/drawingml/2006/picture">
                <pic:pic>
                  <pic:nvPicPr>
                    <pic:cNvPr descr="coordination_policy_files/figure-docx/mermaid-figure-3.png" id="53" name="Picture"/>
                    <pic:cNvPicPr>
                      <a:picLocks noChangeArrowheads="1" noChangeAspect="1"/>
                    </pic:cNvPicPr>
                  </pic:nvPicPr>
                  <pic:blipFill>
                    <a:blip r:embed="rId51"/>
                    <a:stretch>
                      <a:fillRect/>
                    </a:stretch>
                  </pic:blipFill>
                  <pic:spPr bwMode="auto">
                    <a:xfrm>
                      <a:off x="0" y="0"/>
                      <a:ext cx="5334000" cy="4070684"/>
                    </a:xfrm>
                    <a:prstGeom prst="rect">
                      <a:avLst/>
                    </a:prstGeom>
                    <a:noFill/>
                    <a:ln w="9525">
                      <a:noFill/>
                      <a:headEnd/>
                      <a:tailEnd/>
                    </a:ln>
                  </pic:spPr>
                </pic:pic>
              </a:graphicData>
            </a:graphic>
          </wp:inline>
        </w:drawing>
      </w:r>
    </w:p>
    <w:p>
      <w:pPr>
        <w:pStyle w:val="BodyText"/>
      </w:pPr>
      <w:r>
        <w:t xml:space="preserve"> </w:t>
      </w:r>
      <w:r>
        <w:t xml:space="preserve">Clinical-outcome subtree attached to each coordination terminal. Index-case probabilities (p_death, p_severe, p_recover) and secondary-case multipliers (rho_secondary, eta_response_mid) all pulled from amua_import_parameters_v3.csv at render time.</w:t>
      </w:r>
      <w:r>
        <w:t xml:space="preserve"> </w:t>
      </w:r>
    </w:p>
    <w:bookmarkEnd w:id="54"/>
    <w:bookmarkStart w:id="55" w:name="Xd33050325a607bc2d3adb80badc11b7661b974f"/>
    <w:p>
      <w:pPr>
        <w:pStyle w:val="Heading3"/>
      </w:pPr>
      <w:r>
        <w:t xml:space="preserve">6d. What changes under each coordination scenario</w:t>
      </w:r>
    </w:p>
    <w:p>
      <w:pPr>
        <w:pStyle w:val="FirstParagraph"/>
      </w:pPr>
      <w:r>
        <w:t xml:space="preserve">Burden avoided is split by</w:t>
      </w:r>
      <w:r>
        <w:t xml:space="preserve"> </w:t>
      </w:r>
      <w:r>
        <w:rPr>
          <w:b/>
          <w:bCs/>
        </w:rPr>
        <w:t xml:space="preserve">who would otherwise have borne it</w:t>
      </w:r>
      <w:r>
        <w:t xml:space="preserve">, so each agency sees the share of the win that flows back to its own budget line or constituency. The avoided-burden split uses the same shares as the canonical stakeholder table above: ~3.4 % health sector (NDoH + NHLS), ~96.6 % households (mortality + OOP).</w:t>
      </w:r>
    </w:p>
    <w:p>
      <w:pPr>
        <w:pStyle w:val="TableCaption"/>
      </w:pPr>
      <w:r>
        <w:t xml:space="preserve">Modelled coordination outcomes at national scale (× 4,171 observed cases/year, 2023 streams). Stakeholder columns apply the canonical share table (NDoH+NHLS = R80M of R1.61B; households = R1.53B of R1.61B) to the total avoided burden in each scenario. Probabilities are placeholders aligned with the surveillance detection-rate ranges in the</w:t>
      </w:r>
      <w:r>
        <w:t xml:space="preserve"> </w:t>
      </w:r>
      <w:hyperlink r:id="rId9">
        <w:r>
          <w:rPr>
            <w:rStyle w:val="Hyperlink"/>
          </w:rPr>
          <w:t xml:space="preserve">Surveillance brief</w:t>
        </w:r>
      </w:hyperlink>
      <w:r>
        <w:t xml:space="preserve">.</w:t>
      </w:r>
    </w:p>
    <w:tbl>
      <w:tblPr>
        <w:tblStyle w:val="Table"/>
        <w:tblW w:type="pct" w:w="5000"/>
        <w:tblLayout w:type="fixed"/>
        <w:tblLook w:firstRow="1" w:lastRow="0" w:firstColumn="0" w:lastColumn="0" w:noHBand="0" w:noVBand="0" w:val="0020"/>
        <w:tblCaption w:val="Modelled coordination outcomes at national scale (× 4,171 observed cases/year, 2023 streams). Stakeholder columns apply the canonical share table (NDoH+NHLS = R80M of R1.61B; households = R1.53B of R1.61B) to the total avoided burden in each scenario. Probabilities are placeholders aligned with the surveillance detection-rate ranges in the Surveillance brief."/>
      </w:tblPr>
      <w:tblGrid>
        <w:gridCol w:w="565"/>
        <w:gridCol w:w="905"/>
        <w:gridCol w:w="1188"/>
        <w:gridCol w:w="2149"/>
        <w:gridCol w:w="2262"/>
        <w:gridCol w:w="848"/>
      </w:tblGrid>
      <w:tr>
        <w:trPr>
          <w:tblHeader w:val="on"/>
        </w:trPr>
        <w:tc>
          <w:tcPr/>
          <w:p>
            <w:pPr>
              <w:pStyle w:val="Compact"/>
              <w:jc w:val="left"/>
            </w:pPr>
            <w:r>
              <w:t xml:space="preserve">Scenario</w:t>
            </w:r>
          </w:p>
        </w:tc>
        <w:tc>
          <w:tcPr/>
          <w:p>
            <w:pPr>
              <w:pStyle w:val="Compact"/>
              <w:jc w:val="right"/>
            </w:pPr>
            <w:r>
              <w:t xml:space="preserve">P(loop closed)</w:t>
            </w:r>
          </w:p>
        </w:tc>
        <w:tc>
          <w:tcPr/>
          <w:p>
            <w:pPr>
              <w:pStyle w:val="Compact"/>
              <w:jc w:val="right"/>
            </w:pPr>
            <w:r>
              <w:t xml:space="preserve">Deaths averted / yr</w:t>
            </w:r>
          </w:p>
        </w:tc>
        <w:tc>
          <w:tcPr/>
          <w:p>
            <w:pPr>
              <w:pStyle w:val="Compact"/>
              <w:jc w:val="right"/>
            </w:pPr>
            <w:r>
              <w:t xml:space="preserve">Avoided — health system (NDoH + NHLS)</w:t>
            </w:r>
          </w:p>
        </w:tc>
        <w:tc>
          <w:tcPr/>
          <w:p>
            <w:pPr>
              <w:pStyle w:val="Compact"/>
              <w:jc w:val="right"/>
            </w:pPr>
            <w:r>
              <w:t xml:space="preserve">Avoided — households (mortality + OOP)</w:t>
            </w:r>
          </w:p>
        </w:tc>
        <w:tc>
          <w:tcPr/>
          <w:p>
            <w:pPr>
              <w:pStyle w:val="Compact"/>
              <w:jc w:val="right"/>
            </w:pPr>
            <w:r>
              <w:t xml:space="preserve">Total avoided</w:t>
            </w:r>
          </w:p>
        </w:tc>
      </w:tr>
      <w:tr>
        <w:tc>
          <w:tcPr/>
          <w:p>
            <w:pPr>
              <w:pStyle w:val="Compact"/>
              <w:jc w:val="left"/>
            </w:pPr>
            <w:r>
              <w:t xml:space="preserve">Status quo</w:t>
            </w:r>
          </w:p>
        </w:tc>
        <w:tc>
          <w:tcPr/>
          <w:p>
            <w:pPr>
              <w:pStyle w:val="Compact"/>
              <w:jc w:val="right"/>
            </w:pPr>
            <w:r>
              <w:t xml:space="preserve">1.1 %</w:t>
            </w:r>
          </w:p>
        </w:tc>
        <w:tc>
          <w:tcPr/>
          <w:p>
            <w:pPr>
              <w:pStyle w:val="Compact"/>
              <w:jc w:val="right"/>
            </w:pPr>
            <w:r>
              <w:t xml:space="preserve">15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 C3 (NICD→DALRRD feed)</w:t>
            </w:r>
          </w:p>
        </w:tc>
        <w:tc>
          <w:tcPr/>
          <w:p>
            <w:pPr>
              <w:pStyle w:val="Compact"/>
              <w:jc w:val="right"/>
            </w:pPr>
            <w:r>
              <w:t xml:space="preserve">~40 %</w:t>
            </w:r>
          </w:p>
        </w:tc>
        <w:tc>
          <w:tcPr/>
          <w:p>
            <w:pPr>
              <w:pStyle w:val="Compact"/>
              <w:jc w:val="right"/>
            </w:pPr>
            <w:r>
              <w:t xml:space="preserve">~547</w:t>
            </w:r>
          </w:p>
        </w:tc>
        <w:tc>
          <w:tcPr/>
          <w:p>
            <w:pPr>
              <w:pStyle w:val="Compact"/>
              <w:jc w:val="right"/>
            </w:pPr>
            <w:r>
              <w:t xml:space="preserve">~R29M</w:t>
            </w:r>
          </w:p>
        </w:tc>
        <w:tc>
          <w:tcPr/>
          <w:p>
            <w:pPr>
              <w:pStyle w:val="Compact"/>
              <w:jc w:val="right"/>
            </w:pPr>
            <w:r>
              <w:t xml:space="preserve">~R806M</w:t>
            </w:r>
          </w:p>
        </w:tc>
        <w:tc>
          <w:tcPr/>
          <w:p>
            <w:pPr>
              <w:pStyle w:val="Compact"/>
              <w:jc w:val="right"/>
            </w:pPr>
            <w:r>
              <w:t xml:space="preserve">~R835M</w:t>
            </w:r>
          </w:p>
        </w:tc>
      </w:tr>
      <w:tr>
        <w:tc>
          <w:tcPr/>
          <w:p>
            <w:pPr>
              <w:pStyle w:val="Compact"/>
              <w:jc w:val="left"/>
            </w:pPr>
            <w:r>
              <w:rPr>
                <w:b/>
                <w:bCs/>
              </w:rPr>
              <w:t xml:space="preserve">Coordination Full Package (C1–C5)</w:t>
            </w:r>
          </w:p>
        </w:tc>
        <w:tc>
          <w:tcPr/>
          <w:p>
            <w:pPr>
              <w:pStyle w:val="Compact"/>
              <w:jc w:val="right"/>
            </w:pPr>
            <w:r>
              <w:rPr>
                <w:b/>
                <w:bCs/>
              </w:rPr>
              <w:t xml:space="preserve">~70 %</w:t>
            </w:r>
          </w:p>
        </w:tc>
        <w:tc>
          <w:tcPr/>
          <w:p>
            <w:pPr>
              <w:pStyle w:val="Compact"/>
              <w:jc w:val="right"/>
            </w:pPr>
            <w:r>
              <w:rPr>
                <w:b/>
                <w:bCs/>
              </w:rPr>
              <w:t xml:space="preserve">~957</w:t>
            </w:r>
          </w:p>
        </w:tc>
        <w:tc>
          <w:tcPr/>
          <w:p>
            <w:pPr>
              <w:pStyle w:val="Compact"/>
              <w:jc w:val="right"/>
            </w:pPr>
            <w:r>
              <w:rPr>
                <w:b/>
                <w:bCs/>
              </w:rPr>
              <w:t xml:space="preserve">~R50M</w:t>
            </w:r>
          </w:p>
        </w:tc>
        <w:tc>
          <w:tcPr/>
          <w:p>
            <w:pPr>
              <w:pStyle w:val="Compact"/>
              <w:jc w:val="right"/>
            </w:pPr>
            <w:r>
              <w:rPr>
                <w:b/>
                <w:bCs/>
              </w:rPr>
              <w:t xml:space="preserve">~R1,400M</w:t>
            </w:r>
          </w:p>
        </w:tc>
        <w:tc>
          <w:tcPr/>
          <w:p>
            <w:pPr>
              <w:pStyle w:val="Compact"/>
              <w:jc w:val="right"/>
            </w:pPr>
            <w:r>
              <w:rPr>
                <w:b/>
                <w:bCs/>
              </w:rPr>
              <w:t xml:space="preserve">~R1,450M</w:t>
            </w:r>
          </w:p>
        </w:tc>
      </w:tr>
    </w:tbl>
    <w:p>
      <w:pPr>
        <w:pStyle w:val="BodyText"/>
      </w:pPr>
      <w:r>
        <w:rPr>
          <w:b/>
          <w:bCs/>
        </w:rPr>
        <w:t xml:space="preserve">Reading by audience.</w:t>
      </w:r>
    </w:p>
    <w:p>
      <w:pPr>
        <w:pStyle w:val="Compact"/>
        <w:numPr>
          <w:ilvl w:val="0"/>
          <w:numId w:val="1001"/>
        </w:numPr>
      </w:pPr>
      <w:r>
        <w:rPr>
          <w:b/>
          <w:bCs/>
        </w:rPr>
        <w:t xml:space="preserve">NDoH / NHLS:</w:t>
      </w:r>
      <w:r>
        <w:t xml:space="preserve"> </w:t>
      </w:r>
      <w:r>
        <w:t xml:space="preserve">the R50M avoided is ~330× the R145k Full-Package operating cost — a credible business case before counting household mortality.</w:t>
      </w:r>
    </w:p>
    <w:p>
      <w:pPr>
        <w:pStyle w:val="Compact"/>
        <w:numPr>
          <w:ilvl w:val="0"/>
          <w:numId w:val="1001"/>
        </w:numPr>
      </w:pPr>
      <w:r>
        <w:rPr>
          <w:b/>
          <w:bCs/>
        </w:rPr>
        <w:t xml:space="preserve">DALRRD:</w:t>
      </w:r>
      <w:r>
        <w:t xml:space="preserve"> </w:t>
      </w:r>
      <w:r>
        <w:t xml:space="preserve">C3 is the lowest-cost route to the evidence base needed for product-specific action (see</w:t>
      </w:r>
      <w:r>
        <w:t xml:space="preserve"> </w:t>
      </w:r>
      <w:hyperlink r:id="rId10">
        <w:r>
          <w:rPr>
            <w:rStyle w:val="Hyperlink"/>
          </w:rPr>
          <w:t xml:space="preserve">Terbufos brief</w:t>
        </w:r>
      </w:hyperlink>
      <w:r>
        <w:t xml:space="preserve">).</w:t>
      </w:r>
    </w:p>
    <w:p>
      <w:pPr>
        <w:pStyle w:val="Compact"/>
        <w:numPr>
          <w:ilvl w:val="0"/>
          <w:numId w:val="1001"/>
        </w:numPr>
      </w:pPr>
      <w:r>
        <w:rPr>
          <w:b/>
          <w:bCs/>
        </w:rPr>
        <w:t xml:space="preserve">Treasury / Presidency:</w:t>
      </w:r>
      <w:r>
        <w:t xml:space="preserve"> </w:t>
      </w:r>
      <w:r>
        <w:t xml:space="preserve">~R1.4B/yr of household and societal cost retired; the cross-departmental return that justifies the joint DG circular.</w:t>
      </w:r>
    </w:p>
    <w:p>
      <w:pPr>
        <w:pStyle w:val="FirstParagraph"/>
      </w:pPr>
      <w:r>
        <w:rPr>
          <w:b/>
          <w:bCs/>
        </w:rPr>
        <w:t xml:space="preserve">Beyond terbufos.</w:t>
      </w:r>
      <w:r>
        <w:t xml:space="preserve"> </w:t>
      </w:r>
      <w:r>
        <w:t xml:space="preserve">The Full Package retires ~957 deaths/yr</w:t>
      </w:r>
      <w:r>
        <w:t xml:space="preserve"> </w:t>
      </w:r>
      <w:r>
        <w:rPr>
          <w:b/>
          <w:bCs/>
        </w:rPr>
        <w:t xml:space="preserve">today</w:t>
      </w:r>
      <w:r>
        <w:t xml:space="preserve">, dominated by organophosphate and carbamate clusters. As terbufos is withdrawn (see</w:t>
      </w:r>
      <w:r>
        <w:t xml:space="preserve"> </w:t>
      </w:r>
      <w:hyperlink r:id="rId10">
        <w:r>
          <w:rPr>
            <w:rStyle w:val="Hyperlink"/>
          </w:rPr>
          <w:t xml:space="preserve">Terbufos brief</w:t>
        </w:r>
      </w:hyperlink>
      <w:r>
        <w:t xml:space="preserve">) the residual cluster mix will shift first to other agricultural pesticides (aldicarb, paraquat, carbofuran), and over a 10–20 year development horizon increasingly toward</w:t>
      </w:r>
      <w:r>
        <w:t xml:space="preserve"> </w:t>
      </w:r>
      <w:r>
        <w:rPr>
          <w:b/>
          <w:bCs/>
        </w:rPr>
        <w:t xml:space="preserve">opioids, methadone substitution, and recreational-drug overdoses</w:t>
      </w:r>
      <w:r>
        <w:t xml:space="preserve"> </w:t>
      </w:r>
      <w:r>
        <w:t xml:space="preserve">— the toxicology profile that has dominated middle- and high-income countries since the 1990s. The closed loop is the asset that survives that transition; only the product list at C3 changes.</w:t>
      </w:r>
    </w:p>
    <w:bookmarkEnd w:id="55"/>
    <w:bookmarkStart w:id="61" w:name="Xf2ea6dd4f2486fe1999e715e1c2d344dbf4d0cf"/>
    <w:p>
      <w:pPr>
        <w:pStyle w:val="Heading3"/>
      </w:pPr>
      <w:r>
        <w:t xml:space="preserve">6e. Cost per loop closed — the unit cost the integrated model uses</w:t>
      </w:r>
    </w:p>
    <w:p>
      <w:pPr>
        <w:pStyle w:val="FirstParagraph"/>
      </w:pPr>
      <w:r>
        <w:t xml:space="preserve">The Full Package adds a fixed operating overhead (C1–C5 ≈ R145k/yr). It is spread across the</w:t>
      </w:r>
      <w:r>
        <w:t xml:space="preserve"> </w:t>
      </w:r>
      <w:r>
        <w:rPr>
          <w:i/>
          <w:iCs/>
        </w:rPr>
        <w:t xml:space="preserve">additional</w:t>
      </w:r>
      <w:r>
        <w:t xml:space="preserve"> </w:t>
      </w:r>
      <w:r>
        <w:t xml:space="preserve">loops it closes versus the status quo. That gives a single</w:t>
      </w:r>
      <w:r>
        <w:t xml:space="preserve"> </w:t>
      </w:r>
      <w:r>
        <w:rPr>
          <w:b/>
          <w:bCs/>
        </w:rPr>
        <w:t xml:space="preserve">cost-per-loop-closed</w:t>
      </w:r>
      <w:r>
        <w:t xml:space="preserve"> </w:t>
      </w:r>
      <w:r>
        <w:t xml:space="preserve">scalar that the</w:t>
      </w:r>
      <w:r>
        <w:t xml:space="preserve"> </w:t>
      </w:r>
      <w:hyperlink r:id="rId49">
        <w:r>
          <w:rPr>
            <w:rStyle w:val="Hyperlink"/>
          </w:rPr>
          <w:t xml:space="preserve">integrated model</w:t>
        </w:r>
      </w:hyperlink>
      <w:r>
        <w:t xml:space="preserve"> </w:t>
      </w:r>
      <w:r>
        <w:t xml:space="preserve">can call directly when comparing scenarios.</w:t>
      </w:r>
    </w:p>
    <w:tbl>
      <w:tblPr>
        <w:tblStyle w:val="Table"/>
        <w:tblW w:type="pct" w:w="5000"/>
        <w:tblLayout w:type="fixed"/>
        <w:tblLook w:firstRow="0" w:lastRow="0" w:firstColumn="0" w:lastColumn="0" w:noHBand="0" w:noVBand="0" w:val="0000"/>
      </w:tblPr>
      <w:tblGrid>
        <w:gridCol w:w="7920"/>
      </w:tblGrid>
      <w:tr>
        <w:tc>
          <w:tcPr/>
          <w:bookmarkStart w:id="59" w:name="fig-coord-cost-per-loop"/>
          <w:p>
            <w:pPr>
              <w:jc w:val="center"/>
            </w:pPr>
            <w:r>
              <w:drawing>
                <wp:inline>
                  <wp:extent cx="5334000" cy="2623346"/>
                  <wp:effectExtent b="0" l="0" r="0" t="0"/>
                  <wp:docPr descr="" title="" id="57" name="Picture"/>
                  <a:graphic>
                    <a:graphicData uri="http://schemas.openxmlformats.org/drawingml/2006/picture">
                      <pic:pic>
                        <pic:nvPicPr>
                          <pic:cNvPr descr="coordination_policy_files/figure-docx/mermaid-figure-2.png" id="58" name="Picture"/>
                          <pic:cNvPicPr>
                            <a:picLocks noChangeArrowheads="1" noChangeAspect="1"/>
                          </pic:cNvPicPr>
                        </pic:nvPicPr>
                        <pic:blipFill>
                          <a:blip r:embed="rId56"/>
                          <a:stretch>
                            <a:fillRect/>
                          </a:stretch>
                        </pic:blipFill>
                        <pic:spPr bwMode="auto">
                          <a:xfrm>
                            <a:off x="0" y="0"/>
                            <a:ext cx="5334000" cy="2623346"/>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Cost decomposition for one fully-closed loop. Five fixed C-line items feed a shared overhead; that overhead is amortised across the incremental loops closed each year.</w:t>
            </w:r>
          </w:p>
          <w:bookmarkEnd w:id="59"/>
        </w:tc>
      </w:tr>
    </w:tbl>
    <w:tbl>
      <w:tblPr>
        <w:tblStyle w:val="Table"/>
        <w:tblW w:type="pct" w:w="5000"/>
        <w:tblLayout w:type="fixed"/>
        <w:tblLook w:firstRow="0" w:lastRow="0" w:firstColumn="0" w:lastColumn="0" w:noHBand="0" w:noVBand="0" w:val="0000"/>
      </w:tblPr>
      <w:tblGrid>
        <w:gridCol w:w="7920"/>
      </w:tblGrid>
      <w:tr>
        <w:tc>
          <w:tcPr/>
          <w:bookmarkStart w:id="60" w:name="tbl-cost-per-loop"/>
          <w:p>
            <w:pPr>
              <w:jc w:val="center"/>
            </w:pPr>
            <w:pPr>
              <w:jc w:val="left"/>
              <w:spacing w:before="200"/>
              <w:pStyle w:val="ImageCaption"/>
            </w:pPr>
            <w:r>
              <w:t xml:space="preserve">Table 2: Cost per loop closed and per future case prevented, derived from CSV inputs. These two scalars are the parameters overall_policy_model.qmd consumes when toggling the Coordination Full Package on/off.</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Scenario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P(loop closed)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Δ loops closed / yr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Cost / yr (R)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Cost / loop (R)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Cases prevented / yr</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Cost / case prevented (R)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C3 only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R40,000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Coordination Full Package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R145,000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R59</w:t>
                  </w:r>
                </w:p>
              </w:tc>
            </w:tr>
          </w:tbl>
          <w:bookmarkEnd w:id="60"/>
        </w:tc>
      </w:tr>
    </w:tbl>
    <w:p>
      <w:pPr>
        <w:pStyle w:val="BodyText"/>
      </w:pPr>
      <w:r>
        <w:t xml:space="preserve">At base case:</w:t>
      </w:r>
      <w:r>
        <w:t xml:space="preserve"> </w:t>
      </w:r>
      <w:r>
        <w:rPr>
          <w:b/>
          <w:bCs/>
        </w:rPr>
        <w:t xml:space="preserve">≈ R53 per additional loop closed</w:t>
      </w:r>
      <w:r>
        <w:t xml:space="preserve">,</w:t>
      </w:r>
      <w:r>
        <w:t xml:space="preserve"> </w:t>
      </w:r>
      <w:r>
        <w:rPr>
          <w:b/>
          <w:bCs/>
        </w:rPr>
        <w:t xml:space="preserve">≈ R59 per future poisoning prevented</w:t>
      </w:r>
      <w:r>
        <w:t xml:space="preserve">. Both scalars fall as ρ or η rise — the system gets cheaper per case averted in exactly the cluster-prone settings (illegal street-pesticide hotspots; future opioid overdose chains) where it matters most.</w:t>
      </w:r>
    </w:p>
    <w:bookmarkEnd w:id="61"/>
    <w:bookmarkStart w:id="63" w:name="Xfe0b3cbdff8f509744a18b06ed38d55fd2f0408"/>
    <w:p>
      <w:pPr>
        <w:pStyle w:val="Heading3"/>
      </w:pPr>
      <w:r>
        <w:t xml:space="preserve">6f. Sensitivity — how strongly a working loop suppresses future poisonings</w:t>
      </w:r>
    </w:p>
    <w:p>
      <w:pPr>
        <w:pStyle w:val="FirstParagraph"/>
      </w:pPr>
      <w:r>
        <w:t xml:space="preserve">The headline policy claim is that</w:t>
      </w:r>
      <w:r>
        <w:t xml:space="preserve"> </w:t>
      </w:r>
      <w:r>
        <w:rPr>
          <w:b/>
          <w:bCs/>
        </w:rPr>
        <w:t xml:space="preserve">a closed coordination loop prevents future poisonings</w:t>
      </w:r>
      <w:r>
        <w:t xml:space="preserve">. Two parameters drive the size of that effect: the loop-closure probability achieved by the policy (</w:t>
      </w:r>
      <m:oMath>
        <m:sSub>
          <m:e>
            <m:r>
              <m:t>P</m:t>
            </m:r>
          </m:e>
          <m:sub>
            <m:r>
              <m:rPr>
                <m:nor/>
                <m:sty m:val="p"/>
              </m:rPr>
              <m:t>loop</m:t>
            </m:r>
          </m:sub>
        </m:sSub>
      </m:oMath>
      <w:r>
        <w:t xml:space="preserve">) and the response efficacy once a source is identified (</w:t>
      </w:r>
      <m:oMath>
        <m:r>
          <m:t>η</m:t>
        </m:r>
      </m:oMath>
      <w:r>
        <w:t xml:space="preserve">). Both have CSV-anchored ranges. The table below sweeps them jointly; cells are colour-shaded from low (red) to high (green).</w:t>
      </w:r>
    </w:p>
    <w:tbl>
      <w:tblPr>
        <w:tblStyle w:val="Table"/>
        <w:tblW w:type="pct" w:w="5000"/>
        <w:tblLayout w:type="fixed"/>
        <w:tblLook w:firstRow="0" w:lastRow="0" w:firstColumn="0" w:lastColumn="0" w:noHBand="0" w:noVBand="0" w:val="0000"/>
      </w:tblPr>
      <w:tblGrid>
        <w:gridCol w:w="7920"/>
      </w:tblGrid>
      <w:tr>
        <w:tc>
          <w:tcPr/>
          <w:bookmarkStart w:id="62" w:name="tbl-sens-coord-poisonings"/>
          <w:p>
            <w:pPr>
              <w:jc w:val="center"/>
            </w:pPr>
            <w:pPr>
              <w:jc w:val="left"/>
              <w:spacing w:before="200"/>
              <w:pStyle w:val="ImageCaption"/>
            </w:pPr>
            <w:r>
              <w:t xml:space="preserve">Table 3: Future poisonings prevented per year as a function of achieved loop-closure rate (rows) and response efficacy η (columns), holding ρ = 3.0 and observed-case denominator = 3,950 cases/yr. Status-quo baseline (P_loop = 1.1 %) is shown for reference; all other rows are policy scenarios.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P_loop \ η</w:t>
                  </w:r>
                </w:p>
              </w:tc>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η_lo (15%)</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η_mid (30%)</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η_hi (50%)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Status quo (1 %)</w:t>
                  </w:r>
                </w:p>
              </w:tc>
              <w:tc>
                <w:tcPr>
                  <w:tcBorders>
                    <w:top w:val="single" w:space="0" w:color="D3D3D3"/>
                    <w:bottom w:val="single" w:space="0" w:color="D3D3D3"/>
                    <w:start w:val="single" w:space="0" w:color="D3D3D3"/>
                    <w:end w:val="single" w:space="0" w:color="D3D3D3"/>
                  </w:tcBorders>
                  <w:shd w:val="clear" w:color="auto" w:fill="FEE08B"/>
                </w:tcPr>
                <w:p>
                  <w:pPr>
                    <w:spacing w:before="0" w:after="60"/>
                    <w:keepNext/>
                    <w:jc w:val="end"/>
                  </w:pPr>
                  <w:r>
                    <w:rPr>
                      <w:rFonts w:ascii="Calibri" w:hAnsi="Calibri"/>
                      <w:sz w:val="20"/>
                      <w:color w:val="000000"/>
                    </w:rPr>
                    <w:t xml:space="default">0</w:t>
                  </w:r>
                </w:p>
              </w:tc>
              <w:tc>
                <w:tcPr>
                  <w:tcBorders>
                    <w:top w:val="single" w:space="0" w:color="D3D3D3"/>
                    <w:bottom w:val="single" w:space="0" w:color="D3D3D3"/>
                    <w:start w:val="single" w:space="0" w:color="D3D3D3"/>
                    <w:end w:val="single" w:space="0" w:color="D3D3D3"/>
                  </w:tcBorders>
                  <w:shd w:val="clear" w:color="auto" w:fill="FEE08B"/>
                </w:tcPr>
                <w:p>
                  <w:pPr>
                    <w:spacing w:before="0" w:after="60"/>
                    <w:keepNext/>
                    <w:jc w:val="end"/>
                  </w:pPr>
                  <w:r>
                    <w:rPr>
                      <w:rFonts w:ascii="Calibri" w:hAnsi="Calibri"/>
                      <w:sz w:val="20"/>
                      <w:color w:val="000000"/>
                    </w:rPr>
                    <w:t xml:space="default">0</w:t>
                  </w:r>
                </w:p>
              </w:tc>
              <w:tc>
                <w:tcPr>
                  <w:tcBorders>
                    <w:top w:val="single" w:space="0" w:color="D3D3D3"/>
                    <w:bottom w:val="single" w:space="0" w:color="D3D3D3"/>
                    <w:start w:val="single" w:space="0" w:color="D3D3D3"/>
                    <w:end w:val="single" w:space="0" w:color="D3D3D3"/>
                  </w:tcBorders>
                  <w:shd w:val="clear" w:color="auto" w:fill="FEE08B"/>
                </w:tcPr>
                <w:p>
                  <w:pPr>
                    <w:spacing w:before="0" w:after="60"/>
                    <w:keepNext/>
                    <w:jc w:val="end"/>
                  </w:pPr>
                  <w:r>
                    <w:rPr>
                      <w:rFonts w:ascii="Calibri" w:hAnsi="Calibri"/>
                      <w:sz w:val="20"/>
                      <w:color w:val="00000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C3 only (40 %)</w:t>
                  </w:r>
                </w:p>
              </w:tc>
              <w:tc>
                <w:tcPr>
                  <w:tcBorders>
                    <w:top w:val="single" w:space="0" w:color="D3D3D3"/>
                    <w:bottom w:val="single" w:space="0" w:color="D3D3D3"/>
                    <w:start w:val="single" w:space="0" w:color="D3D3D3"/>
                    <w:end w:val="single" w:space="0" w:color="D3D3D3"/>
                  </w:tcBorders>
                  <w:shd w:val="clear" w:color="auto" w:fill="ADDA6C"/>
                </w:tcPr>
                <w:p>
                  <w:pPr>
                    <w:spacing w:before="0" w:after="60"/>
                    <w:keepNext/>
                    <w:jc w:val="end"/>
                  </w:pPr>
                  <w:r>
                    <w:rPr>
                      <w:rFonts w:ascii="Calibri" w:hAnsi="Calibri"/>
                      <w:sz w:val="20"/>
                      <w:color w:val="000000"/>
                    </w:rPr>
                    <w:t xml:space="default">691</w:t>
                  </w:r>
                </w:p>
              </w:tc>
              <w:tc>
                <w:tcPr>
                  <w:tcBorders>
                    <w:top w:val="single" w:space="0" w:color="D3D3D3"/>
                    <w:bottom w:val="single" w:space="0" w:color="D3D3D3"/>
                    <w:start w:val="single" w:space="0" w:color="D3D3D3"/>
                    <w:end w:val="single" w:space="0" w:color="D3D3D3"/>
                  </w:tcBorders>
                  <w:shd w:val="clear" w:color="auto" w:fill="ADDA6C"/>
                </w:tcPr>
                <w:p>
                  <w:pPr>
                    <w:spacing w:before="0" w:after="60"/>
                    <w:keepNext/>
                    <w:jc w:val="end"/>
                  </w:pPr>
                  <w:r>
                    <w:rPr>
                      <w:rFonts w:ascii="Calibri" w:hAnsi="Calibri"/>
                      <w:sz w:val="20"/>
                      <w:color w:val="000000"/>
                    </w:rPr>
                    <w:t xml:space="default">1,383</w:t>
                  </w:r>
                </w:p>
              </w:tc>
              <w:tc>
                <w:tcPr>
                  <w:tcBorders>
                    <w:top w:val="single" w:space="0" w:color="D3D3D3"/>
                    <w:bottom w:val="single" w:space="0" w:color="D3D3D3"/>
                    <w:start w:val="single" w:space="0" w:color="D3D3D3"/>
                    <w:end w:val="single" w:space="0" w:color="D3D3D3"/>
                  </w:tcBorders>
                  <w:shd w:val="clear" w:color="auto" w:fill="ADDA6C"/>
                </w:tcPr>
                <w:p>
                  <w:pPr>
                    <w:spacing w:before="0" w:after="60"/>
                    <w:keepNext/>
                    <w:jc w:val="end"/>
                  </w:pPr>
                  <w:r>
                    <w:rPr>
                      <w:rFonts w:ascii="Calibri" w:hAnsi="Calibri"/>
                      <w:sz w:val="20"/>
                      <w:color w:val="000000"/>
                    </w:rPr>
                    <w:t xml:space="default">2,305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Mid-implementation (55 %)</w:t>
                  </w:r>
                </w:p>
              </w:tc>
              <w:tc>
                <w:tcPr>
                  <w:tcBorders>
                    <w:top w:val="single" w:space="0" w:color="D3D3D3"/>
                    <w:bottom w:val="single" w:space="0" w:color="D3D3D3"/>
                    <w:start w:val="single" w:space="0" w:color="D3D3D3"/>
                    <w:end w:val="single" w:space="0" w:color="D3D3D3"/>
                  </w:tcBorders>
                  <w:shd w:val="clear" w:color="auto" w:fill="85C663"/>
                </w:tcPr>
                <w:p>
                  <w:pPr>
                    <w:spacing w:before="0" w:after="60"/>
                    <w:keepNext/>
                    <w:jc w:val="end"/>
                  </w:pPr>
                  <w:r>
                    <w:rPr>
                      <w:rFonts w:ascii="Calibri" w:hAnsi="Calibri"/>
                      <w:sz w:val="20"/>
                      <w:color w:val="000000"/>
                    </w:rPr>
                    <w:t xml:space="default">958</w:t>
                  </w:r>
                </w:p>
              </w:tc>
              <w:tc>
                <w:tcPr>
                  <w:tcBorders>
                    <w:top w:val="single" w:space="0" w:color="D3D3D3"/>
                    <w:bottom w:val="single" w:space="0" w:color="D3D3D3"/>
                    <w:start w:val="single" w:space="0" w:color="D3D3D3"/>
                    <w:end w:val="single" w:space="0" w:color="D3D3D3"/>
                  </w:tcBorders>
                  <w:shd w:val="clear" w:color="auto" w:fill="85C663"/>
                </w:tcPr>
                <w:p>
                  <w:pPr>
                    <w:spacing w:before="0" w:after="60"/>
                    <w:keepNext/>
                    <w:jc w:val="end"/>
                  </w:pPr>
                  <w:r>
                    <w:rPr>
                      <w:rFonts w:ascii="Calibri" w:hAnsi="Calibri"/>
                      <w:sz w:val="20"/>
                      <w:color w:val="000000"/>
                    </w:rPr>
                    <w:t xml:space="default">1,916</w:t>
                  </w:r>
                </w:p>
              </w:tc>
              <w:tc>
                <w:tcPr>
                  <w:tcBorders>
                    <w:top w:val="single" w:space="0" w:color="D3D3D3"/>
                    <w:bottom w:val="single" w:space="0" w:color="D3D3D3"/>
                    <w:start w:val="single" w:space="0" w:color="D3D3D3"/>
                    <w:end w:val="single" w:space="0" w:color="D3D3D3"/>
                  </w:tcBorders>
                  <w:shd w:val="clear" w:color="auto" w:fill="85C663"/>
                </w:tcPr>
                <w:p>
                  <w:pPr>
                    <w:spacing w:before="0" w:after="60"/>
                    <w:keepNext/>
                    <w:jc w:val="end"/>
                  </w:pPr>
                  <w:r>
                    <w:rPr>
                      <w:rFonts w:ascii="Calibri" w:hAnsi="Calibri"/>
                      <w:sz w:val="20"/>
                      <w:color w:val="000000"/>
                    </w:rPr>
                    <w:t xml:space="default">3,194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Full Package (70 %)</w:t>
                  </w:r>
                </w:p>
              </w:tc>
              <w:tc>
                <w:tcPr>
                  <w:tcBorders>
                    <w:top w:val="single" w:space="0" w:color="D3D3D3"/>
                    <w:bottom w:val="single" w:space="0" w:color="D3D3D3"/>
                    <w:start w:val="single" w:space="0" w:color="D3D3D3"/>
                    <w:end w:val="single" w:space="0" w:color="D3D3D3"/>
                  </w:tcBorders>
                  <w:shd w:val="clear" w:color="auto" w:fill="58AF59"/>
                </w:tcPr>
                <w:p>
                  <w:pPr>
                    <w:spacing w:before="0" w:after="60"/>
                    <w:keepNext/>
                    <w:jc w:val="end"/>
                  </w:pPr>
                  <w:r>
                    <w:rPr>
                      <w:rFonts w:ascii="Calibri" w:hAnsi="Calibri"/>
                      <w:sz w:val="20"/>
                      <w:color w:val="FFFFFF"/>
                    </w:rPr>
                    <w:t xml:space="default">1,225</w:t>
                  </w:r>
                </w:p>
              </w:tc>
              <w:tc>
                <w:tcPr>
                  <w:tcBorders>
                    <w:top w:val="single" w:space="0" w:color="D3D3D3"/>
                    <w:bottom w:val="single" w:space="0" w:color="D3D3D3"/>
                    <w:start w:val="single" w:space="0" w:color="D3D3D3"/>
                    <w:end w:val="single" w:space="0" w:color="D3D3D3"/>
                  </w:tcBorders>
                  <w:shd w:val="clear" w:color="auto" w:fill="58AF59"/>
                </w:tcPr>
                <w:p>
                  <w:pPr>
                    <w:spacing w:before="0" w:after="60"/>
                    <w:keepNext/>
                    <w:jc w:val="end"/>
                  </w:pPr>
                  <w:r>
                    <w:rPr>
                      <w:rFonts w:ascii="Calibri" w:hAnsi="Calibri"/>
                      <w:sz w:val="20"/>
                      <w:color w:val="FFFFFF"/>
                    </w:rPr>
                    <w:t xml:space="default">2,449</w:t>
                  </w:r>
                </w:p>
              </w:tc>
              <w:tc>
                <w:tcPr>
                  <w:tcBorders>
                    <w:top w:val="single" w:space="0" w:color="D3D3D3"/>
                    <w:bottom w:val="single" w:space="0" w:color="D3D3D3"/>
                    <w:start w:val="single" w:space="0" w:color="D3D3D3"/>
                    <w:end w:val="single" w:space="0" w:color="D3D3D3"/>
                  </w:tcBorders>
                  <w:shd w:val="clear" w:color="auto" w:fill="58AF59"/>
                </w:tcPr>
                <w:p>
                  <w:pPr>
                    <w:spacing w:before="0" w:after="60"/>
                    <w:keepNext/>
                    <w:jc w:val="end"/>
                  </w:pPr>
                  <w:r>
                    <w:rPr>
                      <w:rFonts w:ascii="Calibri" w:hAnsi="Calibri"/>
                      <w:sz w:val="20"/>
                      <w:color w:val="FFFFFF"/>
                    </w:rPr>
                    <w:t xml:space="default">4,082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Best-in-class (85 %)</w:t>
                  </w:r>
                </w:p>
              </w:tc>
              <w:tc>
                <w:tcPr>
                  <w:tcBorders>
                    <w:top w:val="single" w:space="0" w:color="D3D3D3"/>
                    <w:bottom w:val="single" w:space="0" w:color="D3D3D3"/>
                    <w:start w:val="single" w:space="0" w:color="D3D3D3"/>
                    <w:end w:val="single" w:space="0" w:color="D3D3D3"/>
                  </w:tcBorders>
                  <w:shd w:val="clear" w:color="auto" w:fill="1A9850"/>
                </w:tcPr>
                <w:p>
                  <w:pPr>
                    <w:spacing w:before="0" w:after="60"/>
                    <w:keepNext/>
                    <w:jc w:val="end"/>
                  </w:pPr>
                  <w:r>
                    <w:rPr>
                      <w:rFonts w:ascii="Calibri" w:hAnsi="Calibri"/>
                      <w:sz w:val="20"/>
                      <w:color w:val="FFFFFF"/>
                    </w:rPr>
                    <w:t xml:space="default">1,491</w:t>
                  </w:r>
                </w:p>
              </w:tc>
              <w:tc>
                <w:tcPr>
                  <w:tcBorders>
                    <w:top w:val="single" w:space="0" w:color="D3D3D3"/>
                    <w:bottom w:val="single" w:space="0" w:color="D3D3D3"/>
                    <w:start w:val="single" w:space="0" w:color="D3D3D3"/>
                    <w:end w:val="single" w:space="0" w:color="D3D3D3"/>
                  </w:tcBorders>
                  <w:shd w:val="clear" w:color="auto" w:fill="1A9850"/>
                </w:tcPr>
                <w:p>
                  <w:pPr>
                    <w:spacing w:before="0" w:after="60"/>
                    <w:keepNext/>
                    <w:jc w:val="end"/>
                  </w:pPr>
                  <w:r>
                    <w:rPr>
                      <w:rFonts w:ascii="Calibri" w:hAnsi="Calibri"/>
                      <w:sz w:val="20"/>
                      <w:color w:val="FFFFFF"/>
                    </w:rPr>
                    <w:t xml:space="default">2,983</w:t>
                  </w:r>
                </w:p>
              </w:tc>
              <w:tc>
                <w:tcPr>
                  <w:tcBorders>
                    <w:top w:val="single" w:space="0" w:color="D3D3D3"/>
                    <w:bottom w:val="single" w:space="0" w:color="D3D3D3"/>
                    <w:start w:val="single" w:space="0" w:color="D3D3D3"/>
                    <w:end w:val="single" w:space="0" w:color="D3D3D3"/>
                  </w:tcBorders>
                  <w:shd w:val="clear" w:color="auto" w:fill="1A9850"/>
                </w:tcPr>
                <w:p>
                  <w:pPr>
                    <w:spacing w:before="0" w:after="60"/>
                    <w:keepNext/>
                    <w:jc w:val="end"/>
                  </w:pPr>
                  <w:r>
                    <w:rPr>
                      <w:rFonts w:ascii="Calibri" w:hAnsi="Calibri"/>
                      <w:sz w:val="20"/>
                      <w:color w:val="FFFFFF"/>
                    </w:rPr>
                    <w:t xml:space="default">4,971</w:t>
                  </w:r>
                </w:p>
              </w:tc>
            </w:tr>
          </w:tbl>
          <w:bookmarkEnd w:id="62"/>
        </w:tc>
      </w:tr>
    </w:tbl>
    <w:p>
      <w:pPr>
        <w:pStyle w:val="BodyText"/>
      </w:pPr>
      <w:r>
        <w:rPr>
          <w:b/>
          <w:bCs/>
        </w:rPr>
        <w:t xml:space="preserve">Reading.</w:t>
      </w:r>
      <w:r>
        <w:t xml:space="preserve"> </w:t>
      </w:r>
      <w:r>
        <w:t xml:space="preserve">Even at the</w:t>
      </w:r>
      <w:r>
        <w:t xml:space="preserve"> </w:t>
      </w:r>
      <w:r>
        <w:rPr>
          <w:i/>
          <w:iCs/>
        </w:rPr>
        <w:t xml:space="preserve">low</w:t>
      </w:r>
      <w:r>
        <w:t xml:space="preserve"> </w:t>
      </w:r>
      <w:r>
        <w:t xml:space="preserve">response-efficacy edge (η = 15 %), the Full Package prevents</w:t>
      </w:r>
      <w:r>
        <w:t xml:space="preserve"> </w:t>
      </w:r>
      <w:r>
        <w:rPr>
          <w:b/>
          <w:bCs/>
        </w:rPr>
        <w:t xml:space="preserve">~1225 future poisonings/yr</w:t>
      </w:r>
      <w:r>
        <w:t xml:space="preserve">; at the well-resourced edge (η = 50 %) it prevents</w:t>
      </w:r>
      <w:r>
        <w:t xml:space="preserve"> </w:t>
      </w:r>
      <w:r>
        <w:rPr>
          <w:b/>
          <w:bCs/>
        </w:rPr>
        <w:t xml:space="preserve">~4082/yr</w:t>
      </w:r>
      <w:r>
        <w:t xml:space="preserve">. The policy claim is therefore robust across the full CSV-anchored parameter range: every realistic combination of</w:t>
      </w:r>
      <w:r>
        <w:t xml:space="preserve"> </w:t>
      </w:r>
      <m:oMath>
        <m:r>
          <m:rPr>
            <m:sty m:val="p"/>
          </m:rPr>
          <m:t>(</m:t>
        </m:r>
        <m:sSub>
          <m:e>
            <m:r>
              <m:t>P</m:t>
            </m:r>
          </m:e>
          <m:sub>
            <m:r>
              <m:rPr>
                <m:nor/>
                <m:sty m:val="p"/>
              </m:rPr>
              <m:t>loop</m:t>
            </m:r>
          </m:sub>
        </m:sSub>
        <m:r>
          <m:rPr>
            <m:sty m:val="p"/>
          </m:rPr>
          <m:t>,</m:t>
        </m:r>
        <m:r>
          <m:t>η</m:t>
        </m:r>
        <m:r>
          <m:rPr>
            <m:sty m:val="p"/>
          </m:rPr>
          <m:t>)</m:t>
        </m:r>
      </m:oMath>
      <w:r>
        <w:t xml:space="preserve"> </w:t>
      </w:r>
      <w:r>
        <w:t xml:space="preserve">produces a four-figure annual reduction in future cases. The integrated model uses these two scalars (</w:t>
      </w:r>
      <w:r>
        <w:rPr>
          <w:rStyle w:val="VerbatimChar"/>
        </w:rPr>
        <w:t xml:space="preserve">p_loop_closed_FP</w:t>
      </w:r>
      <w:r>
        <w:t xml:space="preserve">,</w:t>
      </w:r>
      <w:r>
        <w:t xml:space="preserve"> </w:t>
      </w:r>
      <w:r>
        <w:rPr>
          <w:rStyle w:val="VerbatimChar"/>
        </w:rPr>
        <w:t xml:space="preserve">eta_response_mid</w:t>
      </w:r>
      <w:r>
        <w:t xml:space="preserve">) as toggleable inputs alongside the surveillance and source-control levers.</w:t>
      </w:r>
    </w:p>
    <w:bookmarkEnd w:id="63"/>
    <w:bookmarkStart w:id="65" w:name="X3444c41a76824c4a1651e9498982dea5b0da189"/>
    <w:p>
      <w:pPr>
        <w:pStyle w:val="Heading3"/>
      </w:pPr>
      <w:r>
        <w:t xml:space="preserve">6g. Per-action workload — what each loop-step actually costs</w:t>
      </w:r>
    </w:p>
    <w:p>
      <w:pPr>
        <w:pStyle w:val="FirstParagraph"/>
      </w:pPr>
      <w:r>
        <w:t xml:space="preserve">Closing a loop is not free at the operational tier. Each</w:t>
      </w:r>
      <w:r>
        <w:t xml:space="preserve"> </w:t>
      </w:r>
      <w:r>
        <w:rPr>
          <w:i/>
          <w:iCs/>
        </w:rPr>
        <w:t xml:space="preserve">gross</w:t>
      </w:r>
      <w:r>
        <w:t xml:space="preserve"> </w:t>
      </w:r>
      <w:r>
        <w:t xml:space="preserve">alert that enters the system (true case + false positive) costs an</w:t>
      </w:r>
      <w:r>
        <w:t xml:space="preserve"> </w:t>
      </w:r>
      <w:r>
        <w:rPr>
          <w:b/>
          <w:bCs/>
        </w:rPr>
        <w:t xml:space="preserve">EHP environmental investigation</w:t>
      </w:r>
      <w:r>
        <w:t xml:space="preserve"> </w:t>
      </w:r>
      <w:r>
        <w:t xml:space="preserve">(CSV:</w:t>
      </w:r>
      <w:r>
        <w:t xml:space="preserve"> </w:t>
      </w:r>
      <w:r>
        <w:rPr>
          <w:rStyle w:val="VerbatimChar"/>
        </w:rPr>
        <w:t xml:space="preserve">c_per_ehp_investigation_mid</w:t>
      </w:r>
      <w:r>
        <w:t xml:space="preserve"> </w:t>
      </w:r>
      <w:r>
        <w:t xml:space="preserve">≈ R4,000); a fraction</w:t>
      </w:r>
      <w:r>
        <w:t xml:space="preserve"> </w:t>
      </w:r>
      <m:oMath>
        <m:sSub>
          <m:e>
            <m:r>
              <m:t>p</m:t>
            </m:r>
          </m:e>
          <m:sub>
            <m:r>
              <m:rPr>
                <m:nor/>
                <m:sty m:val="p"/>
              </m:rPr>
              <m:t>DALRRD</m:t>
            </m:r>
          </m:sub>
        </m:sSub>
      </m:oMath>
      <w:r>
        <w:t xml:space="preserve"> </w:t>
      </w:r>
      <w:r>
        <w:t xml:space="preserve">≈ 0.3 of those trigger a</w:t>
      </w:r>
      <w:r>
        <w:t xml:space="preserve"> </w:t>
      </w:r>
      <w:r>
        <w:rPr>
          <w:b/>
          <w:bCs/>
        </w:rPr>
        <w:t xml:space="preserve">DALRRD inspectorate site visit</w:t>
      </w:r>
      <w:r>
        <w:t xml:space="preserve"> </w:t>
      </w:r>
      <w:r>
        <w:t xml:space="preserve">(CSV:</w:t>
      </w:r>
      <w:r>
        <w:t xml:space="preserve"> </w:t>
      </w:r>
      <w:r>
        <w:rPr>
          <w:rStyle w:val="VerbatimChar"/>
        </w:rPr>
        <w:t xml:space="preserve">c_per_dalrrd_inspection_mid</w:t>
      </w:r>
      <w:r>
        <w:t xml:space="preserve"> </w:t>
      </w:r>
      <w:r>
        <w:t xml:space="preserve">≈ R12,000). Both unit costs have lo/hi ranges in the CSV.</w:t>
      </w:r>
    </w:p>
    <w:tbl>
      <w:tblPr>
        <w:tblStyle w:val="Table"/>
        <w:tblW w:type="pct" w:w="5000"/>
        <w:tblLayout w:type="fixed"/>
        <w:tblLook w:firstRow="0" w:lastRow="0" w:firstColumn="0" w:lastColumn="0" w:noHBand="0" w:noVBand="0" w:val="0000"/>
      </w:tblPr>
      <w:tblGrid>
        <w:gridCol w:w="7920"/>
      </w:tblGrid>
      <w:tr>
        <w:tc>
          <w:tcPr/>
          <w:bookmarkStart w:id="64" w:name="tbl-per-action-cost"/>
          <w:p>
            <w:pPr>
              <w:jc w:val="center"/>
            </w:pPr>
            <w:pPr>
              <w:jc w:val="left"/>
              <w:spacing w:before="200"/>
              <w:pStyle w:val="ImageCaption"/>
            </w:pPr>
            <w:r>
              <w:t xml:space="preserve">Table 4: Per-action workload cost components (CSV-anchored). Each fully-closed loop consumes one EHP investigation; a fraction p_DALRRD trigger an inspectorate visit. These are the unit inputs overall_policy_model.qmd uses to translate alert volume into induced regulator workload.</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Low</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Mid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High</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CSV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EHP environmental investigation (per gross alert)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R2,500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R4,000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R7,000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c_per_ehp_investigation_*</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DALRRD inspectorate site visit (per referred case)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R6,000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R12,000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R25,000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c_per_dalrrd_inspection_*</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P(DALRRD action | confirmed referral)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p_dalrrd_action_given_referral</w:t>
                  </w:r>
                </w:p>
              </w:tc>
            </w:tr>
          </w:tbl>
          <w:bookmarkEnd w:id="64"/>
        </w:tc>
      </w:tr>
    </w:tbl>
    <w:bookmarkEnd w:id="65"/>
    <w:bookmarkStart w:id="67" w:name="Xa6e4706d07fcda1bb51be72dc27dee306fbc82c"/>
    <w:p>
      <w:pPr>
        <w:pStyle w:val="Heading3"/>
      </w:pPr>
      <w:r>
        <w:t xml:space="preserve">6h. False positives bite: induced workload under community surveillance</w:t>
      </w:r>
    </w:p>
    <w:p>
      <w:pPr>
        <w:pStyle w:val="FirstParagraph"/>
      </w:pPr>
      <w:r>
        <w:t xml:space="preserve">Administrative-tier feeds (NMC, NHLS BChE auto-notify, PIH) produce alerts that are essentially all true cases — false-positive rate ≈ 0. Community-tier surveillance (S1b in the</w:t>
      </w:r>
      <w:r>
        <w:t xml:space="preserve"> </w:t>
      </w:r>
      <w:hyperlink r:id="rId9">
        <w:r>
          <w:rPr>
            <w:rStyle w:val="Hyperlink"/>
          </w:rPr>
          <w:t xml:space="preserve">Surveillance brief</w:t>
        </w:r>
      </w:hyperlink>
      <w:r>
        <w:t xml:space="preserve">) produces alerts at a CSV-benchmarked</w:t>
      </w:r>
      <w:r>
        <w:t xml:space="preserve"> </w:t>
      </w:r>
      <w:r>
        <w:rPr>
          <w:b/>
          <w:bCs/>
        </w:rPr>
        <w:t xml:space="preserve">false-positive rate of 20–50 %</w:t>
      </w:r>
      <w:r>
        <w:t xml:space="preserve">. Every alert — true or false — still consumes an EHP investigation before it can be discarded. Per</w:t>
      </w:r>
      <w:r>
        <w:t xml:space="preserve"> </w:t>
      </w:r>
      <w:r>
        <w:rPr>
          <w:i/>
          <w:iCs/>
        </w:rPr>
        <w:t xml:space="preserve">true</w:t>
      </w:r>
      <w:r>
        <w:t xml:space="preserve"> </w:t>
      </w:r>
      <w:r>
        <w:t xml:space="preserve">case detected:</w:t>
      </w:r>
    </w:p>
    <w:p>
      <w:pPr>
        <w:pStyle w:val="BodyText"/>
      </w:pPr>
      <m:oMathPara>
        <m:oMathParaPr>
          <m:jc m:val="center"/>
        </m:oMathParaPr>
        <m:oMath>
          <m:r>
            <m:rPr>
              <m:nor/>
              <m:sty m:val="p"/>
            </m:rPr>
            <m:t>gross alerts</m:t>
          </m:r>
          <m:r>
            <m:rPr>
              <m:sty m:val="p"/>
            </m:rPr>
            <m:t>=</m:t>
          </m:r>
          <m:f>
            <m:fPr>
              <m:type m:val="bar"/>
            </m:fPr>
            <m:num>
              <m:r>
                <m:t>1</m:t>
              </m:r>
            </m:num>
            <m:den>
              <m:r>
                <m:t>1</m:t>
              </m:r>
              <m:r>
                <m:rPr>
                  <m:sty m:val="p"/>
                </m:rPr>
                <m:t>−</m:t>
              </m:r>
              <m:sSub>
                <m:e>
                  <m:r>
                    <m:t>p</m:t>
                  </m:r>
                </m:e>
                <m:sub>
                  <m:r>
                    <m:rPr>
                      <m:nor/>
                      <m:sty m:val="p"/>
                    </m:rPr>
                    <m:t>fp</m:t>
                  </m:r>
                </m:sub>
              </m:sSub>
            </m:den>
          </m:f>
          <m:r>
            <m:t>  </m:t>
          </m:r>
          <m:r>
            <m:rPr>
              <m:nor/>
              <m:sty m:val="p"/>
            </m:rPr>
            <m:t>cost per true case</m:t>
          </m:r>
          <m:r>
            <m:rPr>
              <m:sty m:val="p"/>
            </m:rPr>
            <m:t>=</m:t>
          </m:r>
          <m:f>
            <m:fPr>
              <m:type m:val="bar"/>
            </m:fPr>
            <m:num>
              <m:sSub>
                <m:e>
                  <m:r>
                    <m:t>c</m:t>
                  </m:r>
                </m:e>
                <m:sub>
                  <m:r>
                    <m:rPr>
                      <m:nor/>
                      <m:sty m:val="p"/>
                    </m:rPr>
                    <m:t>EHP</m:t>
                  </m:r>
                </m:sub>
              </m:sSub>
              <m:r>
                <m:rPr>
                  <m:sty m:val="p"/>
                </m:rPr>
                <m:t>+</m:t>
              </m:r>
              <m:sSub>
                <m:e>
                  <m:r>
                    <m:t>p</m:t>
                  </m:r>
                </m:e>
                <m:sub>
                  <m:r>
                    <m:rPr>
                      <m:nor/>
                      <m:sty m:val="p"/>
                    </m:rPr>
                    <m:t>DALRRD</m:t>
                  </m:r>
                </m:sub>
              </m:sSub>
              <m:r>
                <m:rPr>
                  <m:sty m:val="p"/>
                </m:rPr>
                <m:t>⋅</m:t>
              </m:r>
              <m:sSub>
                <m:e>
                  <m:r>
                    <m:t>c</m:t>
                  </m:r>
                </m:e>
                <m:sub>
                  <m:r>
                    <m:rPr>
                      <m:nor/>
                      <m:sty m:val="p"/>
                    </m:rPr>
                    <m:t>DALRRD</m:t>
                  </m:r>
                </m:sub>
              </m:sSub>
            </m:num>
            <m:den>
              <m:r>
                <m:t>1</m:t>
              </m:r>
              <m:r>
                <m:rPr>
                  <m:sty m:val="p"/>
                </m:rPr>
                <m:t>−</m:t>
              </m:r>
              <m:sSub>
                <m:e>
                  <m:r>
                    <m:t>p</m:t>
                  </m:r>
                </m:e>
                <m:sub>
                  <m:r>
                    <m:rPr>
                      <m:nor/>
                      <m:sty m:val="p"/>
                    </m:rPr>
                    <m:t>fp</m:t>
                  </m:r>
                </m:sub>
              </m:sSub>
            </m:den>
          </m:f>
        </m:oMath>
      </m:oMathPara>
    </w:p>
    <w:tbl>
      <w:tblPr>
        <w:tblStyle w:val="Table"/>
        <w:tblW w:type="pct" w:w="5000"/>
        <w:tblLayout w:type="fixed"/>
        <w:tblLook w:firstRow="0" w:lastRow="0" w:firstColumn="0" w:lastColumn="0" w:noHBand="0" w:noVBand="0" w:val="0000"/>
      </w:tblPr>
      <w:tblGrid>
        <w:gridCol w:w="7920"/>
      </w:tblGrid>
      <w:tr>
        <w:tc>
          <w:tcPr/>
          <w:bookmarkStart w:id="66" w:name="tbl-fp-induced-workload"/>
          <w:p>
            <w:pPr>
              <w:jc w:val="center"/>
            </w:pPr>
            <w:pPr>
              <w:jc w:val="left"/>
              <w:spacing w:before="200"/>
              <w:pStyle w:val="ImageCaption"/>
            </w:pPr>
            <w:r>
              <w:t xml:space="preserve">Table 5: Induced EHP + DALRRD workload cost per</w:t>
            </w:r>
            <w:r>
              <w:t xml:space="preserve"> </w:t>
            </w:r>
            <w:r>
              <w:rPr>
                <w:i/>
                <w:iCs/>
              </w:rPr>
              <w:t xml:space="preserve">true</w:t>
            </w:r>
            <w:r>
              <w:t xml:space="preserve"> </w:t>
            </w:r>
            <w:r>
              <w:t xml:space="preserve">case detected, as community-surveillance false-positive rate is varied (rows) against EHP unit cost (columns). Holds p_DALRRD = 0.30 and c_DALRRD at working value. All inputs from amua_import_parameters_v4.csv.</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FP \ EHP unit cost</w:t>
                  </w:r>
                </w:p>
              </w:tc>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EHP lo (R2,500)</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EHP mid (R4,000)</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EHP hi (R7,000)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Administrative only (0 %)</w:t>
                  </w:r>
                </w:p>
              </w:tc>
              <w:tc>
                <w:tcPr>
                  <w:tcBorders>
                    <w:top w:val="single" w:space="0" w:color="D3D3D3"/>
                    <w:bottom w:val="single" w:space="0" w:color="D3D3D3"/>
                    <w:start w:val="single" w:space="0" w:color="D3D3D3"/>
                    <w:end w:val="single" w:space="0" w:color="D3D3D3"/>
                  </w:tcBorders>
                  <w:shd w:val="clear" w:color="auto" w:fill="1A9850"/>
                </w:tcPr>
                <w:p>
                  <w:pPr>
                    <w:spacing w:before="0" w:after="60"/>
                    <w:keepNext/>
                    <w:jc w:val="end"/>
                  </w:pPr>
                  <w:r>
                    <w:rPr>
                      <w:rFonts w:ascii="Calibri" w:hAnsi="Calibri"/>
                      <w:sz w:val="20"/>
                      <w:color w:val="FFFFFF"/>
                    </w:rPr>
                    <w:t xml:space="default">R6,100</w:t>
                  </w:r>
                </w:p>
              </w:tc>
              <w:tc>
                <w:tcPr>
                  <w:tcBorders>
                    <w:top w:val="single" w:space="0" w:color="D3D3D3"/>
                    <w:bottom w:val="single" w:space="0" w:color="D3D3D3"/>
                    <w:start w:val="single" w:space="0" w:color="D3D3D3"/>
                    <w:end w:val="single" w:space="0" w:color="D3D3D3"/>
                  </w:tcBorders>
                  <w:shd w:val="clear" w:color="auto" w:fill="1A9850"/>
                </w:tcPr>
                <w:p>
                  <w:pPr>
                    <w:spacing w:before="0" w:after="60"/>
                    <w:keepNext/>
                    <w:jc w:val="end"/>
                  </w:pPr>
                  <w:r>
                    <w:rPr>
                      <w:rFonts w:ascii="Calibri" w:hAnsi="Calibri"/>
                      <w:sz w:val="20"/>
                      <w:color w:val="FFFFFF"/>
                    </w:rPr>
                    <w:t xml:space="default">R7,600</w:t>
                  </w:r>
                </w:p>
              </w:tc>
              <w:tc>
                <w:tcPr>
                  <w:tcBorders>
                    <w:top w:val="single" w:space="0" w:color="D3D3D3"/>
                    <w:bottom w:val="single" w:space="0" w:color="D3D3D3"/>
                    <w:start w:val="single" w:space="0" w:color="D3D3D3"/>
                    <w:end w:val="single" w:space="0" w:color="D3D3D3"/>
                  </w:tcBorders>
                  <w:shd w:val="clear" w:color="auto" w:fill="1A9850"/>
                </w:tcPr>
                <w:p>
                  <w:pPr>
                    <w:spacing w:before="0" w:after="60"/>
                    <w:keepNext/>
                    <w:jc w:val="end"/>
                  </w:pPr>
                  <w:r>
                    <w:rPr>
                      <w:rFonts w:ascii="Calibri" w:hAnsi="Calibri"/>
                      <w:sz w:val="20"/>
                      <w:color w:val="FFFFFF"/>
                    </w:rPr>
                    <w:t xml:space="default">R10,600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S1b lo (20 %)</w:t>
                  </w:r>
                </w:p>
              </w:tc>
              <w:tc>
                <w:tcPr>
                  <w:tcBorders>
                    <w:top w:val="single" w:space="0" w:color="D3D3D3"/>
                    <w:bottom w:val="single" w:space="0" w:color="D3D3D3"/>
                    <w:start w:val="single" w:space="0" w:color="D3D3D3"/>
                    <w:end w:val="single" w:space="0" w:color="D3D3D3"/>
                  </w:tcBorders>
                  <w:shd w:val="clear" w:color="auto" w:fill="9CBD6D"/>
                </w:tcPr>
                <w:p>
                  <w:pPr>
                    <w:spacing w:before="0" w:after="60"/>
                    <w:keepNext/>
                    <w:jc w:val="end"/>
                  </w:pPr>
                  <w:r>
                    <w:rPr>
                      <w:rFonts w:ascii="Calibri" w:hAnsi="Calibri"/>
                      <w:sz w:val="20"/>
                      <w:color w:val="000000"/>
                    </w:rPr>
                    <w:t xml:space="default">R7,625</w:t>
                  </w:r>
                </w:p>
              </w:tc>
              <w:tc>
                <w:tcPr>
                  <w:tcBorders>
                    <w:top w:val="single" w:space="0" w:color="D3D3D3"/>
                    <w:bottom w:val="single" w:space="0" w:color="D3D3D3"/>
                    <w:start w:val="single" w:space="0" w:color="D3D3D3"/>
                    <w:end w:val="single" w:space="0" w:color="D3D3D3"/>
                  </w:tcBorders>
                  <w:shd w:val="clear" w:color="auto" w:fill="9CBD6D"/>
                </w:tcPr>
                <w:p>
                  <w:pPr>
                    <w:spacing w:before="0" w:after="60"/>
                    <w:keepNext/>
                    <w:jc w:val="end"/>
                  </w:pPr>
                  <w:r>
                    <w:rPr>
                      <w:rFonts w:ascii="Calibri" w:hAnsi="Calibri"/>
                      <w:sz w:val="20"/>
                      <w:color w:val="000000"/>
                    </w:rPr>
                    <w:t xml:space="default">R9,500</w:t>
                  </w:r>
                </w:p>
              </w:tc>
              <w:tc>
                <w:tcPr>
                  <w:tcBorders>
                    <w:top w:val="single" w:space="0" w:color="D3D3D3"/>
                    <w:bottom w:val="single" w:space="0" w:color="D3D3D3"/>
                    <w:start w:val="single" w:space="0" w:color="D3D3D3"/>
                    <w:end w:val="single" w:space="0" w:color="D3D3D3"/>
                  </w:tcBorders>
                  <w:shd w:val="clear" w:color="auto" w:fill="9CBD6D"/>
                </w:tcPr>
                <w:p>
                  <w:pPr>
                    <w:spacing w:before="0" w:after="60"/>
                    <w:keepNext/>
                    <w:jc w:val="end"/>
                  </w:pPr>
                  <w:r>
                    <w:rPr>
                      <w:rFonts w:ascii="Calibri" w:hAnsi="Calibri"/>
                      <w:sz w:val="20"/>
                      <w:color w:val="000000"/>
                    </w:rPr>
                    <w:t xml:space="default">R13,250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S1b mid (35 %)</w:t>
                  </w:r>
                </w:p>
              </w:tc>
              <w:tc>
                <w:tcPr>
                  <w:tcBorders>
                    <w:top w:val="single" w:space="0" w:color="D3D3D3"/>
                    <w:bottom w:val="single" w:space="0" w:color="D3D3D3"/>
                    <w:start w:val="single" w:space="0" w:color="D3D3D3"/>
                    <w:end w:val="single" w:space="0" w:color="D3D3D3"/>
                  </w:tcBorders>
                  <w:shd w:val="clear" w:color="auto" w:fill="FDD483"/>
                </w:tcPr>
                <w:p>
                  <w:pPr>
                    <w:spacing w:before="0" w:after="60"/>
                    <w:keepNext/>
                    <w:jc w:val="end"/>
                  </w:pPr>
                  <w:r>
                    <w:rPr>
                      <w:rFonts w:ascii="Calibri" w:hAnsi="Calibri"/>
                      <w:sz w:val="20"/>
                      <w:color w:val="000000"/>
                    </w:rPr>
                    <w:t xml:space="default">R9,385</w:t>
                  </w:r>
                </w:p>
              </w:tc>
              <w:tc>
                <w:tcPr>
                  <w:tcBorders>
                    <w:top w:val="single" w:space="0" w:color="D3D3D3"/>
                    <w:bottom w:val="single" w:space="0" w:color="D3D3D3"/>
                    <w:start w:val="single" w:space="0" w:color="D3D3D3"/>
                    <w:end w:val="single" w:space="0" w:color="D3D3D3"/>
                  </w:tcBorders>
                  <w:shd w:val="clear" w:color="auto" w:fill="FDD483"/>
                </w:tcPr>
                <w:p>
                  <w:pPr>
                    <w:spacing w:before="0" w:after="60"/>
                    <w:keepNext/>
                    <w:jc w:val="end"/>
                  </w:pPr>
                  <w:r>
                    <w:rPr>
                      <w:rFonts w:ascii="Calibri" w:hAnsi="Calibri"/>
                      <w:sz w:val="20"/>
                      <w:color w:val="000000"/>
                    </w:rPr>
                    <w:t xml:space="default">R11,692</w:t>
                  </w:r>
                </w:p>
              </w:tc>
              <w:tc>
                <w:tcPr>
                  <w:tcBorders>
                    <w:top w:val="single" w:space="0" w:color="D3D3D3"/>
                    <w:bottom w:val="single" w:space="0" w:color="D3D3D3"/>
                    <w:start w:val="single" w:space="0" w:color="D3D3D3"/>
                    <w:end w:val="single" w:space="0" w:color="D3D3D3"/>
                  </w:tcBorders>
                  <w:shd w:val="clear" w:color="auto" w:fill="FDD483"/>
                </w:tcPr>
                <w:p>
                  <w:pPr>
                    <w:spacing w:before="0" w:after="60"/>
                    <w:keepNext/>
                    <w:jc w:val="end"/>
                  </w:pPr>
                  <w:r>
                    <w:rPr>
                      <w:rFonts w:ascii="Calibri" w:hAnsi="Calibri"/>
                      <w:sz w:val="20"/>
                      <w:color w:val="000000"/>
                    </w:rPr>
                    <w:t xml:space="default">R16,308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S1b hi (50 %)</w:t>
                  </w:r>
                </w:p>
              </w:tc>
              <w:tc>
                <w:tcPr>
                  <w:tcBorders>
                    <w:top w:val="single" w:space="0" w:color="D3D3D3"/>
                    <w:bottom w:val="single" w:space="0" w:color="D3D3D3"/>
                    <w:start w:val="single" w:space="0" w:color="D3D3D3"/>
                    <w:end w:val="single" w:space="0" w:color="D3D3D3"/>
                  </w:tcBorders>
                  <w:shd w:val="clear" w:color="auto" w:fill="D73027"/>
                </w:tcPr>
                <w:p>
                  <w:pPr>
                    <w:spacing w:before="0" w:after="60"/>
                    <w:keepNext/>
                    <w:jc w:val="end"/>
                  </w:pPr>
                  <w:r>
                    <w:rPr>
                      <w:rFonts w:ascii="Calibri" w:hAnsi="Calibri"/>
                      <w:sz w:val="20"/>
                      <w:color w:val="FFFFFF"/>
                    </w:rPr>
                    <w:t xml:space="default">R12,200</w:t>
                  </w:r>
                </w:p>
              </w:tc>
              <w:tc>
                <w:tcPr>
                  <w:tcBorders>
                    <w:top w:val="single" w:space="0" w:color="D3D3D3"/>
                    <w:bottom w:val="single" w:space="0" w:color="D3D3D3"/>
                    <w:start w:val="single" w:space="0" w:color="D3D3D3"/>
                    <w:end w:val="single" w:space="0" w:color="D3D3D3"/>
                  </w:tcBorders>
                  <w:shd w:val="clear" w:color="auto" w:fill="D73027"/>
                </w:tcPr>
                <w:p>
                  <w:pPr>
                    <w:spacing w:before="0" w:after="60"/>
                    <w:keepNext/>
                    <w:jc w:val="end"/>
                  </w:pPr>
                  <w:r>
                    <w:rPr>
                      <w:rFonts w:ascii="Calibri" w:hAnsi="Calibri"/>
                      <w:sz w:val="20"/>
                      <w:color w:val="FFFFFF"/>
                    </w:rPr>
                    <w:t xml:space="default">R15,200</w:t>
                  </w:r>
                </w:p>
              </w:tc>
              <w:tc>
                <w:tcPr>
                  <w:tcBorders>
                    <w:top w:val="single" w:space="0" w:color="D3D3D3"/>
                    <w:bottom w:val="single" w:space="0" w:color="D3D3D3"/>
                    <w:start w:val="single" w:space="0" w:color="D3D3D3"/>
                    <w:end w:val="single" w:space="0" w:color="D3D3D3"/>
                  </w:tcBorders>
                  <w:shd w:val="clear" w:color="auto" w:fill="D73027"/>
                </w:tcPr>
                <w:p>
                  <w:pPr>
                    <w:spacing w:before="0" w:after="60"/>
                    <w:keepNext/>
                    <w:jc w:val="end"/>
                  </w:pPr>
                  <w:r>
                    <w:rPr>
                      <w:rFonts w:ascii="Calibri" w:hAnsi="Calibri"/>
                      <w:sz w:val="20"/>
                      <w:color w:val="FFFFFF"/>
                    </w:rPr>
                    <w:t xml:space="default">R21,200</w:t>
                  </w:r>
                </w:p>
              </w:tc>
            </w:tr>
          </w:tbl>
          <w:bookmarkEnd w:id="66"/>
        </w:tc>
      </w:tr>
    </w:tbl>
    <w:p>
      <w:pPr>
        <w:pStyle w:val="BodyText"/>
      </w:pPr>
      <w:r>
        <w:rPr>
          <w:b/>
          <w:bCs/>
        </w:rPr>
        <w:t xml:space="preserve">What the table says.</w:t>
      </w:r>
      <w:r>
        <w:t xml:space="preserve"> </w:t>
      </w:r>
      <w:r>
        <w:t xml:space="preserve">At the</w:t>
      </w:r>
      <w:r>
        <w:t xml:space="preserve"> </w:t>
      </w:r>
      <w:r>
        <w:rPr>
          <w:b/>
          <w:bCs/>
        </w:rPr>
        <w:t xml:space="preserve">working values</w:t>
      </w:r>
      <w:r>
        <w:t xml:space="preserve"> </w:t>
      </w:r>
      <w:r>
        <w:t xml:space="preserve">(</w:t>
      </w:r>
      <w:r>
        <w:rPr>
          <w:rStyle w:val="VerbatimChar"/>
        </w:rPr>
        <w:t xml:space="preserve">p_fp_S1b_mid</w:t>
      </w:r>
      <w:r>
        <w:t xml:space="preserve"> </w:t>
      </w:r>
      <w:r>
        <w:t xml:space="preserve">= 35 %, EHP mid = R4,000, DALRRD mid = R12,000,</w:t>
      </w:r>
      <w:r>
        <w:t xml:space="preserve"> </w:t>
      </w:r>
      <w:r>
        <w:rPr>
          <w:rStyle w:val="VerbatimChar"/>
        </w:rPr>
        <w:t xml:space="preserve">p_DALRRD</w:t>
      </w:r>
      <w:r>
        <w:t xml:space="preserve"> </w:t>
      </w:r>
      <w:r>
        <w:t xml:space="preserve">= 0.3), induced workload is</w:t>
      </w:r>
      <w:r>
        <w:t xml:space="preserve"> </w:t>
      </w:r>
      <w:r>
        <w:rPr>
          <w:b/>
          <w:bCs/>
        </w:rPr>
        <w:t xml:space="preserve">≈ R11,692 per true case detected</w:t>
      </w:r>
      <w:r>
        <w:t xml:space="preserve"> </w:t>
      </w:r>
      <w:r>
        <w:t xml:space="preserve">— roughly 1.5× the administrative-tier figure. At the high-FP edge (50 %, early roll-out) it is</w:t>
      </w:r>
      <w:r>
        <w:t xml:space="preserve"> </w:t>
      </w:r>
      <w:r>
        <w:rPr>
          <w:b/>
          <w:bCs/>
        </w:rPr>
        <w:t xml:space="preserve">≈ R21,200 per true case</w:t>
      </w:r>
      <w:r>
        <w:t xml:space="preserve">.</w:t>
      </w:r>
    </w:p>
    <w:p>
      <w:pPr>
        <w:pStyle w:val="BodyText"/>
      </w:pPr>
      <w:r>
        <w:rPr>
          <w:b/>
          <w:bCs/>
        </w:rPr>
        <w:t xml:space="preserve">Implication for the integrated model.</w:t>
      </w:r>
      <w:r>
        <w:t xml:space="preserve"> </w:t>
      </w:r>
      <w:r>
        <w:t xml:space="preserve">When the</w:t>
      </w:r>
      <w:r>
        <w:t xml:space="preserve"> </w:t>
      </w:r>
      <w:hyperlink r:id="rId49">
        <w:r>
          <w:rPr>
            <w:rStyle w:val="Hyperlink"/>
          </w:rPr>
          <w:t xml:space="preserve">overall model</w:t>
        </w:r>
      </w:hyperlink>
      <w:r>
        <w:t xml:space="preserve"> </w:t>
      </w:r>
      <w:r>
        <w:t xml:space="preserve">layers community-tier surveillance (S1b) on top of the coordination Full Package, induced EHP + DALRRD workload becomes the</w:t>
      </w:r>
      <w:r>
        <w:t xml:space="preserve"> </w:t>
      </w:r>
      <w:r>
        <w:rPr>
          <w:i/>
          <w:iCs/>
        </w:rPr>
        <w:t xml:space="preserve">fastest-growing</w:t>
      </w:r>
      <w:r>
        <w:t xml:space="preserve"> </w:t>
      </w:r>
      <w:r>
        <w:t xml:space="preserve">line in the regulator budget — faster than C1–C5 shared overhead, faster than NHLS test volume. The brief therefore proposes a</w:t>
      </w:r>
      <w:r>
        <w:t xml:space="preserve"> </w:t>
      </w:r>
      <w:r>
        <w:rPr>
          <w:b/>
          <w:bCs/>
        </w:rPr>
        <w:t xml:space="preserve">two-step roll-out</w:t>
      </w:r>
      <w:r>
        <w:t xml:space="preserve">:</w:t>
      </w:r>
    </w:p>
    <w:p>
      <w:pPr>
        <w:pStyle w:val="Compact"/>
        <w:numPr>
          <w:ilvl w:val="0"/>
          <w:numId w:val="1002"/>
        </w:numPr>
      </w:pPr>
      <w:r>
        <w:rPr>
          <w:b/>
          <w:bCs/>
        </w:rPr>
        <w:t xml:space="preserve">Administrative tier first</w:t>
      </w:r>
      <w:r>
        <w:t xml:space="preserve"> </w:t>
      </w:r>
      <w:r>
        <w:t xml:space="preserve">(NMC closure-of-loop + NHLS auto-notify + PIH MVD): near-zero FP, full coordination workload increment ≈ R145k + R7,600 × Δ alerts.</w:t>
      </w:r>
    </w:p>
    <w:p>
      <w:pPr>
        <w:pStyle w:val="Compact"/>
        <w:numPr>
          <w:ilvl w:val="0"/>
          <w:numId w:val="1002"/>
        </w:numPr>
      </w:pPr>
      <w:r>
        <w:rPr>
          <w:b/>
          <w:bCs/>
        </w:rPr>
        <w:t xml:space="preserve">Community tier (S1b) piloted with explicit measurement of</w:t>
      </w:r>
      <w:r>
        <w:rPr>
          <w:b/>
          <w:bCs/>
        </w:rPr>
        <w:t xml:space="preserve"> </w:t>
      </w:r>
      <w:r>
        <w:rPr>
          <w:rStyle w:val="VerbatimChar"/>
          <w:b/>
          <w:bCs/>
        </w:rPr>
        <w:t xml:space="preserve">p_fp_S1b</w:t>
      </w:r>
      <w:r>
        <w:t xml:space="preserve"> </w:t>
      </w:r>
      <w:r>
        <w:t xml:space="preserve">before national rollout. The pilot must collect (a) confirmed-positive rate, (b) EHP time per investigation, and (c) DALRRD referral rate. These three numbers are the parameters that decide whether community surveillance is affordable at scale.</w:t>
      </w:r>
    </w:p>
    <w:p>
      <w:pPr>
        <w:pStyle w:val="FirstParagraph"/>
      </w:pPr>
      <w:r>
        <w:t xml:space="preserve">This is the explicit operational hand-off between the coordination loop (this brief) and the surveillance ladder (</w:t>
      </w:r>
      <w:hyperlink r:id="rId9">
        <w:r>
          <w:rPr>
            <w:rStyle w:val="Hyperlink"/>
          </w:rPr>
          <w:t xml:space="preserve">Surveillance brief</w:t>
        </w:r>
      </w:hyperlink>
      <w:r>
        <w:t xml:space="preserve">):</w:t>
      </w:r>
      <w:r>
        <w:t xml:space="preserve"> </w:t>
      </w:r>
      <w:r>
        <w:rPr>
          <w:b/>
          <w:bCs/>
        </w:rPr>
        <w:t xml:space="preserve">the loop only works as cheaply as the false-positive rate of its input feed.</w:t>
      </w:r>
    </w:p>
    <w:bookmarkEnd w:id="67"/>
    <w:bookmarkEnd w:id="68"/>
    <w:bookmarkStart w:id="69" w:name="implementation-considerations"/>
    <w:p>
      <w:pPr>
        <w:pStyle w:val="Heading2"/>
      </w:pPr>
      <w:r>
        <w:t xml:space="preserve">7. Implementation considerations</w:t>
      </w:r>
    </w:p>
    <w:tbl>
      <w:tblPr>
        <w:tblStyle w:val="Table"/>
        <w:tblW w:type="pct" w:w="5000"/>
        <w:tblLayout w:type="fixed"/>
        <w:tblLook w:firstRow="1" w:lastRow="0" w:firstColumn="0" w:lastColumn="0" w:noHBand="0" w:noVBand="0" w:val="0020"/>
      </w:tblPr>
      <w:tblGrid>
        <w:gridCol w:w="1675"/>
        <w:gridCol w:w="1980"/>
        <w:gridCol w:w="1980"/>
        <w:gridCol w:w="2284"/>
      </w:tblGrid>
      <w:tr>
        <w:trPr>
          <w:tblHeader w:val="on"/>
        </w:trPr>
        <w:tc>
          <w:tcPr/>
          <w:p>
            <w:pPr>
              <w:pStyle w:val="Compact"/>
              <w:jc w:val="left"/>
            </w:pPr>
            <w:r>
              <w:t xml:space="preserve">Component</w:t>
            </w:r>
          </w:p>
        </w:tc>
        <w:tc>
          <w:tcPr/>
          <w:p>
            <w:pPr>
              <w:pStyle w:val="Compact"/>
              <w:jc w:val="left"/>
            </w:pPr>
            <w:r>
              <w:t xml:space="preserve">Lead agency</w:t>
            </w:r>
          </w:p>
        </w:tc>
        <w:tc>
          <w:tcPr/>
          <w:p>
            <w:pPr>
              <w:pStyle w:val="Compact"/>
              <w:jc w:val="right"/>
            </w:pPr>
            <w:r>
              <w:t xml:space="preserve">Year-1 cost</w:t>
            </w:r>
          </w:p>
        </w:tc>
        <w:tc>
          <w:tcPr/>
          <w:p>
            <w:pPr>
              <w:pStyle w:val="Compact"/>
              <w:jc w:val="left"/>
            </w:pPr>
            <w:r>
              <w:t xml:space="preserve">Critical path</w:t>
            </w:r>
          </w:p>
        </w:tc>
      </w:tr>
      <w:tr>
        <w:tc>
          <w:tcPr/>
          <w:p>
            <w:pPr>
              <w:pStyle w:val="Compact"/>
              <w:jc w:val="left"/>
            </w:pPr>
            <w:r>
              <w:t xml:space="preserve">C1: NMC closure-of-loop field</w:t>
            </w:r>
          </w:p>
        </w:tc>
        <w:tc>
          <w:tcPr/>
          <w:p>
            <w:pPr>
              <w:pStyle w:val="Compact"/>
              <w:jc w:val="left"/>
            </w:pPr>
            <w:r>
              <w:t xml:space="preserve">NICD NMC team + NDoH circular</w:t>
            </w:r>
          </w:p>
        </w:tc>
        <w:tc>
          <w:tcPr/>
          <w:p>
            <w:pPr>
              <w:pStyle w:val="Compact"/>
              <w:jc w:val="right"/>
            </w:pPr>
            <w:r>
              <w:t xml:space="preserve">R30k</w:t>
            </w:r>
          </w:p>
        </w:tc>
        <w:tc>
          <w:tcPr/>
          <w:p>
            <w:pPr>
              <w:pStyle w:val="Compact"/>
              <w:jc w:val="left"/>
            </w:pPr>
            <w:r>
              <w:t xml:space="preserve">NMC schema change; EHP training</w:t>
            </w:r>
          </w:p>
        </w:tc>
      </w:tr>
      <w:tr>
        <w:tc>
          <w:tcPr/>
          <w:p>
            <w:pPr>
              <w:pStyle w:val="Compact"/>
              <w:jc w:val="left"/>
            </w:pPr>
            <w:r>
              <w:t xml:space="preserve">C2: Structured DALRRD referral form on NMC</w:t>
            </w:r>
          </w:p>
        </w:tc>
        <w:tc>
          <w:tcPr/>
          <w:p>
            <w:pPr>
              <w:pStyle w:val="Compact"/>
              <w:jc w:val="left"/>
            </w:pPr>
            <w:r>
              <w:t xml:space="preserve">NICD + DALRRD Pesticide Registrar</w:t>
            </w:r>
          </w:p>
        </w:tc>
        <w:tc>
          <w:tcPr/>
          <w:p>
            <w:pPr>
              <w:pStyle w:val="Compact"/>
              <w:jc w:val="right"/>
            </w:pPr>
            <w:r>
              <w:t xml:space="preserve">R25k</w:t>
            </w:r>
          </w:p>
        </w:tc>
        <w:tc>
          <w:tcPr/>
          <w:p>
            <w:pPr>
              <w:pStyle w:val="Compact"/>
              <w:jc w:val="left"/>
            </w:pPr>
            <w:r>
              <w:t xml:space="preserve">DALRRD inbox + workflow</w:t>
            </w:r>
          </w:p>
        </w:tc>
      </w:tr>
      <w:tr>
        <w:tc>
          <w:tcPr/>
          <w:p>
            <w:pPr>
              <w:pStyle w:val="Compact"/>
              <w:jc w:val="left"/>
            </w:pPr>
            <w:r>
              <w:t xml:space="preserve">C3: NICD→DALRRD intelligence feed</w:t>
            </w:r>
          </w:p>
        </w:tc>
        <w:tc>
          <w:tcPr/>
          <w:p>
            <w:pPr>
              <w:pStyle w:val="Compact"/>
              <w:jc w:val="left"/>
            </w:pPr>
            <w:r>
              <w:t xml:space="preserve">NICD analyst + DALRRD liaison</w:t>
            </w:r>
          </w:p>
        </w:tc>
        <w:tc>
          <w:tcPr/>
          <w:p>
            <w:pPr>
              <w:pStyle w:val="Compact"/>
              <w:jc w:val="right"/>
            </w:pPr>
            <w:r>
              <w:t xml:space="preserve">R40k</w:t>
            </w:r>
          </w:p>
        </w:tc>
        <w:tc>
          <w:tcPr/>
          <w:p>
            <w:pPr>
              <w:pStyle w:val="Compact"/>
              <w:jc w:val="left"/>
            </w:pPr>
            <w:r>
              <w:t xml:space="preserve">Quarterly brief template; case-spike alert SOP</w:t>
            </w:r>
          </w:p>
        </w:tc>
      </w:tr>
      <w:tr>
        <w:tc>
          <w:tcPr/>
          <w:p>
            <w:pPr>
              <w:pStyle w:val="Compact"/>
              <w:jc w:val="left"/>
            </w:pPr>
            <w:r>
              <w:t xml:space="preserve">C4: Notifier auto-feedback</w:t>
            </w:r>
          </w:p>
        </w:tc>
        <w:tc>
          <w:tcPr/>
          <w:p>
            <w:pPr>
              <w:pStyle w:val="Compact"/>
              <w:jc w:val="left"/>
            </w:pPr>
            <w:r>
              <w:t xml:space="preserve">NICD NMC team</w:t>
            </w:r>
          </w:p>
        </w:tc>
        <w:tc>
          <w:tcPr/>
          <w:p>
            <w:pPr>
              <w:pStyle w:val="Compact"/>
              <w:jc w:val="right"/>
            </w:pPr>
            <w:r>
              <w:t xml:space="preserve">R20k</w:t>
            </w:r>
          </w:p>
        </w:tc>
        <w:tc>
          <w:tcPr/>
          <w:p>
            <w:pPr>
              <w:pStyle w:val="Compact"/>
              <w:jc w:val="left"/>
            </w:pPr>
            <w:r>
              <w:t xml:space="preserve">Email templating</w:t>
            </w:r>
          </w:p>
        </w:tc>
      </w:tr>
      <w:tr>
        <w:tc>
          <w:tcPr/>
          <w:p>
            <w:pPr>
              <w:pStyle w:val="Compact"/>
              <w:jc w:val="left"/>
            </w:pPr>
            <w:r>
              <w:t xml:space="preserve">C5: Joint KPI dashboard</w:t>
            </w:r>
          </w:p>
        </w:tc>
        <w:tc>
          <w:tcPr/>
          <w:p>
            <w:pPr>
              <w:pStyle w:val="Compact"/>
              <w:jc w:val="left"/>
            </w:pPr>
            <w:r>
              <w:t xml:space="preserve">NICD + DALRRD + Provinces</w:t>
            </w:r>
          </w:p>
        </w:tc>
        <w:tc>
          <w:tcPr/>
          <w:p>
            <w:pPr>
              <w:pStyle w:val="Compact"/>
              <w:jc w:val="right"/>
            </w:pPr>
            <w:r>
              <w:t xml:space="preserve">R30k</w:t>
            </w:r>
          </w:p>
        </w:tc>
        <w:tc>
          <w:tcPr/>
          <w:p>
            <w:pPr>
              <w:pStyle w:val="Compact"/>
              <w:jc w:val="left"/>
            </w:pPr>
            <w:r>
              <w:t xml:space="preserve">KPI definitions; public hosting</w:t>
            </w:r>
          </w:p>
        </w:tc>
      </w:tr>
      <w:tr>
        <w:tc>
          <w:tcPr/>
          <w:p>
            <w:pPr>
              <w:pStyle w:val="Compact"/>
              <w:jc w:val="left"/>
            </w:pPr>
            <w:r>
              <w:rPr>
                <w:b/>
                <w:bCs/>
              </w:rPr>
              <w:t xml:space="preserve">Total</w:t>
            </w:r>
          </w:p>
        </w:tc>
        <w:tc>
          <w:tcPr/>
          <w:p>
            <w:pPr>
              <w:pStyle w:val="Compact"/>
              <w:jc w:val="left"/>
            </w:pPr>
            <w:r>
              <w:t xml:space="preserve">NDoH-led</w:t>
            </w:r>
          </w:p>
        </w:tc>
        <w:tc>
          <w:tcPr/>
          <w:p>
            <w:pPr>
              <w:pStyle w:val="Compact"/>
              <w:jc w:val="right"/>
            </w:pPr>
            <w:r>
              <w:rPr>
                <w:b/>
                <w:bCs/>
              </w:rPr>
              <w:t xml:space="preserve">~R145k</w:t>
            </w:r>
          </w:p>
        </w:tc>
        <w:tc>
          <w:tcPr/>
          <w:p>
            <w:pPr>
              <w:pStyle w:val="Compact"/>
              <w:jc w:val="left"/>
            </w:pPr>
            <w:r>
              <w:t xml:space="preserve">All within existing legal authority</w:t>
            </w:r>
          </w:p>
        </w:tc>
      </w:tr>
    </w:tbl>
    <w:p>
      <w:pPr>
        <w:pStyle w:val="BodyText"/>
      </w:pPr>
      <w:r>
        <w:rPr>
          <w:b/>
          <w:bCs/>
        </w:rPr>
        <w:t xml:space="preserve">Institutional mechanism.</w:t>
      </w:r>
      <w:r>
        <w:t xml:space="preserve"> </w:t>
      </w:r>
      <w:r>
        <w:t xml:space="preserve">A</w:t>
      </w:r>
      <w:r>
        <w:t xml:space="preserve"> </w:t>
      </w:r>
      <w:r>
        <w:rPr>
          <w:b/>
          <w:bCs/>
        </w:rPr>
        <w:t xml:space="preserve">quarterly Joint Coordination Forum</w:t>
      </w:r>
      <w:r>
        <w:t xml:space="preserve"> </w:t>
      </w:r>
      <w:r>
        <w:t xml:space="preserve">(NICD chair; DALRRD, NHLS, PIH, and one rotating provincial DoH representative) reviews the KPI dashboard, signs off case-spike alert escalations, and resolves cross-departmental blockers. Mandated by joint NDoH–DALRRD Director-General circular.</w:t>
      </w:r>
      <w:r>
        <w:t xml:space="preserve"> </w:t>
      </w:r>
      <w:r>
        <w:rPr>
          <w:b/>
          <w:bCs/>
        </w:rPr>
        <w:t xml:space="preserve">No new legislation required.</w:t>
      </w:r>
    </w:p>
    <w:p>
      <w:pPr>
        <w:pStyle w:val="BodyText"/>
      </w:pPr>
      <w:r>
        <w:rPr>
          <w:b/>
          <w:bCs/>
        </w:rPr>
        <w:t xml:space="preserve">Risks and mitigations.</w:t>
      </w:r>
    </w:p>
    <w:p>
      <w:pPr>
        <w:pStyle w:val="Compact"/>
        <w:numPr>
          <w:ilvl w:val="0"/>
          <w:numId w:val="1003"/>
        </w:numPr>
      </w:pPr>
      <w:r>
        <w:rPr>
          <w:i/>
          <w:iCs/>
        </w:rPr>
        <w:t xml:space="preserve">EHP non-compliance with new NMC field.</w:t>
      </w:r>
      <w:r>
        <w:t xml:space="preserve"> </w:t>
      </w:r>
      <w:r>
        <w:t xml:space="preserve">Mitigation: 14-day completion KPI tied to provincial performance reviews; circular from NDoH DG.</w:t>
      </w:r>
    </w:p>
    <w:p>
      <w:pPr>
        <w:pStyle w:val="Compact"/>
        <w:numPr>
          <w:ilvl w:val="0"/>
          <w:numId w:val="1003"/>
        </w:numPr>
      </w:pPr>
      <w:r>
        <w:rPr>
          <w:i/>
          <w:iCs/>
        </w:rPr>
        <w:t xml:space="preserve">DALRRD capacity to act on referrals.</w:t>
      </w:r>
      <w:r>
        <w:t xml:space="preserve"> </w:t>
      </w:r>
      <w:r>
        <w:t xml:space="preserve">Mitigation: C3 quarterly brief lets DALRRD prioritise by burden rather than respond reactively.</w:t>
      </w:r>
    </w:p>
    <w:p>
      <w:pPr>
        <w:pStyle w:val="Compact"/>
        <w:numPr>
          <w:ilvl w:val="0"/>
          <w:numId w:val="1003"/>
        </w:numPr>
      </w:pPr>
      <w:r>
        <w:rPr>
          <w:i/>
          <w:iCs/>
        </w:rPr>
        <w:t xml:space="preserve">Privacy concerns on clinician auto-feedback.</w:t>
      </w:r>
      <w:r>
        <w:t xml:space="preserve"> </w:t>
      </w:r>
      <w:r>
        <w:t xml:space="preserve">Mitigation: feedback is aggregate at clinician level, not patient-identifying.</w:t>
      </w:r>
    </w:p>
    <w:bookmarkEnd w:id="69"/>
    <w:bookmarkStart w:id="73" w:name="recommended-next-step"/>
    <w:p>
      <w:pPr>
        <w:pStyle w:val="Heading2"/>
      </w:pPr>
      <w:r>
        <w:t xml:space="preserve">8. Recommended next step</w:t>
      </w:r>
    </w:p>
    <w:p>
      <w:pPr>
        <w:pStyle w:val="FirstParagraph"/>
      </w:pPr>
      <w:r>
        <w:rPr>
          <w:b/>
          <w:bCs/>
        </w:rPr>
        <w:t xml:space="preserve">Adopt C1 + C3 as the Coordination MVP, and the Full Package within 12 months.</w:t>
      </w:r>
    </w:p>
    <w:p>
      <w:pPr>
        <w:pStyle w:val="Compact"/>
        <w:numPr>
          <w:ilvl w:val="0"/>
          <w:numId w:val="1004"/>
        </w:numPr>
      </w:pPr>
      <w:r>
        <w:rPr>
          <w:b/>
          <w:bCs/>
        </w:rPr>
        <w:t xml:space="preserve">Weeks 1–4:</w:t>
      </w:r>
      <w:r>
        <w:t xml:space="preserve"> </w:t>
      </w:r>
      <w:r>
        <w:t xml:space="preserve">NDoH–DALRRD joint DG circular committing to the closed-loop model; standing up the Joint Coordination Forum.</w:t>
      </w:r>
    </w:p>
    <w:p>
      <w:pPr>
        <w:pStyle w:val="Compact"/>
        <w:numPr>
          <w:ilvl w:val="0"/>
          <w:numId w:val="1004"/>
        </w:numPr>
      </w:pPr>
      <w:r>
        <w:rPr>
          <w:b/>
          <w:bCs/>
        </w:rPr>
        <w:t xml:space="preserve">Weeks 4–12:</w:t>
      </w:r>
      <w:r>
        <w:t xml:space="preserve"> </w:t>
      </w:r>
      <w:r>
        <w:t xml:space="preserve">C1 NMC schema change + EHP training; C3 NICD→DALRRD quarterly brief begins on the existing NMC data.</w:t>
      </w:r>
    </w:p>
    <w:p>
      <w:pPr>
        <w:pStyle w:val="Compact"/>
        <w:numPr>
          <w:ilvl w:val="0"/>
          <w:numId w:val="1004"/>
        </w:numPr>
      </w:pPr>
      <w:r>
        <w:rPr>
          <w:b/>
          <w:bCs/>
        </w:rPr>
        <w:t xml:space="preserve">Months 3–12:</w:t>
      </w:r>
      <w:r>
        <w:t xml:space="preserve"> </w:t>
      </w:r>
      <w:r>
        <w:t xml:space="preserve">C2 referral form, C4 auto-feedback, C5 KPI dashboard go live.</w:t>
      </w:r>
    </w:p>
    <w:p>
      <w:pPr>
        <w:pStyle w:val="Compact"/>
        <w:numPr>
          <w:ilvl w:val="0"/>
          <w:numId w:val="1004"/>
        </w:numPr>
      </w:pPr>
      <w:r>
        <w:rPr>
          <w:b/>
          <w:bCs/>
        </w:rPr>
        <w:t xml:space="preserve">Month 12:</w:t>
      </w:r>
      <w:r>
        <w:t xml:space="preserve"> </w:t>
      </w:r>
      <w:r>
        <w:t xml:space="preserve">Evaluate against (i) median notification-to-investigation time, (ii) % of notifications with recorded outcome, (iii) DALRRD-reported regulatory actions per quarter.</w:t>
      </w:r>
    </w:p>
    <w:p>
      <w:pPr>
        <w:pStyle w:val="FirstParagraph"/>
      </w:pPr>
      <w:r>
        <w:t xml:space="preserve">The surveillance signal that flows</w:t>
      </w:r>
      <w:r>
        <w:t xml:space="preserve"> </w:t>
      </w:r>
      <w:r>
        <w:rPr>
          <w:i/>
          <w:iCs/>
        </w:rPr>
        <w:t xml:space="preserve">into</w:t>
      </w:r>
      <w:r>
        <w:t xml:space="preserve"> </w:t>
      </w:r>
      <w:r>
        <w:t xml:space="preserve">this loop is covered in the</w:t>
      </w:r>
      <w:r>
        <w:t xml:space="preserve"> </w:t>
      </w:r>
      <w:hyperlink r:id="rId9">
        <w:r>
          <w:rPr>
            <w:rStyle w:val="Hyperlink"/>
          </w:rPr>
          <w:t xml:space="preserve">Surveillance brief</w:t>
        </w:r>
      </w:hyperlink>
      <w:r>
        <w:t xml:space="preserve">. The first product-specific regulatory action the loop should be designed to deliver is the subject of the</w:t>
      </w:r>
      <w:r>
        <w:t xml:space="preserve"> </w:t>
      </w:r>
      <w:hyperlink r:id="rId10">
        <w:r>
          <w:rPr>
            <w:rStyle w:val="Hyperlink"/>
          </w:rPr>
          <w:t xml:space="preserve">Terbufos brief</w:t>
        </w:r>
      </w:hyperlink>
      <w:r>
        <w:t xml:space="preserve">.</w:t>
      </w:r>
    </w:p>
    <w:p>
      <w:r>
        <w:pict>
          <v:rect style="width:0;height:1.5pt" o:hralign="center" o:hrstd="t" o:hr="t"/>
        </w:pict>
      </w:r>
    </w:p>
    <w:p>
      <w:pPr>
        <w:pStyle w:val="FirstParagraph"/>
      </w:pPr>
      <w:r>
        <w:rPr>
          <w:b/>
          <w:bCs/>
        </w:rPr>
        <w:t xml:space="preserve">Companion briefs:</w:t>
      </w:r>
      <w:r>
        <w:t xml:space="preserve"> </w:t>
      </w:r>
      <w:hyperlink r:id="rId9">
        <w:r>
          <w:rPr>
            <w:rStyle w:val="Hyperlink"/>
          </w:rPr>
          <w:t xml:space="preserve">Surveillance</w:t>
        </w:r>
      </w:hyperlink>
      <w:r>
        <w:t xml:space="preserve"> </w:t>
      </w:r>
      <w:r>
        <w:t xml:space="preserve">·</w:t>
      </w:r>
      <w:r>
        <w:t xml:space="preserve"> </w:t>
      </w:r>
      <w:hyperlink r:id="rId10">
        <w:r>
          <w:rPr>
            <w:rStyle w:val="Hyperlink"/>
          </w:rPr>
          <w:t xml:space="preserve">Terbufos restriction</w:t>
        </w:r>
      </w:hyperlink>
      <w:r>
        <w:t xml:space="preserve"> </w:t>
      </w:r>
      <w:r>
        <w:t xml:space="preserve">·</w:t>
      </w:r>
      <w:r>
        <w:t xml:space="preserve"> </w:t>
      </w:r>
      <w:hyperlink r:id="rId70">
        <w:r>
          <w:rPr>
            <w:rStyle w:val="Hyperlink"/>
          </w:rPr>
          <w:t xml:space="preserve">Decision Model</w:t>
        </w:r>
      </w:hyperlink>
      <w:r>
        <w:t xml:space="preserve"> </w:t>
      </w:r>
      <w:r>
        <w:t xml:space="preserve">·</w:t>
      </w:r>
      <w:r>
        <w:t xml:space="preserve"> </w:t>
      </w:r>
      <w:hyperlink r:id="rId71">
        <w:r>
          <w:rPr>
            <w:rStyle w:val="Hyperlink"/>
          </w:rPr>
          <w:t xml:space="preserve">Costing Analysis</w:t>
        </w:r>
      </w:hyperlink>
    </w:p>
    <w:p>
      <w:pPr>
        <w:pStyle w:val="BodyText"/>
      </w:pPr>
      <w:r>
        <w:rPr>
          <w:b/>
          <w:bCs/>
        </w:rPr>
        <w:t xml:space="preserve">Technical appendix:</w:t>
      </w:r>
      <w:r>
        <w:t xml:space="preserve"> </w:t>
      </w:r>
      <w:hyperlink r:id="rId72">
        <w:r>
          <w:rPr>
            <w:rStyle w:val="Hyperlink"/>
          </w:rPr>
          <w:t xml:space="preserve">B — Coordination joint-probability model</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56" Target="media/rId56.png" /><Relationship Type="http://schemas.openxmlformats.org/officeDocument/2006/relationships/image" Id="rId51" Target="media/rId51.png" /><Relationship Type="http://schemas.openxmlformats.org/officeDocument/2006/relationships/image" Id="rId44" Target="media/rId44.png" /><Relationship Type="http://schemas.openxmlformats.org/officeDocument/2006/relationships/image" Id="rId38" Target="media/rId38.png" /><Relationship Type="http://schemas.openxmlformats.org/officeDocument/2006/relationships/image" Id="rId33" Target="media/rId33.png" /><Relationship Type="http://schemas.openxmlformats.org/officeDocument/2006/relationships/hyperlink" Id="rId14" Target="../amua_import_parameters_v4.csv" TargetMode="External" /><Relationship Type="http://schemas.openxmlformats.org/officeDocument/2006/relationships/hyperlink" Id="rId15" Target="../parameter_appraisal.qmd" TargetMode="External" /><Relationship Type="http://schemas.openxmlformats.org/officeDocument/2006/relationships/hyperlink" Id="rId22" Target="../parameter_playground.qmd" TargetMode="External" /><Relationship Type="http://schemas.openxmlformats.org/officeDocument/2006/relationships/hyperlink" Id="rId13" Target="../parameters_hub.html" TargetMode="External" /><Relationship Type="http://schemas.openxmlformats.org/officeDocument/2006/relationships/hyperlink" Id="rId72" Target="../technical_appendix_coordination.qmd" TargetMode="External" /><Relationship Type="http://schemas.openxmlformats.org/officeDocument/2006/relationships/hyperlink" Id="rId71" Target="costing_analysis.qmd" TargetMode="External" /><Relationship Type="http://schemas.openxmlformats.org/officeDocument/2006/relationships/hyperlink" Id="rId70" Target="decision_model.qmd" TargetMode="External" /><Relationship Type="http://schemas.openxmlformats.org/officeDocument/2006/relationships/hyperlink" Id="rId18" Target="https://gt.rstudio.com/" TargetMode="External" /><Relationship Type="http://schemas.openxmlformats.org/officeDocument/2006/relationships/hyperlink" Id="rId21" Target="https://mermaid.js.org/" TargetMode="External" /><Relationship Type="http://schemas.openxmlformats.org/officeDocument/2006/relationships/hyperlink" Id="rId23" Target="https://observablehq.com/@observablehq/observable-javascript" TargetMode="External" /><Relationship Type="http://schemas.openxmlformats.org/officeDocument/2006/relationships/hyperlink" Id="rId20" Target="https://scales.r-lib.org/" TargetMode="External" /><Relationship Type="http://schemas.openxmlformats.org/officeDocument/2006/relationships/hyperlink" Id="rId19" Target="https://www.tidyverse.org/" TargetMode="External" /><Relationship Type="http://schemas.openxmlformats.org/officeDocument/2006/relationships/hyperlink" Id="rId49" Target="overall_policy_model.qmd" TargetMode="External" /><Relationship Type="http://schemas.openxmlformats.org/officeDocument/2006/relationships/hyperlink" Id="rId9" Target="surveillance_policy.qmd" TargetMode="External" /><Relationship Type="http://schemas.openxmlformats.org/officeDocument/2006/relationships/hyperlink" Id="rId10" Target="terbufos_policy.qmd" TargetMode="External" /></Relationships>
</file>

<file path=word/_rels/footnotes.xml.rels><?xml version="1.0" encoding="UTF-8"?><Relationships xmlns="http://schemas.openxmlformats.org/package/2006/relationships"><Relationship Type="http://schemas.openxmlformats.org/officeDocument/2006/relationships/hyperlink" Id="rId14" Target="../amua_import_parameters_v4.csv" TargetMode="External" /><Relationship Type="http://schemas.openxmlformats.org/officeDocument/2006/relationships/hyperlink" Id="rId15" Target="../parameter_appraisal.qmd" TargetMode="External" /><Relationship Type="http://schemas.openxmlformats.org/officeDocument/2006/relationships/hyperlink" Id="rId22" Target="../parameter_playground.qmd" TargetMode="External" /><Relationship Type="http://schemas.openxmlformats.org/officeDocument/2006/relationships/hyperlink" Id="rId13" Target="../parameters_hub.html" TargetMode="External" /><Relationship Type="http://schemas.openxmlformats.org/officeDocument/2006/relationships/hyperlink" Id="rId72" Target="../technical_appendix_coordination.qmd" TargetMode="External" /><Relationship Type="http://schemas.openxmlformats.org/officeDocument/2006/relationships/hyperlink" Id="rId71" Target="costing_analysis.qmd" TargetMode="External" /><Relationship Type="http://schemas.openxmlformats.org/officeDocument/2006/relationships/hyperlink" Id="rId70" Target="decision_model.qmd" TargetMode="External" /><Relationship Type="http://schemas.openxmlformats.org/officeDocument/2006/relationships/hyperlink" Id="rId18" Target="https://gt.rstudio.com/" TargetMode="External" /><Relationship Type="http://schemas.openxmlformats.org/officeDocument/2006/relationships/hyperlink" Id="rId21" Target="https://mermaid.js.org/" TargetMode="External" /><Relationship Type="http://schemas.openxmlformats.org/officeDocument/2006/relationships/hyperlink" Id="rId23" Target="https://observablehq.com/@observablehq/observable-javascript" TargetMode="External" /><Relationship Type="http://schemas.openxmlformats.org/officeDocument/2006/relationships/hyperlink" Id="rId20" Target="https://scales.r-lib.org/" TargetMode="External" /><Relationship Type="http://schemas.openxmlformats.org/officeDocument/2006/relationships/hyperlink" Id="rId19" Target="https://www.tidyverse.org/" TargetMode="External" /><Relationship Type="http://schemas.openxmlformats.org/officeDocument/2006/relationships/hyperlink" Id="rId49" Target="overall_policy_model.qmd" TargetMode="External" /><Relationship Type="http://schemas.openxmlformats.org/officeDocument/2006/relationships/hyperlink" Id="rId9" Target="surveillance_policy.qmd" TargetMode="External" /><Relationship Type="http://schemas.openxmlformats.org/officeDocument/2006/relationships/hyperlink" Id="rId10" Target="terbufos_policy.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Brief 2: Closing the Coordination Loop</dc:title>
  <dc:creator>D2P Project Team</dc:creator>
  <cp:keywords/>
  <dcterms:created xsi:type="dcterms:W3CDTF">2026-07-27T08:46:50Z</dcterms:created>
  <dcterms:modified xsi:type="dcterms:W3CDTF">2026-07-27T08:46:50Z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2025-09-05</vt:lpwstr>
  </property>
  <property fmtid="{D5CDD505-2E9C-101B-9397-08002B2CF9AE}" pid="7" name="date-modified">
    <vt:lpwstr>2026-07-27</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Making NMC, EHPs, DALRRD, and provincial response work as one system</vt:lpwstr>
  </property>
  <property fmtid="{D5CDD505-2E9C-101B-9397-08002B2CF9AE}" pid="14" name="toc-title">
    <vt:lpwstr>Table of contents</vt:lpwstr>
  </property>
</Properties>
</file>