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Policy Brief Hub: Strengthening Pesticide Poisoning Surveillance and Response</w:t>
      </w:r>
    </w:p>
    <w:p>
      <w:pPr>
        <w:pStyle w:val="Subtitle"/>
      </w:pPr>
      <w:r>
        <w:t xml:space="preserve">Three companion policy documents on surveillance, coordination, and terbufos</w:t>
      </w:r>
    </w:p>
    <w:p>
      <w:pPr>
        <w:pStyle w:val="Author"/>
      </w:pPr>
      <w:r>
        <w:t xml:space="preserve">D2P Project Team</w:t>
      </w:r>
    </w:p>
    <w:p>
      <w:pPr>
        <w:pStyle w:val="Date"/>
      </w:pPr>
      <w:r>
        <w:t xml:space="preserve">2025-09-05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What this page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Three decision-maker-facing briefs, each addressing a distinct policy question, all drawing on a single canonical parameter set. Read in order:</w:t>
            </w:r>
            <w:r>
              <w:t xml:space="preserve"> </w:t>
            </w:r>
            <w:r>
              <w:rPr>
                <w:b/>
                <w:bCs/>
              </w:rPr>
              <w:t xml:space="preserve">Detect → Act → Restrict.</w:t>
            </w:r>
          </w:p>
          <w:p/>
        </w:tc>
      </w:tr>
    </w:tbl>
    <w:bookmarkStart w:id="15" w:name="the-three-policy-briefs"/>
    <w:p>
      <w:pPr>
        <w:pStyle w:val="Heading2"/>
      </w:pPr>
      <w:r>
        <w:t xml:space="preserve">The three policy briefs</w:t>
      </w:r>
    </w:p>
    <w:bookmarkStart w:id="10" w:name="Xf9e6372980138f78a1e5da83d82484d04af18f6"/>
    <w:p>
      <w:pPr>
        <w:pStyle w:val="Heading3"/>
      </w:pPr>
      <w:hyperlink r:id="rId9">
        <w:r>
          <w:rPr>
            <w:rStyle w:val="Hyperlink"/>
          </w:rPr>
          <w:t xml:space="preserve">1 · Strengthening Pesticide Poisoning Surveillance</w:t>
        </w:r>
      </w:hyperlink>
    </w:p>
    <w:p>
      <w:pPr>
        <w:pStyle w:val="FirstParagraph"/>
      </w:pPr>
      <w:r>
        <w:rPr>
          <w:b/>
          <w:bCs/>
        </w:rPr>
        <w:t xml:space="preserve">Policy question.</w:t>
      </w:r>
      <w:r>
        <w:t xml:space="preserve"> </w:t>
      </w:r>
      <w:r>
        <w:t xml:space="preserve">Should NDoH invest in automated, multi-source surveillance to close the detection gap between NMC, the NHLS laboratory, and the Poisons Information Helpline?</w:t>
      </w:r>
    </w:p>
    <w:p>
      <w:pPr>
        <w:pStyle w:val="BodyText"/>
      </w:pPr>
      <w:r>
        <w:rPr>
          <w:b/>
          <w:bCs/>
        </w:rPr>
        <w:t xml:space="preserve">Headline recommendation.</w:t>
      </w:r>
      <w:r>
        <w:t xml:space="preserve"> </w:t>
      </w:r>
      <w:r>
        <w:t xml:space="preserve">Adopt the</w:t>
      </w:r>
      <w:r>
        <w:t xml:space="preserve"> </w:t>
      </w:r>
      <w:r>
        <w:rPr>
          <w:b/>
          <w:bCs/>
        </w:rPr>
        <w:t xml:space="preserve">Surveillance MVP</w:t>
      </w:r>
      <w:r>
        <w:t xml:space="preserve"> </w:t>
      </w:r>
      <w:r>
        <w:t xml:space="preserve">(NHLS→NMC IT feed + BChE auto-notification + PIH dashboard / MVD) —</w:t>
      </w:r>
      <w:r>
        <w:t xml:space="preserve"> </w:t>
      </w:r>
      <w:r>
        <w:rPr>
          <w:b/>
          <w:bCs/>
        </w:rPr>
        <w:t xml:space="preserve">~R137,000/year, lifting per-case detection from &lt;5% to ~19% of true cases</w:t>
      </w:r>
      <w:r>
        <w:t xml:space="preserve">. (Surveillance changes only what is</w:t>
      </w:r>
      <w:r>
        <w:t xml:space="preserve"> </w:t>
      </w:r>
      <w:r>
        <w:rPr>
          <w:i/>
          <w:iCs/>
        </w:rPr>
        <w:t xml:space="preserve">seen</w:t>
      </w:r>
      <w:r>
        <w:t xml:space="preserve">; deaths averted are delivered by the coordination and terbufos responses that act on the improved signal.)</w:t>
      </w:r>
    </w:p>
    <w:bookmarkEnd w:id="10"/>
    <w:bookmarkStart w:id="12" w:name="closing-the-coordination-loop"/>
    <w:p>
      <w:pPr>
        <w:pStyle w:val="Heading3"/>
      </w:pPr>
      <w:hyperlink r:id="rId11">
        <w:r>
          <w:rPr>
            <w:rStyle w:val="Hyperlink"/>
          </w:rPr>
          <w:t xml:space="preserve">2 · Closing the Coordination Loop</w:t>
        </w:r>
      </w:hyperlink>
    </w:p>
    <w:p>
      <w:pPr>
        <w:pStyle w:val="FirstParagraph"/>
      </w:pPr>
      <w:r>
        <w:rPr>
          <w:b/>
          <w:bCs/>
        </w:rPr>
        <w:t xml:space="preserve">Policy question.</w:t>
      </w:r>
      <w:r>
        <w:t xml:space="preserve"> </w:t>
      </w:r>
      <w:r>
        <w:t xml:space="preserve">Should NDoH and DALRRD mandate a closed-loop coordination workflow so that every NMC notification triggers an investigation that is recorded, every EHP→DALRRD referral is structured, and every DALRRD action is fed back?</w:t>
      </w:r>
    </w:p>
    <w:p>
      <w:pPr>
        <w:pStyle w:val="BodyText"/>
      </w:pPr>
      <w:r>
        <w:rPr>
          <w:b/>
          <w:bCs/>
        </w:rPr>
        <w:t xml:space="preserve">Headline recommendation.</w:t>
      </w:r>
      <w:r>
        <w:t xml:space="preserve"> </w:t>
      </w:r>
      <w:r>
        <w:t xml:space="preserve">Adopt the</w:t>
      </w:r>
      <w:r>
        <w:t xml:space="preserve"> </w:t>
      </w:r>
      <w:r>
        <w:rPr>
          <w:b/>
          <w:bCs/>
        </w:rPr>
        <w:t xml:space="preserve">Coordination Full Package</w:t>
      </w:r>
      <w:r>
        <w:t xml:space="preserve"> </w:t>
      </w:r>
      <w:r>
        <w:t xml:space="preserve">(mandatory NMC closure-of-loop field + structured DALRRD referral + NICD→DALRRD intelligence feed + clinician auto-feedback + joint KPI dashboard) —</w:t>
      </w:r>
      <w:r>
        <w:t xml:space="preserve"> </w:t>
      </w:r>
      <w:r>
        <w:rPr>
          <w:b/>
          <w:bCs/>
        </w:rPr>
        <w:t xml:space="preserve">~R145,000/year, ~957 deaths averted/year at scale</w:t>
      </w:r>
      <w:r>
        <w:t xml:space="preserve">.</w:t>
      </w:r>
    </w:p>
    <w:bookmarkEnd w:id="12"/>
    <w:bookmarkStart w:id="14" w:name="restricting-or-banning-terbufos"/>
    <w:p>
      <w:pPr>
        <w:pStyle w:val="Heading3"/>
      </w:pPr>
      <w:hyperlink r:id="rId13">
        <w:r>
          <w:rPr>
            <w:rStyle w:val="Hyperlink"/>
          </w:rPr>
          <w:t xml:space="preserve">3 · Restricting or Banning Terbufos</w:t>
        </w:r>
      </w:hyperlink>
    </w:p>
    <w:p>
      <w:pPr>
        <w:pStyle w:val="FirstParagraph"/>
      </w:pPr>
      <w:r>
        <w:rPr>
          <w:b/>
          <w:bCs/>
        </w:rPr>
        <w:t xml:space="preserve">Policy question.</w:t>
      </w:r>
      <w:r>
        <w:t xml:space="preserve"> </w:t>
      </w:r>
      <w:r>
        <w:t xml:space="preserve">Should South Africa restrict, or fully ban, terbufos as a registered agricultural pesticide?</w:t>
      </w:r>
    </w:p>
    <w:p>
      <w:pPr>
        <w:pStyle w:val="BodyText"/>
      </w:pPr>
      <w:r>
        <w:rPr>
          <w:b/>
          <w:bCs/>
        </w:rPr>
        <w:t xml:space="preserve">Headline recommendation.</w:t>
      </w:r>
      <w:r>
        <w:t xml:space="preserve"> </w:t>
      </w:r>
      <w:r>
        <w:t xml:space="preserve">Adopt</w:t>
      </w:r>
      <w:r>
        <w:t xml:space="preserve"> </w:t>
      </w:r>
      <w:r>
        <w:rPr>
          <w:b/>
          <w:bCs/>
        </w:rPr>
        <w:t xml:space="preserve">Option T2 (tighter restriction)</w:t>
      </w:r>
      <w:r>
        <w:t xml:space="preserve"> </w:t>
      </w:r>
      <w:r>
        <w:t xml:space="preserve">immediately, with a hard-coded</w:t>
      </w:r>
      <w:r>
        <w:t xml:space="preserve"> </w:t>
      </w:r>
      <w:r>
        <w:rPr>
          <w:b/>
          <w:bCs/>
        </w:rPr>
        <w:t xml:space="preserve">24-month evaluation gate</w:t>
      </w:r>
      <w:r>
        <w:t xml:space="preserve"> </w:t>
      </w:r>
      <w:r>
        <w:t xml:space="preserve">that mechanically escalates to a full ban (Option T3) if attributable serious-poisoning cases do not fall by a pre-agreed margin.</w:t>
      </w:r>
    </w:p>
    <w:bookmarkEnd w:id="14"/>
    <w:bookmarkEnd w:id="15"/>
    <w:bookmarkStart w:id="20" w:name="how-the-three-briefs-fit-together"/>
    <w:p>
      <w:pPr>
        <w:pStyle w:val="Heading2"/>
      </w:pPr>
      <w:r>
        <w:t xml:space="preserve">How the three briefs fit together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hub-overview"/>
          <w:p>
            <w:pPr>
              <w:jc w:val="center"/>
            </w:pPr>
            <w:r>
              <w:drawing>
                <wp:inline>
                  <wp:extent cx="5334000" cy="1178218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policy_brief_files/figure-docx/mermaid-figure-1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78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three briefs operate as one system. Surveillance produces the signal; coordination ensures it leads to action; product-specific regulation (starting with terbufos) is the first concrete output the upgraded system should deliver.</w:t>
            </w:r>
          </w:p>
          <w:bookmarkEnd w:id="19"/>
        </w:tc>
      </w:tr>
    </w:tbl>
    <w:bookmarkEnd w:id="20"/>
    <w:bookmarkStart w:id="24" w:name="shared-evidence-base"/>
    <w:p>
      <w:pPr>
        <w:pStyle w:val="Heading2"/>
      </w:pPr>
      <w:r>
        <w:t xml:space="preserve">Shared evidence base</w:t>
      </w:r>
    </w:p>
    <w:p>
      <w:pPr>
        <w:pStyle w:val="FirstParagraph"/>
      </w:pPr>
      <w:r>
        <w:t xml:space="preserve">All three briefs draw their numerical claims from a single shared parameter set (cases per year, CFR, per-case costs, decision-tree probabilities, prevention efficacy η, secondary-case multiplier ρ). The parameter file is intentionally separated so the model can be</w:t>
      </w:r>
      <w:r>
        <w:t xml:space="preserve"> </w:t>
      </w:r>
      <w:r>
        <w:rPr>
          <w:b/>
          <w:bCs/>
        </w:rPr>
        <w:t xml:space="preserve">iterated centrally</w:t>
      </w:r>
      <w:r>
        <w:t xml:space="preserve"> </w:t>
      </w:r>
      <w:r>
        <w:t xml:space="preserve">without re-editing each brief.</w:t>
      </w:r>
    </w:p>
    <w:p>
      <w:pPr>
        <w:pStyle w:val="BodyText"/>
      </w:pPr>
      <w:r>
        <w:t xml:space="preserve">Source files: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Decision Model</w:t>
        </w:r>
      </w:hyperlink>
      <w:r>
        <w:t xml:space="preserve"> </w:t>
      </w:r>
      <w:r>
        <w:t xml:space="preserve">— burden, parameters, sensitivity analyses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Costing Analysis</w:t>
        </w:r>
      </w:hyperlink>
      <w:r>
        <w:t xml:space="preserve"> </w:t>
      </w:r>
      <w:r>
        <w:t xml:space="preserve">— full cost build-up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Surveillance Concept Note</w:t>
        </w:r>
      </w:hyperlink>
      <w:r>
        <w:t xml:space="preserve"> </w:t>
      </w:r>
      <w:r>
        <w:t xml:space="preserve">— technical surveillance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Read in order:</w:t>
      </w:r>
      <w:r>
        <w:t xml:space="preserve"> </w:t>
      </w:r>
      <w:hyperlink r:id="rId9">
        <w:r>
          <w:rPr>
            <w:rStyle w:val="Hyperlink"/>
          </w:rPr>
          <w:t xml:space="preserve">Surveillance</w:t>
        </w:r>
      </w:hyperlink>
      <w:r>
        <w:t xml:space="preserve"> </w:t>
      </w:r>
      <w:r>
        <w:t xml:space="preserve">→</w:t>
      </w:r>
      <w:r>
        <w:t xml:space="preserve"> </w:t>
      </w:r>
      <w:hyperlink r:id="rId11">
        <w:r>
          <w:rPr>
            <w:rStyle w:val="Hyperlink"/>
          </w:rPr>
          <w:t xml:space="preserve">Coordination</w:t>
        </w:r>
      </w:hyperlink>
      <w:r>
        <w:t xml:space="preserve"> </w:t>
      </w:r>
      <w:r>
        <w:t xml:space="preserve">→</w:t>
      </w:r>
      <w:r>
        <w:t xml:space="preserve"> </w:t>
      </w:r>
      <w:hyperlink r:id="rId13">
        <w:r>
          <w:rPr>
            <w:rStyle w:val="Hyperlink"/>
          </w:rPr>
          <w:t xml:space="preserve">Terbufos</w:t>
        </w:r>
      </w:hyperlink>
      <w:r>
        <w:t xml:space="preserve">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1" Target="coordination_policy.qmd" TargetMode="External" /><Relationship Type="http://schemas.openxmlformats.org/officeDocument/2006/relationships/hyperlink" Id="rId22" Target="costing_analysis.qmd" TargetMode="External" /><Relationship Type="http://schemas.openxmlformats.org/officeDocument/2006/relationships/hyperlink" Id="rId21" Target="decision_model.qmd" TargetMode="External" /><Relationship Type="http://schemas.openxmlformats.org/officeDocument/2006/relationships/hyperlink" Id="rId23" Target="surveillance_concept_note.qmd" TargetMode="External" /><Relationship Type="http://schemas.openxmlformats.org/officeDocument/2006/relationships/hyperlink" Id="rId9" Target="surveillance_policy.qmd" TargetMode="External" /><Relationship Type="http://schemas.openxmlformats.org/officeDocument/2006/relationships/hyperlink" Id="rId13" Target="terbufos_poli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oordination_policy.qmd" TargetMode="External" /><Relationship Type="http://schemas.openxmlformats.org/officeDocument/2006/relationships/hyperlink" Id="rId22" Target="costing_analysis.qmd" TargetMode="External" /><Relationship Type="http://schemas.openxmlformats.org/officeDocument/2006/relationships/hyperlink" Id="rId21" Target="decision_model.qmd" TargetMode="External" /><Relationship Type="http://schemas.openxmlformats.org/officeDocument/2006/relationships/hyperlink" Id="rId23" Target="surveillance_concept_note.qmd" TargetMode="External" /><Relationship Type="http://schemas.openxmlformats.org/officeDocument/2006/relationships/hyperlink" Id="rId9" Target="surveillance_policy.qmd" TargetMode="External" /><Relationship Type="http://schemas.openxmlformats.org/officeDocument/2006/relationships/hyperlink" Id="rId13" Target="terbufos_poli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Brief Hub: Strengthening Pesticide Poisoning Surveillance and Response</dc:title>
  <dc:creator>D2P Project Team</dc:creator>
  <cp:keywords/>
  <dcterms:created xsi:type="dcterms:W3CDTF">2026-07-27T08:47:00Z</dcterms:created>
  <dcterms:modified xsi:type="dcterms:W3CDTF">2026-07-27T08:47:00Z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2025-09-05</vt:lpwstr>
  </property>
  <property fmtid="{D5CDD505-2E9C-101B-9397-08002B2CF9AE}" pid="7" name="date-modified">
    <vt:lpwstr>2026-07-27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Three companion policy documents on surveillance, coordination, and terbufos</vt:lpwstr>
  </property>
  <property fmtid="{D5CDD505-2E9C-101B-9397-08002B2CF9AE}" pid="14" name="toc-title">
    <vt:lpwstr>Table of contents</vt:lpwstr>
  </property>
</Properties>
</file>