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27.png" ContentType="image/png"/>
  <Override PartName="/word/media/rId77.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Policy Brief 1: Strengthening Pesticide Poisoning Surveillance</w:t>
      </w:r>
    </w:p>
    <w:p>
      <w:pPr>
        <w:pStyle w:val="Subtitle"/>
      </w:pPr>
      <w:r>
        <w:t xml:space="preserve">Closing the detection gap between NMC, NHLS, and PIH</w:t>
      </w:r>
    </w:p>
    <w:p>
      <w:pPr>
        <w:pStyle w:val="Author"/>
      </w:pPr>
      <w:r>
        <w:t xml:space="preserve">D2P Project Team</w:t>
      </w:r>
    </w:p>
    <w:p>
      <w:pPr>
        <w:pStyle w:val="Date"/>
      </w:pPr>
      <w:r>
        <w:t xml:space="preserve">2025-09-05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For Decision-Makers</w:t>
            </w:r>
          </w:p>
        </w:tc>
      </w:tr>
      <w:tr>
        <w:trPr>
          <w:cantSplit/>
        </w:trPr>
        <w:tc>
          <w:tcPr>
            <w:tcMar>
              <w:top w:w="108" w:type="dxa"/>
              <w:bottom w:w="108" w:type="dxa"/>
            </w:tcMar>
          </w:tcPr>
          <w:p>
            <w:pPr>
              <w:pStyle w:val="BodyText"/>
            </w:pPr>
            <w:pPr>
              <w:spacing w:before="16"/>
            </w:pPr>
            <w:r>
              <w:rPr>
                <w:b/>
                <w:bCs/>
              </w:rPr>
              <w:t xml:space="preserve">Target audience:</w:t>
            </w:r>
            <w:r>
              <w:t xml:space="preserve"> </w:t>
            </w:r>
            <w:r>
              <w:t xml:space="preserve">Ministerial Advisory Committee (MAC), National Department of Health (NDoH), Provincial Health Leadership, NICD/NHLS leadership.</w:t>
            </w:r>
          </w:p>
          <w:p>
            <w:pPr>
              <w:pStyle w:val="BodyText"/>
            </w:pPr>
            <w:pPr>
              <w:spacing w:after="16"/>
            </w:pPr>
            <w:r>
              <w:rPr>
                <w:b/>
                <w:bCs/>
              </w:rPr>
              <w:t xml:space="preserve">Companion briefs:</w:t>
            </w:r>
            <w:r>
              <w:t xml:space="preserve"> </w:t>
            </w:r>
            <w:hyperlink r:id="rId9">
              <w:r>
                <w:rPr>
                  <w:rStyle w:val="Hyperlink"/>
                </w:rPr>
                <w:t xml:space="preserve">Coordination</w:t>
              </w:r>
            </w:hyperlink>
            <w:r>
              <w:t xml:space="preserve"> </w:t>
            </w:r>
            <w:r>
              <w:t xml:space="preserve">·</w:t>
            </w:r>
            <w:r>
              <w:t xml:space="preserve"> </w:t>
            </w:r>
            <w:hyperlink r:id="rId10">
              <w:r>
                <w:rPr>
                  <w:rStyle w:val="Hyperlink"/>
                </w:rPr>
                <w:t xml:space="preserve">Terbufos restriction</w:t>
              </w:r>
            </w:hyperlink>
            <w:r>
              <w:t xml:space="preserve">.</w:t>
            </w:r>
          </w:p>
          <w:p/>
        </w:tc>
      </w:tr>
    </w:tbl>
    <w:bookmarkStart w:id="11" w:name="policy-question"/>
    <w:p>
      <w:pPr>
        <w:pStyle w:val="Heading2"/>
      </w:pPr>
      <w:r>
        <w:t xml:space="preserve">1. Policy question</w:t>
      </w:r>
    </w:p>
    <w:p>
      <w:pPr>
        <w:pStyle w:val="FirstParagraph"/>
      </w:pPr>
      <w:r>
        <w:rPr>
          <w:b/>
          <w:bCs/>
        </w:rPr>
        <w:t xml:space="preserve">Should NDoH invest in automated, multi-source pesticide-poisoning surveillance to close the detection gap between the NMC, NHLS laboratory, and PIH data streams?</w:t>
      </w:r>
    </w:p>
    <w:bookmarkEnd w:id="11"/>
    <w:bookmarkStart w:id="12" w:name="public-health-problem"/>
    <w:p>
      <w:pPr>
        <w:pStyle w:val="Heading2"/>
      </w:pPr>
      <w:r>
        <w:t xml:space="preserve">2. Public health problem</w:t>
      </w:r>
    </w:p>
    <w:p>
      <w:pPr>
        <w:pStyle w:val="FirstParagraph"/>
      </w:pPr>
      <w:r>
        <w:t xml:space="preserve">South Africa under-detects pesticide poisoning. Three data streams each see a fraction of the problem; none sees the whole:</w:t>
      </w:r>
    </w:p>
    <w:p>
      <w:pPr>
        <w:pStyle w:val="Compact"/>
        <w:numPr>
          <w:ilvl w:val="0"/>
          <w:numId w:val="1001"/>
        </w:numPr>
      </w:pPr>
      <w:r>
        <w:t xml:space="preserve">Most cases never appear in NMC.</w:t>
      </w:r>
    </w:p>
    <w:p>
      <w:pPr>
        <w:pStyle w:val="Compact"/>
        <w:numPr>
          <w:ilvl w:val="0"/>
          <w:numId w:val="1001"/>
        </w:numPr>
      </w:pPr>
      <w:r>
        <w:t xml:space="preserve">Severe laboratory results do not trigger a public-health alert.</w:t>
      </w:r>
    </w:p>
    <w:p>
      <w:pPr>
        <w:pStyle w:val="Compact"/>
        <w:numPr>
          <w:ilvl w:val="0"/>
          <w:numId w:val="1001"/>
        </w:numPr>
      </w:pPr>
      <w:r>
        <w:t xml:space="preserve">The country’s largest single source of clinical signal — the Poisons Information Helpline — is not used for surveillance.</w:t>
      </w:r>
    </w:p>
    <w:bookmarkEnd w:id="12"/>
    <w:bookmarkStart w:id="34" w:name="status-quo"/>
    <w:p>
      <w:pPr>
        <w:pStyle w:val="Heading2"/>
      </w:pPr>
      <w:r>
        <w:t xml:space="preserve">3. Status quo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Canonical model parameters (auto-loaded from the</w:t>
            </w:r>
            <w:r>
              <w:t xml:space="preserve"> </w:t>
            </w:r>
            <w:hyperlink r:id="rId13">
              <w:r>
                <w:rPr>
                  <w:rStyle w:val="Hyperlink"/>
                </w:rPr>
                <w:t xml:space="preserve">Parameters Hub</w:t>
              </w:r>
            </w:hyperlink>
            <w:r>
              <w:t xml:space="preserve">)</w:t>
            </w:r>
          </w:p>
        </w:tc>
      </w:tr>
      <w:tr>
        <w:trPr>
          <w:cantSplit/>
        </w:trPr>
        <w:tc>
          <w:tcPr>
            <w:tcMar>
              <w:top w:w="108" w:type="dxa"/>
              <w:bottom w:w="108" w:type="dxa"/>
            </w:tcMar>
          </w:tcPr>
          <w:p>
            <w:pPr>
              <w:pStyle w:val="BodyText"/>
            </w:pPr>
            <w:pPr>
              <w:spacing w:before="16"/>
            </w:pPr>
            <w:r>
              <w:t xml:space="preserve">All numerical claims in this brief draw from a single CSV —</w:t>
            </w:r>
            <w:r>
              <w:t xml:space="preserve"> </w:t>
            </w:r>
            <w:hyperlink r:id="rId14">
              <w:r>
                <w:rPr>
                  <w:rStyle w:val="VerbatimChar"/>
                </w:rPr>
                <w:t xml:space="preserve">amua_import_parameters_v4.csv</w:t>
              </w:r>
            </w:hyperlink>
            <w:r>
              <w:t xml:space="preserve"> </w:t>
            </w:r>
            <w:r>
              <w:t xml:space="preserve">— rendered in full at the</w:t>
            </w:r>
            <w:r>
              <w:t xml:space="preserve"> </w:t>
            </w:r>
            <w:hyperlink r:id="rId13">
              <w:r>
                <w:rPr>
                  <w:rStyle w:val="Hyperlink"/>
                </w:rPr>
                <w:t xml:space="preserve">Parameters Hub</w:t>
              </w:r>
            </w:hyperlink>
            <w:r>
              <w:t xml:space="preserve">. The headline values below are pulled from that file at render time;</w:t>
            </w:r>
            <w:r>
              <w:t xml:space="preserve"> </w:t>
            </w:r>
            <w:r>
              <w:rPr>
                <w:b/>
                <w:bCs/>
              </w:rPr>
              <w:t xml:space="preserve">do not edit the numbers in this brief — edit the CSV and re-render</w:t>
            </w:r>
            <w: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Headline parameters used in this brief</w:t>
            </w:r>
          </w:p>
          <w:p>
            <w:pPr>
              <w:spacing w:before="0" w:after="60"/>
              <w:keepNext/>
              <w:jc w:val="start"/>
              <w:pStyle w:val="caption"/>
            </w:pPr>
            <w:r>
              <w:rPr>
                <w:rFonts w:ascii="Calibri" w:hAnsi="Calibri"/>
                <w:sz w:val="20"/>
                <w:color w:val="333333"/>
              </w:rPr>
              <w:t xml:space="default">Pulled from amua_import_parameters_v4.csv at render time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Annual NMC pesticide notifications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Annual NHLS severe BChE inhibitions (live)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Annual PIH pesticide-related calls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True annual burden (sum, upper bound)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Headline annual deaths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Blended headline morbidity cost per 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R12,000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Mortality cost per death (human-capital)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R1.50 million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Headline annual economic burden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R1.61 billion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Response efficacy η (base 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Detection probability — status quo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Detection probability — full package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Package narrow operating cost / yr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R237,000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Package whole-system operating cost / yr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R1.19 million</w:t>
                  </w:r>
                </w:p>
              </w:tc>
            </w:tr>
          </w:tbl>
          <w:bookmarkStart w:id="16" w:name="who-bears-the-r1.61b-annual-burden"/>
          <w:p>
            <w:pPr>
              <w:pStyle w:val="Heading3"/>
            </w:pPr>
            <w:r>
              <w:t xml:space="preserve">Who bears the R1.61B annual burden?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Annual burden by stakeholder (headline scenario, ZAR 2025)</w:t>
            </w:r>
          </w:p>
          <w:p>
            <w:pPr>
              <w:spacing w:before="0" w:after="60"/>
              <w:keepNext/>
              <w:jc w:val="start"/>
              <w:pStyle w:val="caption"/>
            </w:pPr>
            <w:r>
              <w:rPr>
                <w:rFonts w:ascii="Calibri" w:hAnsi="Calibri"/>
                <w:sz w:val="20"/>
                <w:color w:val="333333"/>
              </w:rPr>
              <w:t xml:space="default">Each rand of the R1.61B falls on exactly one bearer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Stakeholder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Value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Share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NDoH — public hospitals (UPFS ward + ICU + drugs)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R70.00 million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NHLS — laboratory (BChE, GC-MS, repeat clinical chemistry)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R10.00 million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DALRRD — regulator (no burden-side share by construction)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Individuals / households — out-of-pocket + lost wages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R10.00 million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Households / wider society — lost lifetime earnings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R1.52 billion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R1.61 billion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100%</w:t>
                  </w:r>
                </w:p>
              </w:tc>
            </w:tr>
          </w:tbl>
          <w:p>
            <w:pPr>
              <w:pStyle w:val="FirstParagraph"/>
            </w:pPr>
            <w:r>
              <w:rPr>
                <w:b/>
                <w:bCs/>
              </w:rPr>
              <w:t xml:space="preserve">Reading the table.</w:t>
            </w:r>
            <w:r>
              <w:t xml:space="preserve"> </w:t>
            </w:r>
            <w:r>
              <w:t xml:space="preserve">~94 % of the R1.61B is</w:t>
            </w:r>
            <w:r>
              <w:t xml:space="preserve"> </w:t>
            </w:r>
            <w:r>
              <w:rPr>
                <w:b/>
                <w:bCs/>
              </w:rPr>
              <w:t xml:space="preserve">mortality, borne by households and the wider economy</w:t>
            </w:r>
            <w:r>
              <w:t xml:space="preserve"> </w:t>
            </w:r>
            <w:r>
              <w:t xml:space="preserve">as lost lifetime earnings (1,014 deaths × R1.5M human-capital, undiscounted; sensitivity: R1.05M at 3 % discount). The directly-budgeted health-sector share is</w:t>
            </w:r>
            <w:r>
              <w:t xml:space="preserve"> </w:t>
            </w:r>
            <w:r>
              <w:rPr>
                <w:b/>
                <w:bCs/>
              </w:rPr>
              <w:t xml:space="preserve">R80M</w:t>
            </w:r>
            <w:r>
              <w:t xml:space="preserve"> </w:t>
            </w:r>
            <w:r>
              <w:t xml:space="preserve">(NDoH ~R70M hospital + NHLS ~R10M lab) — modest in absolute terms, but it is the only column that appears on a departmental budget line. DALRRD bears</w:t>
            </w:r>
            <w:r>
              <w:t xml:space="preserve"> </w:t>
            </w:r>
            <w:r>
              <w:rPr>
                <w:b/>
                <w:bCs/>
              </w:rPr>
              <w:t xml:space="preserve">R0</w:t>
            </w:r>
            <w:r>
              <w:t xml:space="preserve"> </w:t>
            </w:r>
            <w:r>
              <w:t xml:space="preserve">of the</w:t>
            </w:r>
            <w:r>
              <w:t xml:space="preserve"> </w:t>
            </w:r>
            <w:r>
              <w:rPr>
                <w:i/>
                <w:iCs/>
              </w:rPr>
              <w:t xml:space="preserve">burden</w:t>
            </w:r>
            <w:r>
              <w:t xml:space="preserve"> </w:t>
            </w:r>
            <w:r>
              <w:t xml:space="preserve">side by construction: their cost sits on the</w:t>
            </w:r>
            <w:r>
              <w:t xml:space="preserve"> </w:t>
            </w:r>
            <w:r>
              <w:rPr>
                <w:i/>
                <w:iCs/>
              </w:rPr>
              <w:t xml:space="preserve">intervention</w:t>
            </w:r>
            <w:r>
              <w:t xml:space="preserve"> </w:t>
            </w:r>
            <w:r>
              <w:t xml:space="preserve">side (enforcement, recalls, registration action).</w:t>
            </w:r>
          </w:p>
          <w:p>
            <w:pPr>
              <w:pStyle w:val="BodyText"/>
            </w:pPr>
            <w:r>
              <w:t xml:space="preserve">For the full sourced parameter set (CFR by severity, UPFS tariffs, per-option costs, induced-demand components, DALY monetisation, NMB), see the</w:t>
            </w:r>
            <w:r>
              <w:t xml:space="preserve"> </w:t>
            </w:r>
            <w:hyperlink r:id="rId13">
              <w:r>
                <w:rPr>
                  <w:rStyle w:val="Hyperlink"/>
                  <w:b/>
                  <w:bCs/>
                </w:rPr>
                <w:t xml:space="preserve">Parameters Hub</w:t>
              </w:r>
            </w:hyperlink>
            <w:r>
              <w:t xml:space="preserve">. For the v2 → v3 critical appraisal, see</w:t>
            </w:r>
            <w:r>
              <w:t xml:space="preserve"> </w:t>
            </w:r>
            <w:hyperlink r:id="rId15">
              <w:r>
                <w:rPr>
                  <w:rStyle w:val="VerbatimChar"/>
                </w:rPr>
                <w:t xml:space="preserve">parameter_appraisal.qmd</w:t>
              </w:r>
            </w:hyperlink>
            <w:r>
              <w:t xml:space="preserve">.</w:t>
            </w:r>
          </w:p>
          <w:bookmarkEnd w:id="16"/>
          <w:bookmarkStart w:id="17" w:name="X2ad17f6fd94d6dd4c40b4ff1ca653e26ab54848"/>
          <w:p>
            <w:pPr>
              <w:pStyle w:val="Heading3"/>
            </w:pPr>
            <w:r>
              <w:t xml:space="preserve">Canonical option costs (Detect · Act · Restrict)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Option costs by stage (Detect · Act · Restrict)</w:t>
            </w:r>
          </w:p>
          <w:p>
            <w:pPr>
              <w:spacing w:before="0" w:after="60"/>
              <w:keepNext/>
              <w:jc w:val="start"/>
              <w:pStyle w:val="caption"/>
            </w:pPr>
            <w:r>
              <w:rPr>
                <w:rFonts w:ascii="Calibri" w:hAnsi="Calibri"/>
                <w:sz w:val="20"/>
                <w:color w:val="333333"/>
              </w:rPr>
              <w:t xml:space="default">All values pulled from amua_import_parameters_v3.csv at render time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Option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Cost</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Notes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Detect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 — NHLS→NMC IT feed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R60,000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0.05 FTE analyst + QA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S3a — BChE auto-notify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R55,000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LIS HL7 middleware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 — PIH dashboard / MVD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R82,000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MVD redesign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Surveillance MVP (S1+S3a+S4, operating)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R137,000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R60k + R55k + R42k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Surveillance MVP setup (one-off)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R80,000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S3a HL7 dominates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Act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C1 — NMC closure-of-loop field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R30,000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Schema + EHP training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C2 — Structured DALRRD referral form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 + workflow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C3 — NICD→DALRRD intelligence feed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R40,000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Quarterly brief + alerts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C4 — Clinician auto-feedback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Email templating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C5 — Joint KPI dashboard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R30,000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Public hosting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Coordination Full Package (operating)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R145,000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Σ C1..C5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Restrict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T2 — RUP + audit + formulation restriction (low)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R1.00 million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DALRRD inspectorate, lower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T2 — RUP + audit + formulation restriction (mid)★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R2.00 million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Working 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T2 — RUP + audit + formulation restriction (hi)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R3.00 million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w:t>
                  </w:r>
                </w:p>
              </w:tc>
            </w:tr>
          </w:tbl>
          <w:p/>
        </w:tc>
      </w:tr>
    </w:tbl>
    <w:bookmarkEnd w:id="17"/>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16" w:after="16"/>
            </w:pPr>
            <w:r>
              <w:t xml:space="preserve">Under the hood — models, packages, and formulae</w:t>
            </w:r>
          </w:p>
        </w:tc>
      </w:tr>
      <w:tr>
        <w:trPr>
          <w:cantSplit/>
        </w:trPr>
        <w:tc>
          <w:tcPr>
            <w:tcMar>
              <w:top w:w="108" w:type="dxa"/>
              <w:bottom w:w="108" w:type="dxa"/>
            </w:tcMar>
          </w:tcPr>
          <w:p>
            <w:pPr>
              <w:pStyle w:val="BodyText"/>
            </w:pPr>
            <w:pPr>
              <w:spacing w:before="16"/>
            </w:pPr>
            <w:r>
              <w:rPr>
                <w:b/>
                <w:bCs/>
              </w:rPr>
              <w:t xml:space="preserve">Software stack.</w:t>
            </w:r>
            <w:r>
              <w:t xml:space="preserve"> </w:t>
            </w:r>
            <w:r>
              <w:t xml:space="preserve">This site is built with</w:t>
            </w:r>
            <w:r>
              <w:t xml:space="preserve"> </w:t>
            </w:r>
            <w:r>
              <w:rPr>
                <w:b/>
                <w:bCs/>
              </w:rPr>
              <w:t xml:space="preserve">Quarto v1.x</w:t>
            </w:r>
            <w:r>
              <w:t xml:space="preserve"> </w:t>
            </w:r>
            <w:r>
              <w:t xml:space="preserve">rendering R chunks through</w:t>
            </w:r>
            <w:r>
              <w:t xml:space="preserve"> </w:t>
            </w:r>
            <w:r>
              <w:rPr>
                <w:b/>
                <w:bCs/>
              </w:rPr>
              <w:t xml:space="preserve">R ≥ 4.3</w:t>
            </w:r>
            <w:r>
              <w:t xml:space="preserve"> </w:t>
            </w:r>
            <w:r>
              <w:t xml:space="preserve">and</w:t>
            </w:r>
            <w:r>
              <w:t xml:space="preserve"> </w:t>
            </w:r>
            <w:r>
              <w:rPr>
                <w:b/>
                <w:bCs/>
              </w:rPr>
              <w:t xml:space="preserve">knitr</w:t>
            </w:r>
            <w:r>
              <w:t xml:space="preserve">. Tables use</w:t>
            </w:r>
            <w:r>
              <w:t xml:space="preserve"> </w:t>
            </w:r>
            <w:hyperlink r:id="rId18">
              <w:r>
                <w:rPr>
                  <w:rStyle w:val="Hyperlink"/>
                  <w:b/>
                  <w:bCs/>
                </w:rPr>
                <w:t xml:space="preserve">gt</w:t>
              </w:r>
            </w:hyperlink>
            <w:r>
              <w:t xml:space="preserve">; data wrangling</w:t>
            </w:r>
            <w:r>
              <w:t xml:space="preserve"> </w:t>
            </w:r>
            <w:hyperlink r:id="rId19">
              <w:r>
                <w:rPr>
                  <w:rStyle w:val="Hyperlink"/>
                  <w:b/>
                  <w:bCs/>
                </w:rPr>
                <w:t xml:space="preserve">tidyverse</w:t>
              </w:r>
            </w:hyperlink>
            <w:r>
              <w:t xml:space="preserve"> </w:t>
            </w:r>
            <w:r>
              <w:t xml:space="preserve">(</w:t>
            </w:r>
            <w:r>
              <w:rPr>
                <w:rStyle w:val="VerbatimChar"/>
              </w:rPr>
              <w:t xml:space="preserve">dplyr</w:t>
            </w:r>
            <w:r>
              <w:t xml:space="preserve">,</w:t>
            </w:r>
            <w:r>
              <w:t xml:space="preserve"> </w:t>
            </w:r>
            <w:r>
              <w:rPr>
                <w:rStyle w:val="VerbatimChar"/>
              </w:rPr>
              <w:t xml:space="preserve">readr</w:t>
            </w:r>
            <w:r>
              <w:t xml:space="preserve">,</w:t>
            </w:r>
            <w:r>
              <w:t xml:space="preserve"> </w:t>
            </w:r>
            <w:r>
              <w:rPr>
                <w:rStyle w:val="VerbatimChar"/>
              </w:rPr>
              <w:t xml:space="preserve">tibble</w:t>
            </w:r>
            <w:r>
              <w:t xml:space="preserve">); percentage formatting</w:t>
            </w:r>
            <w:r>
              <w:t xml:space="preserve"> </w:t>
            </w:r>
            <w:hyperlink r:id="rId20">
              <w:r>
                <w:rPr>
                  <w:rStyle w:val="Hyperlink"/>
                  <w:b/>
                  <w:bCs/>
                </w:rPr>
                <w:t xml:space="preserve">scales</w:t>
              </w:r>
            </w:hyperlink>
            <w:r>
              <w:t xml:space="preserve">; diagrams</w:t>
            </w:r>
            <w:r>
              <w:t xml:space="preserve"> </w:t>
            </w:r>
            <w:hyperlink r:id="rId21">
              <w:r>
                <w:rPr>
                  <w:rStyle w:val="Hyperlink"/>
                  <w:b/>
                  <w:bCs/>
                </w:rPr>
                <w:t xml:space="preserve">mermaid</w:t>
              </w:r>
            </w:hyperlink>
            <w:r>
              <w:t xml:space="preserve"> </w:t>
            </w:r>
            <w:r>
              <w:t xml:space="preserve">via Quarto’s built-in diagram filter. The interactive</w:t>
            </w:r>
            <w:r>
              <w:t xml:space="preserve"> </w:t>
            </w:r>
            <w:hyperlink r:id="rId22">
              <w:r>
                <w:rPr>
                  <w:rStyle w:val="Hyperlink"/>
                </w:rPr>
                <w:t xml:space="preserve">Parameter Playground</w:t>
              </w:r>
            </w:hyperlink>
            <w:r>
              <w:t xml:space="preserve"> </w:t>
            </w:r>
            <w:r>
              <w:t xml:space="preserve">layer adds</w:t>
            </w:r>
            <w:r>
              <w:t xml:space="preserve"> </w:t>
            </w:r>
            <w:hyperlink r:id="rId23">
              <w:r>
                <w:rPr>
                  <w:rStyle w:val="Hyperlink"/>
                  <w:b/>
                  <w:bCs/>
                </w:rPr>
                <w:t xml:space="preserve">Observable JS</w:t>
              </w:r>
            </w:hyperlink>
            <w:r>
              <w:t xml:space="preserve"> </w:t>
            </w:r>
            <w:r>
              <w:t xml:space="preserve">via Quarto OJS.</w:t>
            </w:r>
          </w:p>
          <w:p>
            <w:pPr>
              <w:pStyle w:val="BodyText"/>
            </w:pPr>
            <w:r>
              <w:rPr>
                <w:b/>
                <w:bCs/>
              </w:rPr>
              <w:t xml:space="preserve">Canonical parameter file.</w:t>
            </w:r>
            <w:r>
              <w:t xml:space="preserve"> </w:t>
            </w:r>
            <w:r>
              <w:t xml:space="preserve">All numerical values in every brief, the one-pager, and the playground resolve through</w:t>
            </w:r>
            <w:r>
              <w:t xml:space="preserve"> </w:t>
            </w:r>
            <w:r>
              <w:rPr>
                <w:rStyle w:val="VerbatimChar"/>
              </w:rPr>
              <w:t xml:space="preserve">pick(name)</w:t>
            </w:r>
            <w:r>
              <w:t xml:space="preserve"> </w:t>
            </w:r>
            <w:r>
              <w:t xml:space="preserve">→</w:t>
            </w:r>
            <w:r>
              <w:t xml:space="preserve"> </w:t>
            </w:r>
            <w:r>
              <w:rPr>
                <w:rStyle w:val="VerbatimChar"/>
              </w:rPr>
              <w:t xml:space="preserve">readr::read_csv("../amua_import_parameters_v3.csv")</w:t>
            </w:r>
            <w:r>
              <w:t xml:space="preserve"> </w:t>
            </w:r>
            <w:r>
              <w:t xml:space="preserve">→ string lookup →</w:t>
            </w:r>
            <w:r>
              <w:t xml:space="preserve"> </w:t>
            </w:r>
            <w:r>
              <w:rPr>
                <w:rStyle w:val="VerbatimChar"/>
              </w:rPr>
              <w:t xml:space="preserve">as.numeric()</w:t>
            </w:r>
            <w:r>
              <w:t xml:space="preserve"> </w:t>
            </w:r>
            <w:r>
              <w:t xml:space="preserve">→</w:t>
            </w:r>
            <w:r>
              <w:t xml:space="preserve"> </w:t>
            </w:r>
            <w:r>
              <w:rPr>
                <w:rStyle w:val="VerbatimChar"/>
              </w:rPr>
              <w:t xml:space="preserve">zar()</w:t>
            </w:r>
            <w:r>
              <w:t xml:space="preserve"> </w:t>
            </w:r>
            <w:r>
              <w:t xml:space="preserve">formatter.</w:t>
            </w:r>
            <w:r>
              <w:t xml:space="preserve"> </w:t>
            </w:r>
            <w:r>
              <w:rPr>
                <w:b/>
                <w:bCs/>
              </w:rPr>
              <w:t xml:space="preserve">No rand value in any brief is a literal in prose</w:t>
            </w:r>
            <w:r>
              <w:t xml:space="preserve"> </w:t>
            </w:r>
            <w:r>
              <w:t xml:space="preserve">(except where prose paraphrases a CSV-sourced value). The audit chain is: CSV row →</w:t>
            </w:r>
            <w:r>
              <w:t xml:space="preserve"> </w:t>
            </w:r>
            <w:r>
              <w:rPr>
                <w:rStyle w:val="VerbatimChar"/>
              </w:rPr>
              <w:t xml:space="preserve">_shared_parameters.qmd</w:t>
            </w:r>
            <w:r>
              <w:t xml:space="preserve"> </w:t>
            </w:r>
            <w:r>
              <w:rPr>
                <w:rStyle w:val="VerbatimChar"/>
              </w:rPr>
              <w:t xml:space="preserve">pick()</w:t>
            </w:r>
            <w:r>
              <w:t xml:space="preserve"> </w:t>
            </w:r>
            <w:r>
              <w:t xml:space="preserve">call → rendered</w:t>
            </w:r>
            <w:r>
              <w:t xml:space="preserve"> </w:t>
            </w:r>
            <w:r>
              <w:rPr>
                <w:rStyle w:val="VerbatimChar"/>
              </w:rPr>
              <w:t xml:space="preserve">gt</w:t>
            </w:r>
            <w:r>
              <w:t xml:space="preserve"> </w:t>
            </w:r>
            <w:r>
              <w:t xml:space="preserve">cell.</w:t>
            </w:r>
          </w:p>
          <w:p>
            <w:pPr>
              <w:pStyle w:val="BodyText"/>
            </w:pPr>
            <w:r>
              <w:rPr>
                <w:b/>
                <w:bCs/>
              </w:rPr>
              <w:t xml:space="preserve">Burden model (closed-form, deterministic).</w:t>
            </w:r>
          </w:p>
          <w:p>
            <w:pPr>
              <w:pStyle w:val="BodyText"/>
            </w:pPr>
            <m:oMathPara>
              <m:oMathParaPr>
                <m:jc m:val="center"/>
              </m:oMathParaPr>
              <m:oMath>
                <m:sSub>
                  <m:e>
                    <m:r>
                      <m:t>C</m:t>
                    </m:r>
                  </m:e>
                  <m:sub>
                    <m:r>
                      <m:rPr>
                        <m:nor/>
                        <m:sty m:val="p"/>
                      </m:rPr>
                      <m:t>burden</m:t>
                    </m:r>
                  </m:sub>
                </m:sSub>
                <m:r>
                  <m:t> </m:t>
                </m:r>
                <m:r>
                  <m:rPr>
                    <m:sty m:val="p"/>
                  </m:rPr>
                  <m:t>=</m:t>
                </m:r>
                <m:r>
                  <m:t> </m:t>
                </m:r>
                <m:limLow>
                  <m:e>
                    <m:limLow>
                      <m:e>
                        <m:nary>
                          <m:naryPr>
                            <m:chr m:val="∑"/>
                            <m:limLoc m:val="undOvr"/>
                            <m:subHide m:val="off"/>
                            <m:supHide m:val="on"/>
                          </m:naryPr>
                          <m:sub>
                            <m:r>
                              <m:t>s</m:t>
                            </m:r>
                            <m:r>
                              <m:rPr>
                                <m:sty m:val="p"/>
                              </m:rPr>
                              <m:t>∈</m:t>
                            </m:r>
                            <m:r>
                              <m:rPr>
                                <m:sty m:val="p"/>
                              </m:rPr>
                              <m:t>{</m:t>
                            </m:r>
                            <m:r>
                              <m:rPr>
                                <m:nor/>
                                <m:sty m:val="p"/>
                              </m:rPr>
                              <m:t>PIH</m:t>
                            </m:r>
                            <m:r>
                              <m:rPr>
                                <m:sty m:val="p"/>
                              </m:rPr>
                              <m:t>,</m:t>
                            </m:r>
                            <m:r>
                              <m:rPr>
                                <m:nor/>
                                <m:sty m:val="p"/>
                              </m:rPr>
                              <m:t>NHLS</m:t>
                            </m:r>
                            <m:r>
                              <m:rPr>
                                <m:sty m:val="p"/>
                              </m:rPr>
                              <m:t>,</m:t>
                            </m:r>
                            <m:r>
                              <m:rPr>
                                <m:nor/>
                                <m:sty m:val="p"/>
                              </m:rPr>
                              <m:t>NMC</m:t>
                            </m:r>
                            <m:r>
                              <m:rPr>
                                <m:sty m:val="p"/>
                              </m:rPr>
                              <m:t>}</m:t>
                            </m:r>
                          </m:sub>
                          <m:sup>
                            <m:r>
                              <m:t>​</m:t>
                            </m:r>
                          </m:sup>
                          <m:e>
                            <m:sSub>
                              <m:e>
                                <m:r>
                                  <m:t>n</m:t>
                                </m:r>
                              </m:e>
                              <m:sub>
                                <m:r>
                                  <m:t>s</m:t>
                                </m:r>
                              </m:sub>
                            </m:sSub>
                          </m:e>
                        </m:nary>
                        <m:r>
                          <m:rPr>
                            <m:sty m:val="p"/>
                          </m:rPr>
                          <m:t>⋅</m:t>
                        </m:r>
                        <m:sSubSup>
                          <m:e>
                            <m:r>
                              <m:t>c</m:t>
                            </m:r>
                          </m:e>
                          <m:sub>
                            <m:r>
                              <m:t>s</m:t>
                            </m:r>
                          </m:sub>
                          <m:sup>
                            <m:r>
                              <m:rPr>
                                <m:nor/>
                                <m:sty m:val="p"/>
                              </m:rPr>
                              <m:t>morb</m:t>
                            </m:r>
                          </m:sup>
                        </m:sSubSup>
                      </m:e>
                      <m:lim>
                        <m:r>
                          <m:rPr>
                            <m:sty m:val="p"/>
                          </m:rPr>
                          <m:t>⏟</m:t>
                        </m:r>
                      </m:lim>
                    </m:limLow>
                  </m:e>
                  <m:lim>
                    <m:r>
                      <m:rPr>
                        <m:nor/>
                        <m:sty m:val="p"/>
                      </m:rPr>
                      <m:t>morbidity</m:t>
                    </m:r>
                  </m:lim>
                </m:limLow>
                <m:r>
                  <m:t> </m:t>
                </m:r>
                <m:r>
                  <m:rPr>
                    <m:sty m:val="p"/>
                  </m:rPr>
                  <m:t>+</m:t>
                </m:r>
                <m:r>
                  <m:t> </m:t>
                </m:r>
                <m:limLow>
                  <m:e>
                    <m:limLow>
                      <m:e>
                        <m:sSub>
                          <m:e>
                            <m:r>
                              <m:t>n</m:t>
                            </m:r>
                          </m:e>
                          <m:sub>
                            <m:r>
                              <m:rPr>
                                <m:nor/>
                                <m:sty m:val="p"/>
                              </m:rPr>
                              <m:t>deaths</m:t>
                            </m:r>
                          </m:sub>
                        </m:sSub>
                        <m:r>
                          <m:rPr>
                            <m:sty m:val="p"/>
                          </m:rPr>
                          <m:t>⋅</m:t>
                        </m:r>
                        <m:sSubSup>
                          <m:e>
                            <m:r>
                              <m:t>c</m:t>
                            </m:r>
                          </m:e>
                          <m:sub>
                            <m:r>
                              <m:rPr>
                                <m:nor/>
                                <m:sty m:val="p"/>
                              </m:rPr>
                              <m:t>HC</m:t>
                            </m:r>
                          </m:sub>
                          <m:sup>
                            <m:r>
                              <m:rPr>
                                <m:nor/>
                                <m:sty m:val="p"/>
                              </m:rPr>
                              <m:t>mort</m:t>
                            </m:r>
                          </m:sup>
                        </m:sSubSup>
                      </m:e>
                      <m:lim>
                        <m:r>
                          <m:rPr>
                            <m:sty m:val="p"/>
                          </m:rPr>
                          <m:t>⏟</m:t>
                        </m:r>
                      </m:lim>
                    </m:limLow>
                  </m:e>
                  <m:lim>
                    <m:r>
                      <m:rPr>
                        <m:nor/>
                        <m:sty m:val="p"/>
                      </m:rPr>
                      <m:t>mortality (human-capital)</m:t>
                    </m:r>
                  </m:lim>
                </m:limLow>
              </m:oMath>
            </m:oMathPara>
          </w:p>
          <w:p>
            <w:pPr>
              <w:pStyle w:val="FirstParagraph"/>
            </w:pPr>
            <w:r>
              <w:t xml:space="preserve">where</w:t>
            </w:r>
            <w:r>
              <w:t xml:space="preserve"> </w:t>
            </w:r>
            <m:oMath>
              <m:sSub>
                <m:e>
                  <m:r>
                    <m:t>n</m:t>
                  </m:r>
                </m:e>
                <m:sub>
                  <m:r>
                    <m:t>s</m:t>
                  </m:r>
                </m:sub>
              </m:sSub>
            </m:oMath>
            <w:r>
              <w:t xml:space="preserve"> </w:t>
            </w:r>
            <w:r>
              <w:t xml:space="preserve">= stream counts (rows</w:t>
            </w:r>
            <w:r>
              <w:t xml:space="preserve"> </w:t>
            </w:r>
            <w:r>
              <w:rPr>
                <w:rStyle w:val="VerbatimChar"/>
              </w:rPr>
              <w:t xml:space="preserve">n_pih_annual</w:t>
            </w:r>
            <w:r>
              <w:t xml:space="preserve">,</w:t>
            </w:r>
            <w:r>
              <w:t xml:space="preserve"> </w:t>
            </w:r>
            <w:r>
              <w:rPr>
                <w:rStyle w:val="VerbatimChar"/>
              </w:rPr>
              <w:t xml:space="preserve">n_nhls_severe_annual</w:t>
            </w:r>
            <w:r>
              <w:t xml:space="preserve">,</w:t>
            </w:r>
            <w:r>
              <w:t xml:space="preserve"> </w:t>
            </w:r>
            <w:r>
              <w:rPr>
                <w:rStyle w:val="VerbatimChar"/>
              </w:rPr>
              <w:t xml:space="preserve">n_nmc_annual</w:t>
            </w:r>
            <w:r>
              <w:t xml:space="preserve">),</w:t>
            </w:r>
            <w:r>
              <w:t xml:space="preserve"> </w:t>
            </w:r>
            <m:oMath>
              <m:sSubSup>
                <m:e>
                  <m:r>
                    <m:t>c</m:t>
                  </m:r>
                </m:e>
                <m:sub>
                  <m:r>
                    <m:t>s</m:t>
                  </m:r>
                </m:sub>
                <m:sup>
                  <m:r>
                    <m:rPr>
                      <m:nor/>
                      <m:sty m:val="p"/>
                    </m:rPr>
                    <m:t>morb</m:t>
                  </m:r>
                </m:sup>
              </m:sSubSup>
            </m:oMath>
            <w:r>
              <w:t xml:space="preserve"> </w:t>
            </w:r>
            <w:r>
              <w:t xml:space="preserve">= stratum-specific per-case morbidity costs (rows</w:t>
            </w:r>
            <w:r>
              <w:t xml:space="preserve"> </w:t>
            </w:r>
            <w:r>
              <w:rPr>
                <w:rStyle w:val="VerbatimChar"/>
              </w:rPr>
              <w:t xml:space="preserve">c_morbidity_*</w:t>
            </w:r>
            <w:r>
              <w:t xml:space="preserve">),</w:t>
            </w:r>
            <w:r>
              <w:t xml:space="preserve"> </w:t>
            </w:r>
            <m:oMath>
              <m:sSub>
                <m:e>
                  <m:r>
                    <m:t>n</m:t>
                  </m:r>
                </m:e>
                <m:sub>
                  <m:r>
                    <m:rPr>
                      <m:nor/>
                      <m:sty m:val="p"/>
                    </m:rPr>
                    <m:t>deaths</m:t>
                  </m:r>
                </m:sub>
              </m:sSub>
              <m:r>
                <m:rPr>
                  <m:sty m:val="p"/>
                </m:rPr>
                <m:t>=</m:t>
              </m:r>
              <m:r>
                <m:t>1</m:t>
              </m:r>
              <m:r>
                <m:rPr>
                  <m:sty m:val="p"/>
                </m:rPr>
                <m:t>,</m:t>
              </m:r>
              <m:r>
                <m:t>014</m:t>
              </m:r>
            </m:oMath>
            <w:r>
              <w:t xml:space="preserve"> </w:t>
            </w:r>
            <w:r>
              <w:t xml:space="preserve">(</w:t>
            </w:r>
            <w:r>
              <w:rPr>
                <w:rStyle w:val="VerbatimChar"/>
              </w:rPr>
              <w:t xml:space="preserve">n_deaths_statssa_macod</w:t>
            </w:r>
            <w:r>
              <w:t xml:space="preserve"> </w:t>
            </w:r>
            <w:r>
              <w:t xml:space="preserve">—</w:t>
            </w:r>
            <w:r>
              <w:t xml:space="preserve"> </w:t>
            </w:r>
            <w:r>
              <w:rPr>
                <w:b/>
                <w:bCs/>
              </w:rPr>
              <w:t xml:space="preserve">StatsSA MACOD 2022, pesticide-specific UCOD codes (X48+X68+X87+Y18), is the canonical truth source for deaths and is updated as new StatsSA releases land</w:t>
            </w:r>
            <w:r>
              <w:t xml:space="preserve">;</w:t>
            </w:r>
            <w:r>
              <w:t xml:space="preserve"> </w:t>
            </w:r>
            <w:r>
              <w:rPr>
                <w:rStyle w:val="VerbatimChar"/>
              </w:rPr>
              <w:t xml:space="preserve">n_deaths_headline</w:t>
            </w:r>
            <w:r>
              <w:t xml:space="preserve"> </w:t>
            </w:r>
            <w:r>
              <w:t xml:space="preserve">mirrors it), $c^{</w:t>
            </w:r>
            <w:r>
              <w:t xml:space="preserve">}_{</w:t>
            </w:r>
            <w:r>
              <w:t xml:space="preserve">} = $ 25 productive years × R60k median income, undiscounted (</w:t>
            </w:r>
            <w:r>
              <w:rPr>
                <w:rStyle w:val="VerbatimChar"/>
              </w:rPr>
              <w:t xml:space="preserve">c_mortality_human_capital</w:t>
            </w:r>
            <w:r>
              <w:t xml:space="preserve">). Stratified-CFR alternative (</w:t>
            </w:r>
            <w:r>
              <w:rPr>
                <w:rStyle w:val="VerbatimChar"/>
              </w:rPr>
              <w:t xml:space="preserve">C_burden_total_conservative</w:t>
            </w:r>
            <w:r>
              <w:t xml:space="preserve"> </w:t>
            </w:r>
            <w:r>
              <w:t xml:space="preserve">≈ R1.34B) is supplied as a sensitivity.</w:t>
            </w:r>
          </w:p>
          <w:p>
            <w:pPr>
              <w:pStyle w:val="BodyText"/>
            </w:pPr>
            <w:r>
              <w:rPr>
                <w:b/>
                <w:bCs/>
              </w:rPr>
              <w:t xml:space="preserve">Coordination decision tree (closed-form joint probability).</w:t>
            </w:r>
          </w:p>
          <w:p>
            <w:pPr>
              <w:pStyle w:val="BodyText"/>
            </w:pPr>
            <m:oMathPara>
              <m:oMathParaPr>
                <m:jc m:val="center"/>
              </m:oMathParaPr>
              <m:oMath>
                <m:r>
                  <m:t>P</m:t>
                </m:r>
                <m:r>
                  <m:rPr>
                    <m:sty m:val="p"/>
                  </m:rPr>
                  <m:t>(</m:t>
                </m:r>
                <m:r>
                  <m:rPr>
                    <m:nor/>
                    <m:sty m:val="p"/>
                  </m:rPr>
                  <m:t>loop closed</m:t>
                </m:r>
                <m:r>
                  <m:rPr>
                    <m:sty m:val="p"/>
                  </m:rPr>
                  <m:t>)</m:t>
                </m:r>
                <m:r>
                  <m:t> </m:t>
                </m:r>
                <m:r>
                  <m:rPr>
                    <m:sty m:val="p"/>
                  </m:rPr>
                  <m:t>=</m:t>
                </m:r>
                <m:r>
                  <m:t> </m:t>
                </m:r>
                <m:nary>
                  <m:naryPr>
                    <m:chr m:val="∏"/>
                    <m:limLoc m:val="undOvr"/>
                    <m:subHide m:val="off"/>
                    <m:supHide m:val="off"/>
                  </m:naryPr>
                  <m:sub>
                    <m:r>
                      <m:t>i</m:t>
                    </m:r>
                    <m:r>
                      <m:rPr>
                        <m:sty m:val="p"/>
                      </m:rPr>
                      <m:t>=</m:t>
                    </m:r>
                    <m:r>
                      <m:t>1</m:t>
                    </m:r>
                  </m:sub>
                  <m:sup>
                    <m:r>
                      <m:t>8</m:t>
                    </m:r>
                  </m:sup>
                  <m:e>
                    <m:sSub>
                      <m:e>
                        <m:r>
                          <m:t>p</m:t>
                        </m:r>
                      </m:e>
                      <m:sub>
                        <m:r>
                          <m:t>i</m:t>
                        </m:r>
                      </m:sub>
                    </m:sSub>
                  </m:e>
                </m:nary>
              </m:oMath>
            </m:oMathPara>
          </w:p>
          <w:p>
            <w:pPr>
              <w:pStyle w:val="FirstParagraph"/>
            </w:pPr>
            <w:r>
              <w:t xml:space="preserve">over eight sequential nodes (notify → SMS → investigate → record → refer → DALRRD acts → feedback → feedback to clinician). Status-quo joint product ≈ 1.1 % (</w:t>
            </w:r>
            <w:r>
              <w:rPr>
                <w:rStyle w:val="VerbatimChar"/>
              </w:rPr>
              <w:t xml:space="preserve">p_loop_closed_status_quo</w:t>
            </w:r>
            <w:r>
              <w:t xml:space="preserve">); Full Package ≈ 70 % (</w:t>
            </w:r>
            <w:r>
              <w:rPr>
                <w:rStyle w:val="VerbatimChar"/>
              </w:rPr>
              <w:t xml:space="preserve">p_loop_closed_FP</w:t>
            </w:r>
            <w:r>
              <w:t xml:space="preserve">). Deaths averted =</w:t>
            </w:r>
            <w:r>
              <w:t xml:space="preserve"> </w:t>
            </w:r>
            <m:oMath>
              <m:r>
                <m:rPr>
                  <m:sty m:val="p"/>
                </m:rPr>
                <m:t>Δ</m:t>
              </m:r>
              <m:r>
                <m:t>P</m:t>
              </m:r>
              <m:r>
                <m:rPr>
                  <m:sty m:val="p"/>
                </m:rPr>
                <m:t>×</m:t>
              </m:r>
              <m:r>
                <m:t>η</m:t>
              </m:r>
              <m:r>
                <m:rPr>
                  <m:sty m:val="p"/>
                </m:rPr>
                <m:t>×</m:t>
              </m:r>
              <m:sSub>
                <m:e>
                  <m:r>
                    <m:t>n</m:t>
                  </m:r>
                </m:e>
                <m:sub>
                  <m:r>
                    <m:rPr>
                      <m:nor/>
                      <m:sty m:val="p"/>
                    </m:rPr>
                    <m:t>burden</m:t>
                  </m:r>
                </m:sub>
              </m:sSub>
              <m:r>
                <m:rPr>
                  <m:sty m:val="p"/>
                </m:rPr>
                <m:t>×</m:t>
              </m:r>
              <m:sSub>
                <m:e>
                  <m:r>
                    <m:t>p</m:t>
                  </m:r>
                </m:e>
                <m:sub>
                  <m:r>
                    <m:rPr>
                      <m:nor/>
                      <m:sty m:val="p"/>
                    </m:rPr>
                    <m:t>death</m:t>
                  </m:r>
                </m:sub>
              </m:sSub>
            </m:oMath>
            <w:r>
              <w:t xml:space="preserve">, with</w:t>
            </w:r>
            <w:r>
              <w:t xml:space="preserve"> </w:t>
            </w:r>
            <m:oMath>
              <m:r>
                <m:t>η</m:t>
              </m:r>
            </m:oMath>
            <w:r>
              <w:t xml:space="preserve"> </w:t>
            </w:r>
            <w:r>
              <w:t xml:space="preserve">from</w:t>
            </w:r>
            <w:r>
              <w:t xml:space="preserve"> </w:t>
            </w:r>
            <w:r>
              <w:rPr>
                <w:rStyle w:val="VerbatimChar"/>
              </w:rPr>
              <w:t xml:space="preserve">eta_response_mid</w:t>
            </w:r>
            <w:r>
              <w:t xml:space="preserve"> </w:t>
            </w:r>
            <w:r>
              <w:t xml:space="preserve">= 0.30 and</w:t>
            </w:r>
            <w:r>
              <w:t xml:space="preserve"> </w:t>
            </w:r>
            <m:oMath>
              <m:sSub>
                <m:e>
                  <m:r>
                    <m:t>p</m:t>
                  </m:r>
                </m:e>
                <m:sub>
                  <m:r>
                    <m:rPr>
                      <m:nor/>
                      <m:sty m:val="p"/>
                    </m:rPr>
                    <m:t>death</m:t>
                  </m:r>
                </m:sub>
              </m:sSub>
            </m:oMath>
            <w:r>
              <w:t xml:space="preserve"> </w:t>
            </w:r>
            <w:r>
              <w:t xml:space="preserve">from</w:t>
            </w:r>
            <w:r>
              <w:t xml:space="preserve"> </w:t>
            </w:r>
            <w:r>
              <w:rPr>
                <w:rStyle w:val="VerbatimChar"/>
              </w:rPr>
              <w:t xml:space="preserve">cfr_headline_mid</w:t>
            </w:r>
            <w:r>
              <w:t xml:space="preserve"> </w:t>
            </w:r>
            <w:r>
              <w:t xml:space="preserve">= 0.125.</w:t>
            </w:r>
          </w:p>
          <w:p>
            <w:pPr>
              <w:pStyle w:val="BodyText"/>
            </w:pPr>
            <w:r>
              <w:rPr>
                <w:b/>
                <w:bCs/>
              </w:rPr>
              <w:t xml:space="preserve">Terbufos bracketed estimate.</w:t>
            </w:r>
          </w:p>
          <w:p>
            <w:pPr>
              <w:pStyle w:val="BodyText"/>
            </w:pPr>
            <m:oMathPara>
              <m:oMathParaPr>
                <m:jc m:val="center"/>
              </m:oMathParaPr>
              <m:oMath>
                <m:sSub>
                  <m:e>
                    <m:r>
                      <m:rPr>
                        <m:nor/>
                        <m:sty m:val="p"/>
                      </m:rPr>
                      <m:t>Deaths averted</m:t>
                    </m:r>
                  </m:e>
                  <m:sub>
                    <m:r>
                      <m:t>T</m:t>
                    </m:r>
                    <m:r>
                      <m:t>3</m:t>
                    </m:r>
                  </m:sub>
                </m:sSub>
                <m:r>
                  <m:t> </m:t>
                </m:r>
                <m:r>
                  <m:rPr>
                    <m:sty m:val="p"/>
                  </m:rPr>
                  <m:t>=</m:t>
                </m:r>
                <m:r>
                  <m:t> </m:t>
                </m:r>
                <m:sSub>
                  <m:e>
                    <m:r>
                      <m:t>f</m:t>
                    </m:r>
                  </m:e>
                  <m:sub>
                    <m:r>
                      <m:rPr>
                        <m:nor/>
                        <m:sty m:val="p"/>
                      </m:rPr>
                      <m:t>attr</m:t>
                    </m:r>
                  </m:sub>
                </m:sSub>
                <m:r>
                  <m:rPr>
                    <m:sty m:val="p"/>
                  </m:rPr>
                  <m:t>⋅</m:t>
                </m:r>
                <m:sSub>
                  <m:e>
                    <m:r>
                      <m:t>ϕ</m:t>
                    </m:r>
                  </m:e>
                  <m:sub>
                    <m:r>
                      <m:rPr>
                        <m:nor/>
                        <m:sty m:val="p"/>
                      </m:rPr>
                      <m:t>retired</m:t>
                    </m:r>
                  </m:sub>
                </m:sSub>
                <m:r>
                  <m:rPr>
                    <m:sty m:val="p"/>
                  </m:rPr>
                  <m:t>⋅</m:t>
                </m:r>
                <m:sSub>
                  <m:e>
                    <m:r>
                      <m:t>n</m:t>
                    </m:r>
                  </m:e>
                  <m:sub>
                    <m:r>
                      <m:rPr>
                        <m:nor/>
                        <m:sty m:val="p"/>
                      </m:rPr>
                      <m:t>deaths</m:t>
                    </m:r>
                  </m:sub>
                </m:sSub>
              </m:oMath>
            </m:oMathPara>
          </w:p>
          <w:p>
            <w:pPr>
              <w:pStyle w:val="FirstParagraph"/>
            </w:pPr>
            <w:r>
              <w:t xml:space="preserve">with</w:t>
            </w:r>
            <w:r>
              <w:t xml:space="preserve"> </w:t>
            </w:r>
            <m:oMath>
              <m:sSub>
                <m:e>
                  <m:r>
                    <m:t>f</m:t>
                  </m:r>
                </m:e>
                <m:sub>
                  <m:r>
                    <m:rPr>
                      <m:nor/>
                      <m:sty m:val="p"/>
                    </m:rPr>
                    <m:t>attr</m:t>
                  </m:r>
                </m:sub>
              </m:sSub>
              <m:r>
                <m:rPr>
                  <m:sty m:val="p"/>
                </m:rPr>
                <m:t>∈</m:t>
              </m:r>
              <m:r>
                <m:rPr>
                  <m:sty m:val="p"/>
                </m:rPr>
                <m:t>[</m:t>
              </m:r>
              <m:r>
                <m:t>0.20</m:t>
              </m:r>
              <m:r>
                <m:rPr>
                  <m:sty m:val="p"/>
                </m:rPr>
                <m:t>,</m:t>
              </m:r>
              <m:r>
                <m:t>0.35</m:t>
              </m:r>
              <m:r>
                <m:rPr>
                  <m:sty m:val="p"/>
                </m:rPr>
                <m:t>]</m:t>
              </m:r>
            </m:oMath>
            <w:r>
              <w:t xml:space="preserve"> </w:t>
            </w:r>
            <w:r>
              <w:t xml:space="preserve">(</w:t>
            </w:r>
            <w:r>
              <w:rPr>
                <w:rStyle w:val="VerbatimChar"/>
              </w:rPr>
              <w:t xml:space="preserve">frac_terbufos_attributable_{lo,mid,hi}</w:t>
            </w:r>
            <w:r>
              <w:t xml:space="preserve">, anchored to Sri Lanka Class Ia withdrawal natural experiments, Gunnell et al. </w:t>
            </w:r>
            <w:r>
              <w:rPr>
                <w:i/>
                <w:iCs/>
              </w:rPr>
              <w:t xml:space="preserve">Lancet Glob Health</w:t>
            </w:r>
            <w:r>
              <w:t xml:space="preserve"> </w:t>
            </w:r>
            <w:r>
              <w:t xml:space="preserve">2017) and</w:t>
            </w:r>
            <w:r>
              <w:t xml:space="preserve"> </w:t>
            </w:r>
            <m:oMath>
              <m:sSub>
                <m:e>
                  <m:r>
                    <m:t>ϕ</m:t>
                  </m:r>
                </m:e>
                <m:sub>
                  <m:r>
                    <m:rPr>
                      <m:nor/>
                      <m:sty m:val="p"/>
                    </m:rPr>
                    <m:t>retired</m:t>
                  </m:r>
                </m:sub>
              </m:sSub>
              <m:r>
                <m:rPr>
                  <m:sty m:val="p"/>
                </m:rPr>
                <m:t>∈</m:t>
              </m:r>
              <m:r>
                <m:rPr>
                  <m:sty m:val="p"/>
                </m:rPr>
                <m:t>[</m:t>
              </m:r>
              <m:r>
                <m:t>0.60</m:t>
              </m:r>
              <m:r>
                <m:rPr>
                  <m:sty m:val="p"/>
                </m:rPr>
                <m:t>,</m:t>
              </m:r>
              <m:r>
                <m:t>0.80</m:t>
              </m:r>
              <m:r>
                <m:rPr>
                  <m:sty m:val="p"/>
                </m:rPr>
                <m:t>]</m:t>
              </m:r>
            </m:oMath>
            <w:r>
              <w:t xml:space="preserve"> </w:t>
            </w:r>
            <w:r>
              <w:t xml:space="preserve">(Sri Lanka substitution-incompleteness). Bracket: 200–400 deaths/yr (</w:t>
            </w:r>
            <w:r>
              <w:rPr>
                <w:rStyle w:val="VerbatimChar"/>
              </w:rPr>
              <w:t xml:space="preserve">n_deaths_averted_T3_{lo,hi}</w:t>
            </w:r>
            <w:r>
              <w:t xml:space="preserve">).</w:t>
            </w:r>
          </w:p>
          <w:p>
            <w:pPr>
              <w:pStyle w:val="BodyText"/>
            </w:pPr>
            <w:r>
              <w:rPr>
                <w:b/>
                <w:bCs/>
              </w:rPr>
              <w:t xml:space="preserve">Surveillance detection model.</w:t>
            </w:r>
          </w:p>
          <w:p>
            <w:pPr>
              <w:pStyle w:val="BodyText"/>
            </w:pPr>
            <m:oMathPara>
              <m:oMathParaPr>
                <m:jc m:val="center"/>
              </m:oMathParaPr>
              <m:oMath>
                <m:r>
                  <m:rPr>
                    <m:nor/>
                    <m:sty m:val="p"/>
                  </m:rPr>
                  <m:t>Cases averted</m:t>
                </m:r>
                <m:r>
                  <m:t> </m:t>
                </m:r>
                <m:r>
                  <m:rPr>
                    <m:sty m:val="p"/>
                  </m:rPr>
                  <m:t>=</m:t>
                </m:r>
                <m:r>
                  <m:t> </m:t>
                </m:r>
                <m:r>
                  <m:rPr>
                    <m:sty m:val="p"/>
                  </m:rPr>
                  <m:t>(</m:t>
                </m:r>
                <m:sSub>
                  <m:e>
                    <m:r>
                      <m:t>P</m:t>
                    </m:r>
                  </m:e>
                  <m:sub>
                    <m:r>
                      <m:rPr>
                        <m:nor/>
                        <m:sty m:val="p"/>
                      </m:rPr>
                      <m:t>detect</m:t>
                    </m:r>
                  </m:sub>
                </m:sSub>
                <m:r>
                  <m:rPr>
                    <m:sty m:val="p"/>
                  </m:rPr>
                  <m:t>−</m:t>
                </m:r>
                <m:sSubSup>
                  <m:e>
                    <m:r>
                      <m:t>P</m:t>
                    </m:r>
                  </m:e>
                  <m:sub>
                    <m:r>
                      <m:rPr>
                        <m:nor/>
                        <m:sty m:val="p"/>
                      </m:rPr>
                      <m:t>detect</m:t>
                    </m:r>
                  </m:sub>
                  <m:sup>
                    <m:r>
                      <m:rPr>
                        <m:nor/>
                        <m:sty m:val="p"/>
                      </m:rPr>
                      <m:t>SQ</m:t>
                    </m:r>
                  </m:sup>
                </m:sSubSup>
                <m:r>
                  <m:rPr>
                    <m:sty m:val="p"/>
                  </m:rPr>
                  <m:t>)</m:t>
                </m:r>
                <m:r>
                  <m:rPr>
                    <m:sty m:val="p"/>
                  </m:rPr>
                  <m:t>⋅</m:t>
                </m:r>
                <m:r>
                  <m:t>η</m:t>
                </m:r>
                <m:r>
                  <m:rPr>
                    <m:sty m:val="p"/>
                  </m:rPr>
                  <m:t>⋅</m:t>
                </m:r>
                <m:sSub>
                  <m:e>
                    <m:r>
                      <m:t>n</m:t>
                    </m:r>
                  </m:e>
                  <m:sub>
                    <m:r>
                      <m:rPr>
                        <m:nor/>
                        <m:sty m:val="p"/>
                      </m:rPr>
                      <m:t>burden</m:t>
                    </m:r>
                  </m:sub>
                </m:sSub>
              </m:oMath>
            </m:oMathPara>
          </w:p>
          <w:p>
            <w:pPr>
              <w:pStyle w:val="FirstParagraph"/>
            </w:pPr>
            <w:r>
              <w:t xml:space="preserve">with</w:t>
            </w:r>
            <w:r>
              <w:t xml:space="preserve"> </w:t>
            </w:r>
            <m:oMath>
              <m:sSub>
                <m:e>
                  <m:r>
                    <m:t>P</m:t>
                  </m:r>
                </m:e>
                <m:sub>
                  <m:r>
                    <m:rPr>
                      <m:nor/>
                      <m:sty m:val="p"/>
                    </m:rPr>
                    <m:t>detect</m:t>
                  </m:r>
                </m:sub>
              </m:sSub>
            </m:oMath>
            <w:r>
              <w:t xml:space="preserve"> </w:t>
            </w:r>
            <w:r>
              <w:t xml:space="preserve">pulled from</w:t>
            </w:r>
            <w:r>
              <w:t xml:space="preserve"> </w:t>
            </w:r>
            <w:r>
              <w:rPr>
                <w:rStyle w:val="VerbatimChar"/>
              </w:rPr>
              <w:t xml:space="preserve">d_status_quo</w:t>
            </w:r>
            <w:r>
              <w:t xml:space="preserve">,</w:t>
            </w:r>
            <w:r>
              <w:t xml:space="preserve"> </w:t>
            </w:r>
            <w:r>
              <w:rPr>
                <w:rStyle w:val="VerbatimChar"/>
              </w:rPr>
              <w:t xml:space="preserve">d_option1_NHLS_MOU</w:t>
            </w:r>
            <w:r>
              <w:t xml:space="preserve">, …,</w:t>
            </w:r>
            <w:r>
              <w:t xml:space="preserve"> </w:t>
            </w:r>
            <w:r>
              <w:rPr>
                <w:rStyle w:val="VerbatimChar"/>
              </w:rPr>
              <w:t xml:space="preserve">d_full_package</w:t>
            </w:r>
            <w:r>
              <w:t xml:space="preserve"> </w:t>
            </w:r>
            <w:r>
              <w:t xml:space="preserve">(expert elicitation, beta priors). Cost-effectiveness uses</w:t>
            </w:r>
            <w:r>
              <w:t xml:space="preserve"> </w:t>
            </w:r>
            <w:r>
              <w:rPr>
                <w:b/>
                <w:bCs/>
              </w:rPr>
              <w:t xml:space="preserve">net monetary benefit (NMB)</w:t>
            </w:r>
            <w:r>
              <w:t xml:space="preserve"> </w:t>
            </w:r>
            <w:r>
              <w:t xml:space="preserve">at the SA cost-effectiveness threshold</w:t>
            </w:r>
            <w:r>
              <w:t xml:space="preserve"> </w:t>
            </w:r>
            <m:oMath>
              <m:r>
                <m:t>λ</m:t>
              </m:r>
            </m:oMath>
            <w:r>
              <w:t xml:space="preserve"> </w:t>
            </w:r>
            <w:r>
              <w:t xml:space="preserve">= R38,500/DALY averted (Edoka &amp; Stacey 2020).</w:t>
            </w:r>
          </w:p>
          <w:p>
            <w:pPr>
              <w:pStyle w:val="BodyText"/>
            </w:pPr>
            <w:r>
              <w:rPr>
                <w:b/>
                <w:bCs/>
              </w:rPr>
              <w:t xml:space="preserve">Probabilistic sensitivity analysis (PSA).</w:t>
            </w:r>
            <w:r>
              <w:t xml:space="preserve"> </w:t>
            </w:r>
            <w:r>
              <w:t xml:space="preserve">Each CSV row carries a</w:t>
            </w:r>
            <w:r>
              <w:t xml:space="preserve"> </w:t>
            </w:r>
            <w:r>
              <w:rPr>
                <w:rStyle w:val="VerbatimChar"/>
              </w:rPr>
              <w:t xml:space="preserve">dist=&lt;family&gt;(&lt;params&gt;)</w:t>
            </w:r>
            <w:r>
              <w:t xml:space="preserve"> </w:t>
            </w:r>
            <w:r>
              <w:t xml:space="preserve">tag (</w:t>
            </w:r>
            <w:r>
              <w:rPr>
                <w:rStyle w:val="VerbatimChar"/>
              </w:rPr>
              <w:t xml:space="preserve">beta</w:t>
            </w:r>
            <w:r>
              <w:t xml:space="preserve">,</w:t>
            </w:r>
            <w:r>
              <w:t xml:space="preserve"> </w:t>
            </w:r>
            <w:r>
              <w:rPr>
                <w:rStyle w:val="VerbatimChar"/>
              </w:rPr>
              <w:t xml:space="preserve">gamma</w:t>
            </w:r>
            <w:r>
              <w:t xml:space="preserve">,</w:t>
            </w:r>
            <w:r>
              <w:t xml:space="preserve"> </w:t>
            </w:r>
            <w:r>
              <w:rPr>
                <w:rStyle w:val="VerbatimChar"/>
              </w:rPr>
              <w:t xml:space="preserve">fixed</w:t>
            </w:r>
            <w:r>
              <w:t xml:space="preserve">) parsed by the analysis pipeline (</w:t>
            </w:r>
            <w:r>
              <w:rPr>
                <w:rStyle w:val="VerbatimChar"/>
              </w:rPr>
              <w:t xml:space="preserve">wrangling_v2.r</w:t>
            </w:r>
            <w:r>
              <w:t xml:space="preserve">) for Monte Carlo PSA. Distributions follow standard health-economics conventions: gamma for costs (shape 25 → CV ≈ 0.20), beta for probabilities (parameterised on the sample-equivalent count), fixed for deterministic anchors and derived sums.</w:t>
            </w:r>
          </w:p>
          <w:p>
            <w:pPr>
              <w:pStyle w:val="BodyText"/>
            </w:pPr>
            <w:pPr>
              <w:spacing w:after="16"/>
            </w:pPr>
            <w:r>
              <w:rPr>
                <w:b/>
                <w:bCs/>
              </w:rPr>
              <w:t xml:space="preserve">What this site does</w:t>
            </w:r>
            <w:r>
              <w:rPr>
                <w:b/>
                <w:bCs/>
              </w:rPr>
              <w:t xml:space="preserve"> </w:t>
            </w:r>
            <w:r>
              <w:rPr>
                <w:b/>
                <w:bCs/>
                <w:i/>
                <w:iCs/>
              </w:rPr>
              <w:t xml:space="preserve">not</w:t>
            </w:r>
            <w:r>
              <w:rPr>
                <w:b/>
                <w:bCs/>
              </w:rPr>
              <w:t xml:space="preserve"> </w:t>
            </w:r>
            <w:r>
              <w:rPr>
                <w:b/>
                <w:bCs/>
              </w:rPr>
              <w:t xml:space="preserve">do.</w:t>
            </w:r>
            <w:r>
              <w:t xml:space="preserve"> </w:t>
            </w:r>
            <w:r>
              <w:t xml:space="preserve">No mixed-effects regression, no machine-learning model, no causal-inference identification strategy, no Bayesian hierarchical model. The site is a transparent deterministic burden-and-decision-tree calculator with explicit PSA. Strength comes from auditability, not algorithmic complexity.</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Health-sector share of the burden — what surveillance unlocks</w:t>
            </w:r>
          </w:p>
        </w:tc>
      </w:tr>
      <w:tr>
        <w:trPr>
          <w:cantSplit/>
        </w:trPr>
        <w:tc>
          <w:tcPr>
            <w:tcMar>
              <w:top w:w="108" w:type="dxa"/>
              <w:bottom w:w="108" w:type="dxa"/>
            </w:tcMar>
          </w:tcPr>
          <w:p>
            <w:pPr>
              <w:pStyle w:val="BodyText"/>
            </w:pPr>
            <w:pPr>
              <w:spacing w:before="16" w:after="16"/>
            </w:pPr>
            <w:r>
              <w:t xml:space="preserve">The public health system bears</w:t>
            </w:r>
            <w:r>
              <w:t xml:space="preserve"> </w:t>
            </w:r>
            <w:r>
              <w:rPr>
                <w:b/>
                <w:bCs/>
              </w:rPr>
              <w:t xml:space="preserve">~R80M of the R1.61B annual burden</w:t>
            </w:r>
            <w:r>
              <w:t xml:space="preserve"> </w:t>
            </w:r>
            <w:r>
              <w:t xml:space="preserve">on its own budget lines (~R70M NDoH ward/ICU/ventilation/antidote; ~R10M NHLS BChE + confirmatory). Surveillance is a</w:t>
            </w:r>
            <w:r>
              <w:t xml:space="preserve"> </w:t>
            </w:r>
            <w:r>
              <w:rPr>
                <w:b/>
                <w:bCs/>
              </w:rPr>
              <w:t xml:space="preserve">necessary but not sufficient</w:t>
            </w:r>
            <w:r>
              <w:t xml:space="preserve"> </w:t>
            </w:r>
            <w:r>
              <w:t xml:space="preserve">input to reducing that burden — it changes only what is</w:t>
            </w:r>
            <w:r>
              <w:t xml:space="preserve"> </w:t>
            </w:r>
            <w:r>
              <w:rPr>
                <w:i/>
                <w:iCs/>
              </w:rPr>
              <w:t xml:space="preserve">seen</w:t>
            </w:r>
            <w:r>
              <w:t xml:space="preserve">. Burden reduction comes from the coordinated response (source removal, regulatory action, clinical management) covered in the</w:t>
            </w:r>
            <w:r>
              <w:t xml:space="preserve"> </w:t>
            </w:r>
            <w:hyperlink r:id="rId9">
              <w:r>
                <w:rPr>
                  <w:rStyle w:val="Hyperlink"/>
                </w:rPr>
                <w:t xml:space="preserve">Coordination</w:t>
              </w:r>
            </w:hyperlink>
            <w:r>
              <w:t xml:space="preserve"> </w:t>
            </w:r>
            <w:r>
              <w:t xml:space="preserve">and</w:t>
            </w:r>
            <w:r>
              <w:t xml:space="preserve"> </w:t>
            </w:r>
            <w:hyperlink r:id="rId10">
              <w:r>
                <w:rPr>
                  <w:rStyle w:val="Hyperlink"/>
                </w:rPr>
                <w:t xml:space="preserve">Terbufos</w:t>
              </w:r>
            </w:hyperlink>
            <w:r>
              <w:t xml:space="preserve"> </w:t>
            </w:r>
            <w:r>
              <w:t xml:space="preserve">briefs.</w:t>
            </w:r>
            <w:r>
              <w:t xml:space="preserve"> </w:t>
            </w:r>
            <w:r>
              <w:rPr>
                <w:b/>
                <w:bCs/>
              </w:rPr>
              <w:t xml:space="preserve">This brief therefore measures the proportion of true burden detected (P_detect); it does not measure cases or deaths averted.</w:t>
            </w:r>
          </w:p>
          <w:p/>
        </w:tc>
      </w:tr>
    </w:tbl>
    <w:p>
      <w:pPr>
        <w:pStyle w:val="BodyText"/>
      </w:pPr>
      <w:r>
        <w:rPr>
          <w:b/>
          <w:bCs/>
        </w:rPr>
        <w:t xml:space="preserve">Architecturally, the three streams are unlinked:</w:t>
      </w:r>
    </w:p>
    <w:tbl>
      <w:tblPr>
        <w:tblStyle w:val="Table"/>
        <w:tblW w:type="pct" w:w="5000"/>
        <w:tblLayout w:type="fixed"/>
        <w:tblLook w:firstRow="0" w:lastRow="0" w:firstColumn="0" w:lastColumn="0" w:noHBand="0" w:noVBand="0" w:val="0000"/>
      </w:tblPr>
      <w:tblGrid>
        <w:gridCol w:w="7920"/>
      </w:tblGrid>
      <w:tr>
        <w:tc>
          <w:tcPr/>
          <w:bookmarkStart w:id="30" w:name="fig-surv-current-system"/>
          <w:p>
            <w:pPr>
              <w:jc w:val="center"/>
            </w:pPr>
            <w:r>
              <w:drawing>
                <wp:inline>
                  <wp:extent cx="5334000" cy="1631847"/>
                  <wp:effectExtent b="0" l="0" r="0" t="0"/>
                  <wp:docPr descr="" title="" id="28" name="Picture"/>
                  <a:graphic>
                    <a:graphicData uri="http://schemas.openxmlformats.org/drawingml/2006/picture">
                      <pic:pic>
                        <pic:nvPicPr>
                          <pic:cNvPr descr="surveillance_policy_files/figure-docx/mermaid-figure-1.png" id="29" name="Picture"/>
                          <pic:cNvPicPr>
                            <a:picLocks noChangeArrowheads="1" noChangeAspect="1"/>
                          </pic:cNvPicPr>
                        </pic:nvPicPr>
                        <pic:blipFill>
                          <a:blip r:embed="rId27"/>
                          <a:stretch>
                            <a:fillRect/>
                          </a:stretch>
                        </pic:blipFill>
                        <pic:spPr bwMode="auto">
                          <a:xfrm>
                            <a:off x="0" y="0"/>
                            <a:ext cx="5334000" cy="163184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Current surveillance architecture. NMC is NDoH-owned and has demonstrated flexibility and resilience as a national surveillance platform. NHLS BChE results can be routed to NMC via NHLS CDW → NICD SDW (this feed already exists for infectious disease). Two active gaps remain: PIH consultations are not linked to NMC, with neither stream holding a complete minimum dataset for surveillance; forensic chemical toxicology is post-mortem only and fully de-identified (not fit for surveillance linkage in its current form; MLDI system development is a potential future pathway).</w:t>
            </w:r>
          </w:p>
          <w:bookmarkEnd w:id="30"/>
        </w:tc>
      </w:tr>
    </w:tbl>
    <w:p>
      <w:pPr>
        <w:pStyle w:val="BodyText"/>
      </w:pPr>
      <w:r>
        <w:rPr>
          <w:b/>
          <w:bCs/>
        </w:rPr>
        <w:t xml:space="preserve">What this means in plain numbers.</w:t>
      </w:r>
    </w:p>
    <w:p>
      <w:pPr>
        <w:pStyle w:val="Compact"/>
        <w:numPr>
          <w:ilvl w:val="0"/>
          <w:numId w:val="1002"/>
        </w:numPr>
      </w:pPr>
      <w:r>
        <w:t xml:space="preserve">NMC notifications: 1,013 (</w:t>
      </w:r>
      <w:hyperlink r:id="rId31">
        <w:r>
          <w:rPr>
            <w:rStyle w:val="VerbatimChar"/>
          </w:rPr>
          <w:t xml:space="preserve">n_nmc_annual</w:t>
        </w:r>
      </w:hyperlink>
      <w:r>
        <w:t xml:space="preserve">)</w:t>
      </w:r>
    </w:p>
    <w:p>
      <w:pPr>
        <w:pStyle w:val="Compact"/>
        <w:numPr>
          <w:ilvl w:val="0"/>
          <w:numId w:val="1002"/>
        </w:numPr>
      </w:pPr>
      <w:r>
        <w:t xml:space="preserve">NHLS severe BChE inhibitions: 1,779 (</w:t>
      </w:r>
      <w:hyperlink r:id="rId31">
        <w:r>
          <w:rPr>
            <w:rStyle w:val="VerbatimChar"/>
          </w:rPr>
          <w:t xml:space="preserve">n_nhls_severe_annual</w:t>
        </w:r>
      </w:hyperlink>
      <w:r>
        <w:t xml:space="preserve">) out of 10,626 BChE tests (</w:t>
      </w:r>
      <w:hyperlink r:id="rId31">
        <w:r>
          <w:rPr>
            <w:rStyle w:val="VerbatimChar"/>
          </w:rPr>
          <w:t xml:space="preserve">n_nhls_total_annual</w:t>
        </w:r>
      </w:hyperlink>
      <w:r>
        <w:t xml:space="preserve">)</w:t>
      </w:r>
    </w:p>
    <w:p>
      <w:pPr>
        <w:pStyle w:val="Compact"/>
        <w:numPr>
          <w:ilvl w:val="0"/>
          <w:numId w:val="1002"/>
        </w:numPr>
      </w:pPr>
      <w:r>
        <w:t xml:space="preserve">PIH clinician-initiated calls: 1,158 (</w:t>
      </w:r>
      <w:hyperlink r:id="rId31">
        <w:r>
          <w:rPr>
            <w:rStyle w:val="VerbatimChar"/>
          </w:rPr>
          <w:t xml:space="preserve">n_pih_annual</w:t>
        </w:r>
      </w:hyperlink>
      <w:r>
        <w:t xml:space="preserve">)</w:t>
      </w:r>
    </w:p>
    <w:p>
      <w:pPr>
        <w:pStyle w:val="Compact"/>
        <w:numPr>
          <w:ilvl w:val="0"/>
          <w:numId w:val="1002"/>
        </w:numPr>
      </w:pPr>
      <w:r>
        <w:t xml:space="preserve">Implied true annual burden:</w:t>
      </w:r>
      <w:r>
        <w:t xml:space="preserve"> </w:t>
      </w:r>
      <m:oMath>
        <m:sSub>
          <m:e>
            <m:r>
              <m:t>N</m:t>
            </m:r>
          </m:e>
          <m:sub>
            <m:r>
              <m:rPr>
                <m:nor/>
                <m:sty m:val="p"/>
              </m:rPr>
              <m:t>true</m:t>
            </m:r>
          </m:sub>
        </m:sSub>
        <m:r>
          <m:rPr>
            <m:sty m:val="p"/>
          </m:rPr>
          <m:t>=</m:t>
        </m:r>
        <m:f>
          <m:fPr>
            <m:type m:val="bar"/>
          </m:fPr>
          <m:num>
            <m:r>
              <m:t>1</m:t>
            </m:r>
            <m:r>
              <m:rPr>
                <m:sty m:val="p"/>
              </m:rPr>
              <m:t>,</m:t>
            </m:r>
            <m:r>
              <m:t>014</m:t>
            </m:r>
          </m:num>
          <m:den>
            <m:r>
              <m:t>0.125</m:t>
            </m:r>
          </m:den>
        </m:f>
        <m:r>
          <m:rPr>
            <m:sty m:val="p"/>
          </m:rPr>
          <m:t>=</m:t>
        </m:r>
        <m:r>
          <m:t>8</m:t>
        </m:r>
        <m:r>
          <m:rPr>
            <m:sty m:val="p"/>
          </m:rPr>
          <m:t>,</m:t>
        </m:r>
        <m:r>
          <m:t>112</m:t>
        </m:r>
      </m:oMath>
      <w:r>
        <w:t xml:space="preserve"> </w:t>
      </w:r>
      <w:r>
        <w:t xml:space="preserve">(</w:t>
      </w:r>
      <w:hyperlink r:id="rId31">
        <w:r>
          <w:rPr>
            <w:rStyle w:val="VerbatimChar"/>
          </w:rPr>
          <w:t xml:space="preserve">n_true_burden_from_statssa_mid</w:t>
        </w:r>
      </w:hyperlink>
      <w:r>
        <w:t xml:space="preserve">)</w:t>
      </w:r>
    </w:p>
    <w:p>
      <w:pPr>
        <w:pStyle w:val="FirstParagraph"/>
      </w:pPr>
      <w:r>
        <w:t xml:space="preserve">NMC alone captures</w:t>
      </w:r>
      <w:r>
        <w:t xml:space="preserve"> </w:t>
      </w:r>
      <m:oMath>
        <m:sSub>
          <m:e>
            <m:r>
              <m:t>P</m:t>
            </m:r>
          </m:e>
          <m:sub>
            <m:r>
              <m:rPr>
                <m:nor/>
                <m:sty m:val="p"/>
              </m:rPr>
              <m:t>detect</m:t>
            </m:r>
          </m:sub>
        </m:sSub>
        <m:r>
          <m:rPr>
            <m:sty m:val="p"/>
          </m:rPr>
          <m:t>=</m:t>
        </m:r>
        <m:f>
          <m:fPr>
            <m:type m:val="bar"/>
          </m:fPr>
          <m:num>
            <m:r>
              <m:t>1</m:t>
            </m:r>
            <m:r>
              <m:rPr>
                <m:sty m:val="p"/>
              </m:rPr>
              <m:t>,</m:t>
            </m:r>
            <m:r>
              <m:t>013</m:t>
            </m:r>
          </m:num>
          <m:den>
            <m:r>
              <m:t>8</m:t>
            </m:r>
            <m:r>
              <m:rPr>
                <m:sty m:val="p"/>
              </m:rPr>
              <m:t>,</m:t>
            </m:r>
            <m:r>
              <m:t>112</m:t>
            </m:r>
          </m:den>
        </m:f>
        <m:r>
          <m:rPr>
            <m:sty m:val="p"/>
          </m:rPr>
          <m:t>=</m:t>
        </m:r>
        <m:r>
          <m:t>0.125</m:t>
        </m:r>
      </m:oMath>
      <w:r>
        <w:t xml:space="preserve"> </w:t>
      </w:r>
      <w:r>
        <w:t xml:space="preserve">(</w:t>
      </w:r>
      <w:hyperlink r:id="rId32">
        <w:r>
          <w:rPr>
            <w:rStyle w:val="VerbatimChar"/>
          </w:rPr>
          <w:t xml:space="preserve">d_status_quo</w:t>
        </w:r>
      </w:hyperlink>
      <w:r>
        <w:t xml:space="preserve">), i.e. </w:t>
      </w:r>
      <w:r>
        <w:rPr>
          <w:b/>
          <w:bCs/>
        </w:rPr>
        <w:t xml:space="preserve">~12.5 %</w:t>
      </w:r>
      <w:r>
        <w:t xml:space="preserve">.</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Caveat: this denominator rests on a CFR assumption</w:t>
            </w:r>
          </w:p>
          <w:p>
            <w:pPr>
              <w:pStyle w:val="BodyText"/>
            </w:pPr>
            <w:pPr>
              <w:spacing w:before="16"/>
            </w:pPr>
            <w:r>
              <w:t xml:space="preserve">The 8,112 denominator applies a 12.5% CFR to the StatsSA MACOD death count (pesticide-specific ICD-10 codes X48+X68+X87+Y18, 2022) — but that CFR derives from NMC-</w:t>
            </w:r>
            <w:r>
              <w:rPr>
                <w:i/>
                <w:iCs/>
              </w:rPr>
              <w:t xml:space="preserve">notified</w:t>
            </w:r>
            <w:r>
              <w:t xml:space="preserve"> </w:t>
            </w:r>
            <w:r>
              <w:t xml:space="preserve">severe cases (the sicker end of the distribution). The undetected majority are likely milder; a blended CFR of 3–5% implies 20,280–33,800 true cases and a status-quo P_detect of ~3–5%. Relative option rankings (Option 1, Option 2, MVP†) are stable across this range — the percentage-point gain for each option is unchanged; only the absolute number of true cases detected would differ.</w:t>
            </w:r>
          </w:p>
          <w:p>
            <w:pPr>
              <w:pStyle w:val="BodyText"/>
            </w:pPr>
            <w:pPr>
              <w:spacing w:after="16"/>
            </w:pPr>
            <w:r>
              <w:t xml:space="preserve">†MVP = Minimum Viable Package (Option 1 + Option 2 combined).</w:t>
            </w:r>
          </w:p>
        </w:tc>
      </w:tr>
    </w:tbl>
    <w:bookmarkStart w:id="33" w:name="X61da899e3b9f6bca475d8b67daf79ab11483687"/>
    <w:p>
      <w:pPr>
        <w:pStyle w:val="Heading3"/>
      </w:pPr>
      <w:r>
        <w:t xml:space="preserve">Detection vs. true burden — a critical distinction</w:t>
      </w:r>
    </w:p>
    <w:p>
      <w:pPr>
        <w:pStyle w:val="FirstParagraph"/>
      </w:pPr>
      <w:r>
        <w:t xml:space="preserve">Better surveillance has</w:t>
      </w:r>
      <w:r>
        <w:t xml:space="preserve"> </w:t>
      </w:r>
      <w:r>
        <w:rPr>
          <w:b/>
          <w:bCs/>
        </w:rPr>
        <w:t xml:space="preserve">two opposite numerical effects</w:t>
      </w:r>
      <w:r>
        <w:t xml:space="preserve"> </w:t>
      </w:r>
      <w:r>
        <w:t xml:space="preserve">that decision-makers must not confuse:</w:t>
      </w:r>
    </w:p>
    <w:tbl>
      <w:tblPr>
        <w:tblStyle w:val="Table"/>
        <w:tblW w:type="pct" w:w="5000"/>
        <w:tblLayout w:type="fixed"/>
        <w:tblLook w:firstRow="1" w:lastRow="0" w:firstColumn="0" w:lastColumn="0" w:noHBand="0" w:noVBand="0" w:val="0020"/>
      </w:tblPr>
      <w:tblGrid>
        <w:gridCol w:w="1473"/>
        <w:gridCol w:w="2026"/>
        <w:gridCol w:w="1473"/>
        <w:gridCol w:w="2946"/>
      </w:tblGrid>
      <w:tr>
        <w:trPr>
          <w:tblHeader w:val="on"/>
        </w:trPr>
        <w:tc>
          <w:tcPr/>
          <w:p>
            <w:pPr>
              <w:pStyle w:val="Compact"/>
              <w:jc w:val="left"/>
            </w:pPr>
            <w:r>
              <w:t xml:space="preserve">Effect</w:t>
            </w:r>
          </w:p>
        </w:tc>
        <w:tc>
          <w:tcPr/>
          <w:p>
            <w:pPr>
              <w:pStyle w:val="Compact"/>
              <w:jc w:val="center"/>
            </w:pPr>
            <w:r>
              <w:t xml:space="preserve">Direction</w:t>
            </w:r>
          </w:p>
        </w:tc>
        <w:tc>
          <w:tcPr/>
          <w:p>
            <w:pPr>
              <w:pStyle w:val="Compact"/>
              <w:jc w:val="left"/>
            </w:pPr>
            <w:r>
              <w:t xml:space="preserve">Driver</w:t>
            </w:r>
          </w:p>
        </w:tc>
        <w:tc>
          <w:tcPr/>
          <w:p>
            <w:pPr>
              <w:pStyle w:val="Compact"/>
              <w:jc w:val="left"/>
            </w:pPr>
            <w:r>
              <w:t xml:space="preserve">Interpretation</w:t>
            </w:r>
          </w:p>
        </w:tc>
      </w:tr>
      <w:tr>
        <w:tc>
          <w:tcPr/>
          <w:p>
            <w:pPr>
              <w:pStyle w:val="Compact"/>
              <w:jc w:val="left"/>
            </w:pPr>
            <w:r>
              <w:rPr>
                <w:b/>
                <w:bCs/>
              </w:rPr>
              <w:t xml:space="preserve">Observed</w:t>
            </w:r>
            <w:r>
              <w:t xml:space="preserve"> </w:t>
            </w:r>
            <w:r>
              <w:t xml:space="preserve">burden</w:t>
            </w:r>
          </w:p>
        </w:tc>
        <w:tc>
          <w:tcPr/>
          <w:p>
            <w:pPr>
              <w:pStyle w:val="Compact"/>
              <w:jc w:val="center"/>
            </w:pPr>
            <w:r>
              <w:t xml:space="preserve">↑</w:t>
            </w:r>
          </w:p>
        </w:tc>
        <w:tc>
          <w:tcPr/>
          <w:p>
            <w:pPr>
              <w:pStyle w:val="Compact"/>
              <w:jc w:val="left"/>
            </w:pPr>
            <w:r>
              <w:t xml:space="preserve">Better case-finding (auto-notify, MVD ingest)</w:t>
            </w:r>
          </w:p>
        </w:tc>
        <w:tc>
          <w:tcPr/>
          <w:p>
            <w:pPr>
              <w:pStyle w:val="Compact"/>
              <w:jc w:val="left"/>
            </w:pPr>
            <w:r>
              <w:t xml:space="preserve">The headline</w:t>
            </w:r>
            <w:r>
              <w:t xml:space="preserve"> </w:t>
            </w:r>
            <w:r>
              <w:t xml:space="preserve">“case count”</w:t>
            </w:r>
            <w:r>
              <w:t xml:space="preserve"> </w:t>
            </w:r>
            <w:r>
              <w:t xml:space="preserve">will rise as detection improves — this is success, not failure.</w:t>
            </w:r>
          </w:p>
        </w:tc>
      </w:tr>
      <w:tr>
        <w:tc>
          <w:tcPr/>
          <w:p>
            <w:pPr>
              <w:pStyle w:val="Compact"/>
              <w:jc w:val="left"/>
            </w:pPr>
            <w:r>
              <w:rPr>
                <w:b/>
                <w:bCs/>
              </w:rPr>
              <w:t xml:space="preserve">True</w:t>
            </w:r>
            <w:r>
              <w:t xml:space="preserve"> </w:t>
            </w:r>
            <w:r>
              <w:t xml:space="preserve">burden</w:t>
            </w:r>
          </w:p>
        </w:tc>
        <w:tc>
          <w:tcPr/>
          <w:p>
            <w:pPr>
              <w:pStyle w:val="Compact"/>
              <w:jc w:val="center"/>
            </w:pPr>
            <w:r>
              <w:t xml:space="preserve">↓</w:t>
            </w:r>
          </w:p>
        </w:tc>
        <w:tc>
          <w:tcPr/>
          <w:p>
            <w:pPr>
              <w:pStyle w:val="Compact"/>
              <w:jc w:val="left"/>
            </w:pPr>
            <w:r>
              <w:t xml:space="preserve">Faster source removal, targeted regulation, prevention</w:t>
            </w:r>
          </w:p>
        </w:tc>
        <w:tc>
          <w:tcPr/>
          <w:p>
            <w:pPr>
              <w:pStyle w:val="Compact"/>
              <w:jc w:val="left"/>
            </w:pPr>
            <w:r>
              <w:t xml:space="preserve">Future poisoning cases and clusters are averted.</w:t>
            </w:r>
          </w:p>
        </w:tc>
      </w:tr>
    </w:tbl>
    <w:p>
      <w:pPr>
        <w:pStyle w:val="BodyText"/>
      </w:pPr>
      <w:r>
        <w:t xml:space="preserve">Once the integrated streams are live, reported case counts will rise as detection improves and historical burden estimates should be re-calibrated against the expanded data. This is a surveillance artefact, not a true increase in poisonings, and must be communicated as such in any public reporting.</w:t>
      </w:r>
    </w:p>
    <w:bookmarkEnd w:id="33"/>
    <w:bookmarkEnd w:id="34"/>
    <w:bookmarkStart w:id="39" w:name="root-cause-analysis"/>
    <w:p>
      <w:pPr>
        <w:pStyle w:val="Heading2"/>
      </w:pPr>
      <w:r>
        <w:t xml:space="preserve">4. Root cause analysis</w:t>
      </w:r>
    </w:p>
    <w:tbl>
      <w:tblPr>
        <w:tblStyle w:val="Table"/>
        <w:tblW w:type="pct" w:w="5000"/>
        <w:tblLayout w:type="fixed"/>
        <w:tblLook w:firstRow="0" w:lastRow="0" w:firstColumn="0" w:lastColumn="0" w:noHBand="0" w:noVBand="0" w:val="0000"/>
      </w:tblPr>
      <w:tblGrid>
        <w:gridCol w:w="7920"/>
      </w:tblGrid>
      <w:tr>
        <w:tc>
          <w:tcPr/>
          <w:bookmarkStart w:id="38" w:name="fig-surv-fishbone"/>
          <w:p>
            <w:pPr>
              <w:jc w:val="center"/>
            </w:pPr>
            <w:r>
              <w:drawing>
                <wp:inline>
                  <wp:extent cx="5334000" cy="3038869"/>
                  <wp:effectExtent b="0" l="0" r="0" t="0"/>
                  <wp:docPr descr="" title="" id="36" name="Picture"/>
                  <a:graphic>
                    <a:graphicData uri="http://schemas.openxmlformats.org/drawingml/2006/picture">
                      <pic:pic>
                        <pic:nvPicPr>
                          <pic:cNvPr descr="surveillance_policy_files/figure-docx/mermaid-figure-3.png" id="37" name="Picture"/>
                          <pic:cNvPicPr>
                            <a:picLocks noChangeArrowheads="1" noChangeAspect="1"/>
                          </pic:cNvPicPr>
                        </pic:nvPicPr>
                        <pic:blipFill>
                          <a:blip r:embed="rId35"/>
                          <a:stretch>
                            <a:fillRect/>
                          </a:stretch>
                        </pic:blipFill>
                        <pic:spPr bwMode="auto">
                          <a:xfrm>
                            <a:off x="0" y="0"/>
                            <a:ext cx="5334000" cy="303886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Root causes of surveillance under-detection and the surveillance-improvement options that address each one.</w:t>
            </w:r>
          </w:p>
          <w:bookmarkEnd w:id="38"/>
        </w:tc>
      </w:tr>
    </w:tbl>
    <w:p>
      <w:pPr>
        <w:pStyle w:val="BodyText"/>
      </w:pPr>
      <w:r>
        <w:t xml:space="preserve">Three active root causes remain</w:t>
      </w:r>
      <w:r>
        <w:t xml:space="preserve"> </w:t>
      </w:r>
      <w:r>
        <w:rPr>
          <w:b/>
          <w:bCs/>
        </w:rPr>
        <w:t xml:space="preserve">executional, not legislative</w:t>
      </w:r>
      <w:r>
        <w:t xml:space="preserve">, and are each already legally permissible under Section 90 of the National Health Act (2003) and the existing NMC regulations. The fourth root cause (NHLS–NMC IT connectivity) has been resolved — the LIS-to-NMC feed is operational, though a severity-threshold rules engine still needs to be configured to enable automated alerting.</w:t>
      </w:r>
    </w:p>
    <w:bookmarkEnd w:id="39"/>
    <w:bookmarkStart w:id="69" w:name="policy-options"/>
    <w:p>
      <w:pPr>
        <w:pStyle w:val="Heading2"/>
      </w:pPr>
      <w:r>
        <w:t xml:space="preserve">5. Policy options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 NHLS–NMC IT feed — now operational</w:t>
            </w:r>
          </w:p>
        </w:tc>
      </w:tr>
      <w:tr>
        <w:trPr>
          <w:cantSplit/>
        </w:trPr>
        <w:tc>
          <w:tcPr>
            <w:tcMar>
              <w:top w:w="108" w:type="dxa"/>
              <w:bottom w:w="108" w:type="dxa"/>
            </w:tcMar>
          </w:tcPr>
          <w:p>
            <w:pPr>
              <w:pStyle w:val="BodyText"/>
            </w:pPr>
            <w:pPr>
              <w:spacing w:before="16" w:after="16"/>
            </w:pPr>
            <w:r>
              <w:t xml:space="preserve">The NHLS–NICD LIS-to-NMC connector is operational; daily BChE data flows to NICD under the existing MOU. The three active options below build on this.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Reading guide — option numbering.</w:t>
            </w:r>
            <w:r>
              <w:t xml:space="preserve"> </w:t>
            </w:r>
            <w:r>
              <w:t xml:space="preserve">Options below are numbered</w:t>
            </w:r>
            <w:r>
              <w:t xml:space="preserve"> </w:t>
            </w:r>
            <w:r>
              <w:rPr>
                <w:b/>
                <w:bCs/>
              </w:rPr>
              <w:t xml:space="preserve">1–5 in narrative build order</w:t>
            </w:r>
            <w:r>
              <w:t xml:space="preserve">. Backend parameter codes in the CSV (</w:t>
            </w:r>
            <w:r>
              <w:rPr>
                <w:rStyle w:val="VerbatimChar"/>
              </w:rPr>
              <w:t xml:space="preserve">c_S1_*</w:t>
            </w:r>
            <w:r>
              <w:t xml:space="preserve">,</w:t>
            </w:r>
            <w:r>
              <w:t xml:space="preserve"> </w:t>
            </w:r>
            <w:r>
              <w:rPr>
                <w:rStyle w:val="VerbatimChar"/>
              </w:rPr>
              <w:t xml:space="preserve">c_S2_*</w:t>
            </w:r>
            <w:r>
              <w:t xml:space="preserve">,</w:t>
            </w:r>
            <w:r>
              <w:t xml:space="preserve"> </w:t>
            </w:r>
            <w:r>
              <w:rPr>
                <w:rStyle w:val="VerbatimChar"/>
              </w:rPr>
              <w:t xml:space="preserve">c_S1b_*</w:t>
            </w:r>
            <w:r>
              <w:t xml:space="preserve">,</w:t>
            </w:r>
            <w:r>
              <w:t xml:space="preserve"> </w:t>
            </w:r>
            <w:r>
              <w:rPr>
                <w:rStyle w:val="VerbatimChar"/>
              </w:rPr>
              <w:t xml:space="preserve">c_option6_*</w:t>
            </w:r>
            <w:r>
              <w:t xml:space="preserve">) are stable identifiers that pre-date the renumbering and</w:t>
            </w:r>
            <w:r>
              <w:t xml:space="preserve"> </w:t>
            </w:r>
            <w:r>
              <w:rPr>
                <w:b/>
                <w:bCs/>
              </w:rPr>
              <w:t xml:space="preserve">do not follow the brief’s order</w:t>
            </w:r>
            <w:r>
              <w:t xml:space="preserve">. Cross-walk:</w:t>
            </w:r>
          </w:p>
          <w:tbl>
            <w:tblPr>
              <w:tblStyle w:val="Table"/>
              <w:tblW w:type="pct" w:w="5000"/>
              <w:tblLayout w:type="fixed"/>
              <w:tblLook w:firstRow="1" w:lastRow="0" w:firstColumn="0" w:lastColumn="0" w:noHBand="0" w:noVBand="0" w:val="0020"/>
            </w:tblPr>
            <w:tblGrid>
              <w:gridCol w:w="2741"/>
              <w:gridCol w:w="1827"/>
              <w:gridCol w:w="3350"/>
            </w:tblGrid>
            <w:tr>
              <w:trPr>
                <w:tblHeader w:val="on"/>
              </w:trPr>
              <w:tc>
                <w:tcPr/>
                <w:p>
                  <w:pPr>
                    <w:pStyle w:val="Compact"/>
                    <w:jc w:val="left"/>
                  </w:pPr>
                  <w:r>
                    <w:t xml:space="preserve">Option (display)</w:t>
                  </w:r>
                </w:p>
              </w:tc>
              <w:tc>
                <w:tcPr/>
                <w:p>
                  <w:pPr>
                    <w:pStyle w:val="Compact"/>
                    <w:jc w:val="left"/>
                  </w:pPr>
                  <w:r>
                    <w:t xml:space="preserve">Description</w:t>
                  </w:r>
                </w:p>
              </w:tc>
              <w:tc>
                <w:tcPr/>
                <w:p>
                  <w:pPr>
                    <w:pStyle w:val="Compact"/>
                    <w:jc w:val="left"/>
                  </w:pPr>
                  <w:r>
                    <w:t xml:space="preserve">CSV parameter family</w:t>
                  </w:r>
                </w:p>
              </w:tc>
            </w:tr>
            <w:tr>
              <w:tc>
                <w:tcPr/>
                <w:p>
                  <w:pPr>
                    <w:pStyle w:val="Compact"/>
                    <w:jc w:val="left"/>
                  </w:pPr>
                  <w:r>
                    <w:rPr>
                      <w:b/>
                      <w:bCs/>
                    </w:rPr>
                    <w:t xml:space="preserve">Option 1</w:t>
                  </w:r>
                </w:p>
              </w:tc>
              <w:tc>
                <w:tcPr/>
                <w:p>
                  <w:pPr>
                    <w:pStyle w:val="Compact"/>
                    <w:jc w:val="left"/>
                  </w:pPr>
                  <w:r>
                    <w:t xml:space="preserve">BChE auto-notification</w:t>
                  </w:r>
                  <w:r>
                    <w:t xml:space="preserve"> </w:t>
                  </w:r>
                  <w:r>
                    <w:rPr>
                      <w:i/>
                      <w:iCs/>
                    </w:rPr>
                    <w:t xml:space="preserve">(first build, ★ recommended)</w:t>
                  </w:r>
                </w:p>
              </w:tc>
              <w:tc>
                <w:tcPr/>
                <w:p>
                  <w:pPr>
                    <w:pStyle w:val="Compact"/>
                    <w:jc w:val="left"/>
                  </w:pPr>
                  <w:r>
                    <w:rPr>
                      <w:rStyle w:val="VerbatimChar"/>
                    </w:rPr>
                    <w:t xml:space="preserve">c_S2_BChE_autonotify_*</w:t>
                  </w:r>
                </w:p>
              </w:tc>
            </w:tr>
            <w:tr>
              <w:tc>
                <w:tcPr/>
                <w:p>
                  <w:pPr>
                    <w:pStyle w:val="Compact"/>
                    <w:jc w:val="left"/>
                  </w:pPr>
                  <w:r>
                    <w:rPr>
                      <w:b/>
                      <w:bCs/>
                    </w:rPr>
                    <w:t xml:space="preserve">Option 2</w:t>
                  </w:r>
                </w:p>
              </w:tc>
              <w:tc>
                <w:tcPr/>
                <w:p>
                  <w:pPr>
                    <w:pStyle w:val="Compact"/>
                    <w:jc w:val="left"/>
                  </w:pPr>
                  <w:r>
                    <w:t xml:space="preserve">PIH dashboard + MVD</w:t>
                  </w:r>
                  <w:r>
                    <w:t xml:space="preserve"> </w:t>
                  </w:r>
                  <w:r>
                    <w:rPr>
                      <w:i/>
                      <w:iCs/>
                    </w:rPr>
                    <w:t xml:space="preserve">(second build, ★ recommended — completes the MVP)</w:t>
                  </w:r>
                </w:p>
              </w:tc>
              <w:tc>
                <w:tcPr/>
                <w:p>
                  <w:pPr>
                    <w:pStyle w:val="Compact"/>
                    <w:jc w:val="left"/>
                  </w:pPr>
                  <w:r>
                    <w:rPr>
                      <w:rStyle w:val="VerbatimChar"/>
                    </w:rPr>
                    <w:t xml:space="preserve">c_S1_PIH_MVD_*</w:t>
                  </w:r>
                </w:p>
              </w:tc>
            </w:tr>
            <w:tr>
              <w:tc>
                <w:tcPr/>
                <w:p>
                  <w:pPr>
                    <w:pStyle w:val="Compact"/>
                    <w:jc w:val="left"/>
                  </w:pPr>
                  <w:r>
                    <w:rPr>
                      <w:b/>
                      <w:bCs/>
                    </w:rPr>
                    <w:t xml:space="preserve">Option 3</w:t>
                  </w:r>
                </w:p>
              </w:tc>
              <w:tc>
                <w:tcPr/>
                <w:p>
                  <w:pPr>
                    <w:pStyle w:val="Compact"/>
                    <w:jc w:val="left"/>
                  </w:pPr>
                  <w:r>
                    <w:t xml:space="preserve">Community layer</w:t>
                  </w:r>
                  <w:r>
                    <w:t xml:space="preserve"> </w:t>
                  </w:r>
                  <w:r>
                    <w:rPr>
                      <w:i/>
                      <w:iCs/>
                    </w:rPr>
                    <w:t xml:space="preserve">(Phase 2, conditional)</w:t>
                  </w:r>
                </w:p>
              </w:tc>
              <w:tc>
                <w:tcPr/>
                <w:p>
                  <w:pPr>
                    <w:pStyle w:val="Compact"/>
                    <w:jc w:val="left"/>
                  </w:pPr>
                  <w:r>
                    <w:rPr>
                      <w:rStyle w:val="VerbatimChar"/>
                    </w:rPr>
                    <w:t xml:space="preserve">c_S1b_*</w:t>
                  </w:r>
                </w:p>
              </w:tc>
            </w:tr>
            <w:tr>
              <w:tc>
                <w:tcPr/>
                <w:p>
                  <w:pPr>
                    <w:pStyle w:val="Compact"/>
                    <w:jc w:val="left"/>
                  </w:pPr>
                  <w:r>
                    <w:rPr>
                      <w:b/>
                      <w:bCs/>
                    </w:rPr>
                    <w:t xml:space="preserve">Option 4</w:t>
                  </w:r>
                </w:p>
              </w:tc>
              <w:tc>
                <w:tcPr/>
                <w:p>
                  <w:pPr>
                    <w:pStyle w:val="Compact"/>
                    <w:jc w:val="left"/>
                  </w:pPr>
                  <w:r>
                    <w:t xml:space="preserve">NMC CIF + agricultural extension</w:t>
                  </w:r>
                  <w:r>
                    <w:t xml:space="preserve"> </w:t>
                  </w:r>
                  <w:r>
                    <w:rPr>
                      <w:i/>
                      <w:iCs/>
                    </w:rPr>
                    <w:t xml:space="preserve">(bridge to coordination)</w:t>
                  </w:r>
                </w:p>
              </w:tc>
              <w:tc>
                <w:tcPr/>
                <w:p>
                  <w:pPr>
                    <w:pStyle w:val="Compact"/>
                    <w:jc w:val="left"/>
                  </w:pPr>
                  <w:r>
                    <w:t xml:space="preserve">(no dedicated parameter)</w:t>
                  </w:r>
                </w:p>
              </w:tc>
            </w:tr>
            <w:tr>
              <w:tc>
                <w:tcPr/>
                <w:p>
                  <w:pPr>
                    <w:pStyle w:val="Compact"/>
                    <w:jc w:val="left"/>
                  </w:pPr>
                  <w:r>
                    <w:rPr>
                      <w:b/>
                      <w:bCs/>
                    </w:rPr>
                    <w:t xml:space="preserve">Option 5</w:t>
                  </w:r>
                </w:p>
              </w:tc>
              <w:tc>
                <w:tcPr/>
                <w:p>
                  <w:pPr>
                    <w:pStyle w:val="Compact"/>
                    <w:jc w:val="left"/>
                  </w:pPr>
                  <w:r>
                    <w:t xml:space="preserve">Sentinel live-patient toxicology</w:t>
                  </w:r>
                  <w:r>
                    <w:t xml:space="preserve"> </w:t>
                  </w:r>
                  <w:r>
                    <w:rPr>
                      <w:i/>
                      <w:iCs/>
                    </w:rPr>
                    <w:t xml:space="preserve">(research-funded, distinct purpose)</w:t>
                  </w:r>
                </w:p>
              </w:tc>
              <w:tc>
                <w:tcPr/>
                <w:p>
                  <w:pPr>
                    <w:pStyle w:val="Compact"/>
                    <w:jc w:val="left"/>
                  </w:pPr>
                  <w:r>
                    <w:rPr>
                      <w:rStyle w:val="VerbatimChar"/>
                    </w:rPr>
                    <w:t xml:space="preserve">c_option6_*</w:t>
                  </w:r>
                </w:p>
              </w:tc>
            </w:tr>
          </w:tbl>
          <w:p>
            <w:pPr>
              <w:pStyle w:val="BodyText"/>
            </w:pPr>
            <w:pPr>
              <w:spacing w:after="16"/>
            </w:pPr>
            <w:r>
              <w:t xml:space="preserve">S0 (NHLS→NMC IT feed) is operational and in the baseline.</w:t>
            </w:r>
            <w:r>
              <w:t xml:space="preserve"> </w:t>
            </w:r>
            <w:r>
              <w:rPr>
                <w:b/>
                <w:bCs/>
              </w:rPr>
              <w:t xml:space="preserve">Surveillance MVP = Options 1 + 2.</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Audit trail — mini-budget backing the S0 operating cost (R60,000/yr, now in baseline)</w:t>
            </w:r>
          </w:p>
        </w:tc>
      </w:tr>
      <w:tr>
        <w:trPr>
          <w:cantSplit/>
        </w:trPr>
        <w:tc>
          <w:tcPr>
            <w:tcMar>
              <w:top w:w="108" w:type="dxa"/>
              <w:bottom w:w="108" w:type="dxa"/>
            </w:tcMar>
          </w:tcPr>
          <w:p>
            <w:pPr>
              <w:pStyle w:val="BodyText"/>
            </w:pPr>
            <w:pPr>
              <w:spacing w:before="16"/>
            </w:pPr>
            <w:r>
              <w:rPr>
                <w:rStyle w:val="VerbatimChar"/>
              </w:rPr>
              <w:t xml:space="preserve">c_S0_NHLS_NMC_feed_op</w:t>
            </w:r>
            <w:r>
              <w:t xml:space="preserve"> </w:t>
            </w:r>
            <w:r>
              <w:t xml:space="preserve">= R60,000/yr (gamma(25, 2400));</w:t>
            </w:r>
            <w:r>
              <w:t xml:space="preserve"> </w:t>
            </w:r>
            <w:r>
              <w:rPr>
                <w:rStyle w:val="VerbatimChar"/>
              </w:rPr>
              <w:t xml:space="preserve">c_S0_NHLS_NMC_feed_setup</w:t>
            </w:r>
            <w:r>
              <w:t xml:space="preserve"> </w:t>
            </w:r>
            <w:r>
              <w:t xml:space="preserve">= R80,000 one-off (already incurred). This feed is</w:t>
            </w:r>
            <w:r>
              <w:t xml:space="preserve"> </w:t>
            </w:r>
            <w:r>
              <w:rPr>
                <w:b/>
                <w:bCs/>
              </w:rPr>
              <w:t xml:space="preserve">in the status-quo baseline</w:t>
            </w:r>
            <w:r>
              <w:t xml:space="preserve"> </w:t>
            </w:r>
            <w:r>
              <w:t xml:space="preserve">— it is not a marginal cost of adopting the Surveillance MVP, but its operating cost is relevant context for decision-makers auditing total program spend.</w:t>
            </w:r>
          </w:p>
          <w:tbl>
            <w:tblPr>
              <w:tblStyle w:val="Table"/>
              <w:tblW w:type="pct" w:w="5000"/>
              <w:tblLayout w:type="fixed"/>
              <w:tblLook w:firstRow="1" w:lastRow="0" w:firstColumn="0" w:lastColumn="0" w:noHBand="0" w:noVBand="0" w:val="0020"/>
            </w:tblPr>
            <w:tblGrid>
              <w:gridCol w:w="465"/>
              <w:gridCol w:w="1708"/>
              <w:gridCol w:w="1242"/>
              <w:gridCol w:w="1863"/>
              <w:gridCol w:w="2640"/>
            </w:tblGrid>
            <w:tr>
              <w:trPr>
                <w:tblHeader w:val="on"/>
              </w:trPr>
              <w:tc>
                <w:tcPr/>
                <w:p>
                  <w:pPr>
                    <w:pStyle w:val="Compact"/>
                    <w:jc w:val="center"/>
                  </w:pPr>
                  <w:r>
                    <w:t xml:space="preserve">#</w:t>
                  </w:r>
                </w:p>
              </w:tc>
              <w:tc>
                <w:tcPr/>
                <w:p>
                  <w:pPr>
                    <w:pStyle w:val="Compact"/>
                    <w:jc w:val="left"/>
                  </w:pPr>
                  <w:r>
                    <w:t xml:space="preserve">Line item</w:t>
                  </w:r>
                </w:p>
              </w:tc>
              <w:tc>
                <w:tcPr/>
                <w:p>
                  <w:pPr>
                    <w:pStyle w:val="Compact"/>
                    <w:jc w:val="left"/>
                  </w:pPr>
                  <w:r>
                    <w:t xml:space="preserve">Driver</w:t>
                  </w:r>
                </w:p>
              </w:tc>
              <w:tc>
                <w:tcPr/>
                <w:p>
                  <w:pPr>
                    <w:pStyle w:val="Compact"/>
                    <w:jc w:val="right"/>
                  </w:pPr>
                  <w:r>
                    <w:t xml:space="preserve">Annual (R)</w:t>
                  </w:r>
                </w:p>
              </w:tc>
              <w:tc>
                <w:tcPr/>
                <w:p>
                  <w:pPr>
                    <w:pStyle w:val="Compact"/>
                    <w:jc w:val="left"/>
                  </w:pPr>
                  <w:r>
                    <w:t xml:space="preserve">Source / anchor</w:t>
                  </w:r>
                </w:p>
              </w:tc>
            </w:tr>
            <w:tr>
              <w:tc>
                <w:tcPr/>
                <w:p>
                  <w:pPr>
                    <w:pStyle w:val="Compact"/>
                    <w:jc w:val="center"/>
                  </w:pPr>
                  <w:r>
                    <w:t xml:space="preserve">1</w:t>
                  </w:r>
                </w:p>
              </w:tc>
              <w:tc>
                <w:tcPr/>
                <w:p>
                  <w:pPr>
                    <w:pStyle w:val="Compact"/>
                    <w:jc w:val="left"/>
                  </w:pPr>
                  <w:r>
                    <w:t xml:space="preserve">NICD analyst data extraction + cleaning</w:t>
                  </w:r>
                </w:p>
              </w:tc>
              <w:tc>
                <w:tcPr/>
                <w:p>
                  <w:pPr>
                    <w:pStyle w:val="Compact"/>
                    <w:jc w:val="left"/>
                  </w:pPr>
                  <w:r>
                    <w:t xml:space="preserve">0.05 FTE × R650k DPSA L10-11</w:t>
                  </w:r>
                </w:p>
              </w:tc>
              <w:tc>
                <w:tcPr/>
                <w:p>
                  <w:pPr>
                    <w:pStyle w:val="Compact"/>
                    <w:jc w:val="right"/>
                  </w:pPr>
                  <w:r>
                    <w:t xml:space="preserve">32,500</w:t>
                  </w:r>
                </w:p>
              </w:tc>
              <w:tc>
                <w:tcPr/>
                <w:p>
                  <w:pPr>
                    <w:pStyle w:val="Compact"/>
                    <w:jc w:val="left"/>
                  </w:pPr>
                  <w:r>
                    <w:t xml:space="preserve">DPSA L10-11 scale 2024 (Tab 1 NMC analyst CTE)</w:t>
                  </w:r>
                </w:p>
              </w:tc>
            </w:tr>
            <w:tr>
              <w:tc>
                <w:tcPr/>
                <w:p>
                  <w:pPr>
                    <w:pStyle w:val="Compact"/>
                    <w:jc w:val="center"/>
                  </w:pPr>
                  <w:r>
                    <w:t xml:space="preserve">2</w:t>
                  </w:r>
                </w:p>
              </w:tc>
              <w:tc>
                <w:tcPr/>
                <w:p>
                  <w:pPr>
                    <w:pStyle w:val="Compact"/>
                    <w:jc w:val="left"/>
                  </w:pPr>
                  <w:r>
                    <w:t xml:space="preserve">NHLS CDW data extract QA (monthly BChE pull validation)</w:t>
                  </w:r>
                </w:p>
              </w:tc>
              <w:tc>
                <w:tcPr/>
                <w:p>
                  <w:pPr>
                    <w:pStyle w:val="Compact"/>
                    <w:jc w:val="left"/>
                  </w:pPr>
                  <w:r>
                    <w:t xml:space="preserve">0.02 FTE × R900k NHLS medical scientist</w:t>
                  </w:r>
                </w:p>
              </w:tc>
              <w:tc>
                <w:tcPr/>
                <w:p>
                  <w:pPr>
                    <w:pStyle w:val="Compact"/>
                    <w:jc w:val="right"/>
                  </w:pPr>
                  <w:r>
                    <w:t xml:space="preserve">18,000</w:t>
                  </w:r>
                </w:p>
              </w:tc>
              <w:tc>
                <w:tcPr/>
                <w:p>
                  <w:pPr>
                    <w:pStyle w:val="Compact"/>
                    <w:jc w:val="left"/>
                  </w:pPr>
                  <w:r>
                    <w:t xml:space="preserve">NHLS Patterson grade D 2024 (Tab 1 NHLS scientist CTE)</w:t>
                  </w:r>
                </w:p>
              </w:tc>
            </w:tr>
            <w:tr>
              <w:tc>
                <w:tcPr/>
                <w:p>
                  <w:pPr>
                    <w:pStyle w:val="Compact"/>
                    <w:jc w:val="center"/>
                  </w:pPr>
                  <w:r>
                    <w:t xml:space="preserve">3</w:t>
                  </w:r>
                </w:p>
              </w:tc>
              <w:tc>
                <w:tcPr/>
                <w:p>
                  <w:pPr>
                    <w:pStyle w:val="Compact"/>
                    <w:jc w:val="left"/>
                  </w:pPr>
                  <w:r>
                    <w:t xml:space="preserve">NICD SDW hosting + data-feed monitoring (shared cloud, pesticide slice)</w:t>
                  </w:r>
                </w:p>
              </w:tc>
              <w:tc>
                <w:tcPr/>
                <w:p>
                  <w:pPr>
                    <w:pStyle w:val="Compact"/>
                    <w:jc w:val="left"/>
                  </w:pPr>
                  <w:r>
                    <w:t xml:space="preserve">AWS af-south-1 shared allocation</w:t>
                  </w:r>
                </w:p>
              </w:tc>
              <w:tc>
                <w:tcPr/>
                <w:p>
                  <w:pPr>
                    <w:pStyle w:val="Compact"/>
                    <w:jc w:val="right"/>
                  </w:pPr>
                  <w:r>
                    <w:t xml:space="preserve">6,000</w:t>
                  </w:r>
                </w:p>
              </w:tc>
              <w:tc>
                <w:tcPr/>
                <w:p>
                  <w:pPr>
                    <w:pStyle w:val="Compact"/>
                    <w:jc w:val="left"/>
                  </w:pPr>
                  <w:r>
                    <w:t xml:space="preserve">NICD data platform budget 2024 (Tab 2</w:t>
                  </w:r>
                  <w:r>
                    <w:t xml:space="preserve"> </w:t>
                  </w:r>
                  <w:r>
                    <w:t xml:space="preserve">“Data warehouse / ETL”</w:t>
                  </w:r>
                  <w:r>
                    <w:t xml:space="preserve">)</w:t>
                  </w:r>
                </w:p>
              </w:tc>
            </w:tr>
            <w:tr>
              <w:tc>
                <w:tcPr/>
                <w:p>
                  <w:pPr>
                    <w:pStyle w:val="Compact"/>
                    <w:jc w:val="center"/>
                  </w:pPr>
                  <w:r>
                    <w:t xml:space="preserve">4</w:t>
                  </w:r>
                </w:p>
              </w:tc>
              <w:tc>
                <w:tcPr/>
                <w:p>
                  <w:pPr>
                    <w:pStyle w:val="Compact"/>
                    <w:jc w:val="left"/>
                  </w:pPr>
                  <w:r>
                    <w:t xml:space="preserve">Annual MOU compliance review + governance documentation</w:t>
                  </w:r>
                </w:p>
              </w:tc>
              <w:tc>
                <w:tcPr/>
                <w:p>
                  <w:pPr>
                    <w:pStyle w:val="Compact"/>
                    <w:jc w:val="left"/>
                  </w:pPr>
                  <w:r>
                    <w:t xml:space="preserve">Inter-agency MOU review + admin</w:t>
                  </w:r>
                </w:p>
              </w:tc>
              <w:tc>
                <w:tcPr/>
                <w:p>
                  <w:pPr>
                    <w:pStyle w:val="Compact"/>
                    <w:jc w:val="right"/>
                  </w:pPr>
                  <w:r>
                    <w:t xml:space="preserve">3,500</w:t>
                  </w:r>
                </w:p>
              </w:tc>
              <w:tc>
                <w:tcPr/>
                <w:p>
                  <w:pPr>
                    <w:pStyle w:val="Compact"/>
                    <w:jc w:val="left"/>
                  </w:pPr>
                  <w:r>
                    <w:t xml:space="preserve">NICD legal + NHLS MOU management</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60,000</w:t>
                  </w:r>
                </w:p>
              </w:tc>
              <w:tc>
                <w:tcPr/>
                <w:p>
                  <w:pPr>
                    <w:pStyle w:val="Compact"/>
                    <w:jc w:val="left"/>
                  </w:pPr>
                  <w:r>
                    <w:t xml:space="preserve">matches</w:t>
                  </w:r>
                  <w:r>
                    <w:t xml:space="preserve"> </w:t>
                  </w:r>
                  <w:r>
                    <w:rPr>
                      <w:rStyle w:val="VerbatimChar"/>
                    </w:rPr>
                    <w:t xml:space="preserve">c_S0_NHLS_NMC_feed_op</w:t>
                  </w:r>
                  <w:r>
                    <w:t xml:space="preserve"> </w:t>
                  </w:r>
                  <w:r>
                    <w:t xml:space="preserve">in</w:t>
                  </w:r>
                  <w:r>
                    <w:t xml:space="preserve"> </w:t>
                  </w:r>
                  <w:hyperlink r:id="rId14">
                    <w:r>
                      <w:rPr>
                        <w:rStyle w:val="VerbatimChar"/>
                      </w:rPr>
                      <w:t xml:space="preserve">amua_import_parameters_v4.csv</w:t>
                    </w:r>
                  </w:hyperlink>
                </w:p>
              </w:tc>
            </w:tr>
          </w:tbl>
          <w:p>
            <w:pPr>
              <w:pStyle w:val="BodyText"/>
            </w:pPr>
            <w:r>
              <w:rPr>
                <w:b/>
                <w:bCs/>
              </w:rPr>
              <w:t xml:space="preserve">Distribution.</w:t>
            </w:r>
            <w:r>
              <w:t xml:space="preserve"> </w:t>
            </w:r>
            <w:r>
              <w:t xml:space="preserve">gamma(shape = 25, scale = 2,400) → mean R60,000, SD ≈ R12,000. Items 1 and 2 are time-allocated personnel cost at standard CTE rates; items 3 and 4 are direct cash outlays. The same analyst CTE anchor (R650k DPSA L10-11) underpins the NMC baseline in §7 Tab 1, so S0 is consistent with and additive to the status-quo build-up.</w:t>
            </w:r>
          </w:p>
          <w:p>
            <w:pPr>
              <w:pStyle w:val="BodyText"/>
            </w:pPr>
            <w:pPr>
              <w:spacing w:after="16"/>
            </w:pPr>
            <w:r>
              <w:rPr>
                <w:b/>
                <w:bCs/>
              </w:rPr>
              <w:t xml:space="preserve">Setup.</w:t>
            </w:r>
            <w:r>
              <w:t xml:space="preserve"> </w:t>
            </w:r>
            <w:r>
              <w:rPr>
                <w:rStyle w:val="VerbatimChar"/>
              </w:rPr>
              <w:t xml:space="preserve">c_S0_NHLS_NMC_feed_setup</w:t>
            </w:r>
            <w:r>
              <w:t xml:space="preserve"> </w:t>
            </w:r>
            <w:r>
              <w:t xml:space="preserve">= R80,000 (one-off) covered: legal/MOU negotiation, data-mapping and schema agreement, NICD SDW ingestion script development, UAT. Already incurred; not a cost of adopting the MVP.</w:t>
            </w:r>
          </w:p>
          <w:p/>
        </w:tc>
      </w:tr>
    </w:tbl>
    <w:bookmarkStart w:id="46" w:name="X8d2f33c252f11d0f77eb6456dc4ff41a66d0165"/>
    <w:p>
      <w:pPr>
        <w:pStyle w:val="Heading3"/>
      </w:pPr>
      <w:r>
        <w:t xml:space="preserve">Option 1 — BChE auto-notification</w:t>
      </w:r>
      <w:r>
        <w:t xml:space="preserve"> </w:t>
      </w:r>
      <w:r>
        <w:rPr>
          <w:i/>
          <w:iCs/>
        </w:rPr>
        <w:t xml:space="preserve">(★ recommended — first build, capability exists)</w:t>
      </w:r>
    </w:p>
    <w:p>
      <w:pPr>
        <w:pStyle w:val="FirstParagraph"/>
      </w:pPr>
      <w:r>
        <w:t xml:space="preserve">Configure the NHLS LIS to fire an automatic NICD notification when a BChE result shows severe inhibition (&lt; 10 % of normal)*, within 24 hours of validation.</w:t>
      </w:r>
      <w:r>
        <w:t xml:space="preserve"> </w:t>
      </w:r>
      <w:r>
        <w:rPr>
          <w:b/>
          <w:bCs/>
        </w:rPr>
        <w:t xml:space="preserve">No new test, no new reagent contract</w:t>
      </w:r>
      <w:r>
        <w:t xml:space="preserve"> </w:t>
      </w:r>
      <w:r>
        <w:t xml:space="preserve">— only an IT configuration on top of the ~10,626 BChE tests/year already performed (1,779 severe in 2023). Detection rises to ~34 % of true cases (up from ~12 %) for a one-off setup of</w:t>
      </w:r>
      <w:r>
        <w:t xml:space="preserve"> </w:t>
      </w:r>
      <w:r>
        <w:rPr>
          <w:b/>
          <w:bCs/>
        </w:rPr>
        <w:t xml:space="preserve">R200,000</w:t>
      </w:r>
      <w:r>
        <w:t xml:space="preserve">, then</w:t>
      </w:r>
      <w:r>
        <w:t xml:space="preserve"> </w:t>
      </w:r>
      <w:r>
        <w:rPr>
          <w:b/>
          <w:bCs/>
        </w:rPr>
        <w:t xml:space="preserve">R55,000/year</w:t>
      </w:r>
      <w:r>
        <w:t xml:space="preserve"> </w:t>
      </w:r>
      <w:r>
        <w:t xml:space="preserve">from Year 2 (Year 1 total:</w:t>
      </w:r>
      <w:r>
        <w:t xml:space="preserve"> </w:t>
      </w:r>
      <w:r>
        <w:rPr>
          <w:b/>
          <w:bCs/>
        </w:rPr>
        <w:t xml:space="preserve">R255,000</w:t>
      </w:r>
      <w:r>
        <w:t xml:space="preserve">), deliverable in 2–4 weeks. Uses existing NHLS infrastructure with a single owner (NHLS LIS) and delivers the largest single-option P_detect uplift (+21.9 pp) — recommended as the first build.</w:t>
      </w:r>
    </w:p>
    <w:p>
      <w:pPr>
        <w:pStyle w:val="Compact"/>
        <w:numPr>
          <w:ilvl w:val="0"/>
          <w:numId w:val="1003"/>
        </w:numPr>
      </w:pPr>
      <w:r>
        <w:t xml:space="preserve">Severe inhibition is most closely related to severe sequelae such as hospitalisation and death [Chaudhary S, Jain N, Atam V, Agarwal A, Singh K, Sawlani K, et al. Prognostic significance of estimation of pseudocholinesterase activity and role of pralidoxime therapy in organophosphorous poisoning. Toxicol Int. 2013;20(3):214]. Taking any BChE test will likely increase the FP rate and this will not be accounted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Audit trail — mini-budget backing Option 1 (BChE auto-notify): R55,000/yr</w:t>
            </w:r>
          </w:p>
        </w:tc>
      </w:tr>
      <w:tr>
        <w:trPr>
          <w:cantSplit/>
        </w:trPr>
        <w:tc>
          <w:tcPr>
            <w:tcMar>
              <w:top w:w="108" w:type="dxa"/>
              <w:bottom w:w="108" w:type="dxa"/>
            </w:tcMar>
          </w:tcPr>
          <w:p>
            <w:pPr>
              <w:pStyle w:val="BodyText"/>
            </w:pPr>
            <w:pPr>
              <w:spacing w:before="16"/>
            </w:pPr>
            <w:r>
              <w:rPr>
                <w:rStyle w:val="VerbatimChar"/>
              </w:rPr>
              <w:t xml:space="preserve">c_S2_BChE_autonotify_op</w:t>
            </w:r>
            <w:r>
              <w:t xml:space="preserve"> </w:t>
            </w:r>
            <w:r>
              <w:t xml:space="preserve">= R55,000/yr (gamma(25, 2200)) covers the pure IT infrastructure required to keep the HL7 auto-notification middleware running (for poisoning only) —</w:t>
            </w:r>
            <w:r>
              <w:t xml:space="preserve"> </w:t>
            </w:r>
            <w:r>
              <w:rPr>
                <w:b/>
                <w:bCs/>
              </w:rPr>
              <w:t xml:space="preserve">no new laboratory tests, no new reagent contract, no new hires.</w:t>
            </w:r>
            <w:r>
              <w:t xml:space="preserve"> </w:t>
            </w:r>
            <w:r>
              <w:t xml:space="preserve">The one-off LIS reconfiguration and UAT cost (</w:t>
            </w:r>
            <w:r>
              <w:rPr>
                <w:rStyle w:val="VerbatimChar"/>
              </w:rPr>
              <w:t xml:space="preserve">c_S2_BChE_autonotify_setup</w:t>
            </w:r>
            <w:r>
              <w:t xml:space="preserve"> </w:t>
            </w:r>
            <w:r>
              <w:t xml:space="preserve">= R200,000) is separately parameterised. All figures are 2024–2025 ZAR, marginal over the status-quo NHLS BChE baseline.</w:t>
            </w:r>
          </w:p>
          <w:tbl>
            <w:tblPr>
              <w:tblStyle w:val="Table"/>
              <w:tblW w:type="pct" w:w="5000"/>
              <w:tblLayout w:type="fixed"/>
              <w:tblLook w:firstRow="1" w:lastRow="0" w:firstColumn="0" w:lastColumn="0" w:noHBand="0" w:noVBand="0" w:val="0020"/>
            </w:tblPr>
            <w:tblGrid>
              <w:gridCol w:w="465"/>
              <w:gridCol w:w="1708"/>
              <w:gridCol w:w="1242"/>
              <w:gridCol w:w="1863"/>
              <w:gridCol w:w="2640"/>
            </w:tblGrid>
            <w:tr>
              <w:trPr>
                <w:tblHeader w:val="on"/>
              </w:trPr>
              <w:tc>
                <w:tcPr/>
                <w:p>
                  <w:pPr>
                    <w:pStyle w:val="Compact"/>
                    <w:jc w:val="center"/>
                  </w:pPr>
                  <w:r>
                    <w:t xml:space="preserve">#</w:t>
                  </w:r>
                </w:p>
              </w:tc>
              <w:tc>
                <w:tcPr/>
                <w:p>
                  <w:pPr>
                    <w:pStyle w:val="Compact"/>
                    <w:jc w:val="left"/>
                  </w:pPr>
                  <w:r>
                    <w:t xml:space="preserve">Line item</w:t>
                  </w:r>
                </w:p>
              </w:tc>
              <w:tc>
                <w:tcPr/>
                <w:p>
                  <w:pPr>
                    <w:pStyle w:val="Compact"/>
                    <w:jc w:val="left"/>
                  </w:pPr>
                  <w:r>
                    <w:t xml:space="preserve">Driver</w:t>
                  </w:r>
                </w:p>
              </w:tc>
              <w:tc>
                <w:tcPr/>
                <w:p>
                  <w:pPr>
                    <w:pStyle w:val="Compact"/>
                    <w:jc w:val="right"/>
                  </w:pPr>
                  <w:r>
                    <w:t xml:space="preserve">Annual (R)</w:t>
                  </w:r>
                </w:p>
              </w:tc>
              <w:tc>
                <w:tcPr/>
                <w:p>
                  <w:pPr>
                    <w:pStyle w:val="Compact"/>
                    <w:jc w:val="left"/>
                  </w:pPr>
                  <w:r>
                    <w:t xml:space="preserve">Source / anchor</w:t>
                  </w:r>
                </w:p>
              </w:tc>
            </w:tr>
            <w:tr>
              <w:tc>
                <w:tcPr/>
                <w:p>
                  <w:pPr>
                    <w:pStyle w:val="Compact"/>
                    <w:jc w:val="center"/>
                  </w:pPr>
                  <w:r>
                    <w:t xml:space="preserve">1</w:t>
                  </w:r>
                </w:p>
              </w:tc>
              <w:tc>
                <w:tcPr/>
                <w:p>
                  <w:pPr>
                    <w:pStyle w:val="Compact"/>
                    <w:jc w:val="left"/>
                  </w:pPr>
                  <w:r>
                    <w:t xml:space="preserve">HL7 middleware hosting (Mirth Connect; af-south-1 t3.small VM)</w:t>
                  </w:r>
                </w:p>
              </w:tc>
              <w:tc>
                <w:tcPr/>
                <w:p>
                  <w:pPr>
                    <w:pStyle w:val="Compact"/>
                    <w:jc w:val="left"/>
                  </w:pPr>
                  <w:r>
                    <w:t xml:space="preserve">VM + storage, 12 mo</w:t>
                  </w:r>
                </w:p>
              </w:tc>
              <w:tc>
                <w:tcPr/>
                <w:p>
                  <w:pPr>
                    <w:pStyle w:val="Compact"/>
                    <w:jc w:val="right"/>
                  </w:pPr>
                  <w:r>
                    <w:t xml:space="preserve">18,000</w:t>
                  </w:r>
                </w:p>
              </w:tc>
              <w:tc>
                <w:tcPr/>
                <w:p>
                  <w:pPr>
                    <w:pStyle w:val="Compact"/>
                    <w:jc w:val="left"/>
                  </w:pPr>
                  <w:r>
                    <w:t xml:space="preserve">AWS af-south-1 pricing 2024 (same tier as §7 Tab 2</w:t>
                  </w:r>
                  <w:r>
                    <w:t xml:space="preserve"> </w:t>
                  </w:r>
                  <w:r>
                    <w:t xml:space="preserve">“LIS rule engine middleware”</w:t>
                  </w:r>
                  <w:r>
                    <w:t xml:space="preserve">)</w:t>
                  </w:r>
                </w:p>
              </w:tc>
            </w:tr>
            <w:tr>
              <w:tc>
                <w:tcPr/>
                <w:p>
                  <w:pPr>
                    <w:pStyle w:val="Compact"/>
                    <w:jc w:val="center"/>
                  </w:pPr>
                  <w:r>
                    <w:t xml:space="preserve">2</w:t>
                  </w:r>
                </w:p>
              </w:tc>
              <w:tc>
                <w:tcPr/>
                <w:p>
                  <w:pPr>
                    <w:pStyle w:val="Compact"/>
                    <w:jc w:val="left"/>
                  </w:pPr>
                  <w:r>
                    <w:t xml:space="preserve">NHLS LIS IT engineer maintenance</w:t>
                  </w:r>
                </w:p>
              </w:tc>
              <w:tc>
                <w:tcPr/>
                <w:p>
                  <w:pPr>
                    <w:pStyle w:val="Compact"/>
                    <w:jc w:val="left"/>
                  </w:pPr>
                  <w:r>
                    <w:t xml:space="preserve">0.02 FTE × R750k SITA/state IT rate</w:t>
                  </w:r>
                </w:p>
              </w:tc>
              <w:tc>
                <w:tcPr/>
                <w:p>
                  <w:pPr>
                    <w:pStyle w:val="Compact"/>
                    <w:jc w:val="right"/>
                  </w:pPr>
                  <w:r>
                    <w:t xml:space="preserve">15,000</w:t>
                  </w:r>
                </w:p>
              </w:tc>
              <w:tc>
                <w:tcPr/>
                <w:p>
                  <w:pPr>
                    <w:pStyle w:val="Compact"/>
                    <w:jc w:val="left"/>
                  </w:pPr>
                  <w:r>
                    <w:t xml:space="preserve">SITA / state IT contracting 2024 (Tab 1 Cross-cutting data engineer CTE)</w:t>
                  </w:r>
                </w:p>
              </w:tc>
            </w:tr>
            <w:tr>
              <w:tc>
                <w:tcPr/>
                <w:p>
                  <w:pPr>
                    <w:pStyle w:val="Compact"/>
                    <w:jc w:val="center"/>
                  </w:pPr>
                  <w:r>
                    <w:t xml:space="preserve">3</w:t>
                  </w:r>
                </w:p>
              </w:tc>
              <w:tc>
                <w:tcPr/>
                <w:p>
                  <w:pPr>
                    <w:pStyle w:val="Compact"/>
                    <w:jc w:val="left"/>
                  </w:pPr>
                  <w:r>
                    <w:t xml:space="preserve">NHLS medical scientist alert QA review</w:t>
                  </w:r>
                </w:p>
              </w:tc>
              <w:tc>
                <w:tcPr/>
                <w:p>
                  <w:pPr>
                    <w:pStyle w:val="Compact"/>
                    <w:jc w:val="left"/>
                  </w:pPr>
                  <w:r>
                    <w:t xml:space="preserve">0.005 FTE × R900k NHLS Patterson grade D</w:t>
                  </w:r>
                </w:p>
              </w:tc>
              <w:tc>
                <w:tcPr/>
                <w:p>
                  <w:pPr>
                    <w:pStyle w:val="Compact"/>
                    <w:jc w:val="right"/>
                  </w:pPr>
                  <w:r>
                    <w:t xml:space="preserve">4,500</w:t>
                  </w:r>
                </w:p>
              </w:tc>
              <w:tc>
                <w:tcPr/>
                <w:p>
                  <w:pPr>
                    <w:pStyle w:val="Compact"/>
                    <w:jc w:val="left"/>
                  </w:pPr>
                  <w:r>
                    <w:t xml:space="preserve">NHLS Patterson grade D 2024 (Tab 1 NHLS scientist CTE)</w:t>
                  </w:r>
                </w:p>
              </w:tc>
            </w:tr>
            <w:tr>
              <w:tc>
                <w:tcPr/>
                <w:p>
                  <w:pPr>
                    <w:pStyle w:val="Compact"/>
                    <w:jc w:val="center"/>
                  </w:pPr>
                  <w:r>
                    <w:t xml:space="preserve">4</w:t>
                  </w:r>
                </w:p>
              </w:tc>
              <w:tc>
                <w:tcPr/>
                <w:p>
                  <w:pPr>
                    <w:pStyle w:val="Compact"/>
                    <w:jc w:val="left"/>
                  </w:pPr>
                  <w:r>
                    <w:t xml:space="preserve">NICD epidemiologist alert triage + NMC routing</w:t>
                  </w:r>
                </w:p>
              </w:tc>
              <w:tc>
                <w:tcPr/>
                <w:p>
                  <w:pPr>
                    <w:pStyle w:val="Compact"/>
                    <w:jc w:val="left"/>
                  </w:pPr>
                  <w:r>
                    <w:t xml:space="preserve">0.01 FTE × R650k DPSA L10-11</w:t>
                  </w:r>
                </w:p>
              </w:tc>
              <w:tc>
                <w:tcPr/>
                <w:p>
                  <w:pPr>
                    <w:pStyle w:val="Compact"/>
                    <w:jc w:val="right"/>
                  </w:pPr>
                  <w:r>
                    <w:t xml:space="preserve">6,500</w:t>
                  </w:r>
                </w:p>
              </w:tc>
              <w:tc>
                <w:tcPr/>
                <w:p>
                  <w:pPr>
                    <w:pStyle w:val="Compact"/>
                    <w:jc w:val="left"/>
                  </w:pPr>
                  <w:r>
                    <w:t xml:space="preserve">DPSA L10-11 scale 2024 (Tab 1 NMC analyst CTE)</w:t>
                  </w:r>
                </w:p>
              </w:tc>
            </w:tr>
            <w:tr>
              <w:tc>
                <w:tcPr/>
                <w:p>
                  <w:pPr>
                    <w:pStyle w:val="Compact"/>
                    <w:jc w:val="center"/>
                  </w:pPr>
                  <w:r>
                    <w:t xml:space="preserve">5</w:t>
                  </w:r>
                </w:p>
              </w:tc>
              <w:tc>
                <w:tcPr/>
                <w:p>
                  <w:pPr>
                    <w:pStyle w:val="Compact"/>
                    <w:jc w:val="left"/>
                  </w:pPr>
                  <w:r>
                    <w:t xml:space="preserve">Mirth Connect enterprise support licence / maintenance agreement</w:t>
                  </w:r>
                </w:p>
              </w:tc>
              <w:tc>
                <w:tcPr/>
                <w:p>
                  <w:pPr>
                    <w:pStyle w:val="Compact"/>
                    <w:jc w:val="left"/>
                  </w:pPr>
                  <w:r>
                    <w:t xml:space="preserve">Annual contract</w:t>
                  </w:r>
                </w:p>
              </w:tc>
              <w:tc>
                <w:tcPr/>
                <w:p>
                  <w:pPr>
                    <w:pStyle w:val="Compact"/>
                    <w:jc w:val="right"/>
                  </w:pPr>
                  <w:r>
                    <w:t xml:space="preserve">7,000</w:t>
                  </w:r>
                </w:p>
              </w:tc>
              <w:tc>
                <w:tcPr/>
                <w:p>
                  <w:pPr>
                    <w:pStyle w:val="Compact"/>
                    <w:jc w:val="left"/>
                  </w:pPr>
                  <w:r>
                    <w:t xml:space="preserve">NHLS IT estimate (cited in</w:t>
                  </w:r>
                  <w:r>
                    <w:t xml:space="preserve"> </w:t>
                  </w:r>
                  <w:r>
                    <w:rPr>
                      <w:rStyle w:val="VerbatimChar"/>
                    </w:rPr>
                    <w:t xml:space="preserve">c_S2_BChE_autonotify_op</w:t>
                  </w:r>
                  <w:r>
                    <w:t xml:space="preserve"> </w:t>
                  </w:r>
                  <w:r>
                    <w:t xml:space="preserve">source note)</w:t>
                  </w:r>
                </w:p>
              </w:tc>
            </w:tr>
            <w:tr>
              <w:tc>
                <w:tcPr/>
                <w:p>
                  <w:pPr>
                    <w:pStyle w:val="Compact"/>
                    <w:jc w:val="center"/>
                  </w:pPr>
                  <w:r>
                    <w:t xml:space="preserve">6</w:t>
                  </w:r>
                </w:p>
              </w:tc>
              <w:tc>
                <w:tcPr/>
                <w:p>
                  <w:pPr>
                    <w:pStyle w:val="Compact"/>
                    <w:jc w:val="left"/>
                  </w:pPr>
                  <w:r>
                    <w:t xml:space="preserve">NICD analyst QA reconciliation (NHLS→NMC matching spot-checks)</w:t>
                  </w:r>
                </w:p>
              </w:tc>
              <w:tc>
                <w:tcPr/>
                <w:p>
                  <w:pPr>
                    <w:pStyle w:val="Compact"/>
                    <w:jc w:val="left"/>
                  </w:pPr>
                  <w:r>
                    <w:t xml:space="preserve">0.005 FTE × R650k</w:t>
                  </w:r>
                </w:p>
              </w:tc>
              <w:tc>
                <w:tcPr/>
                <w:p>
                  <w:pPr>
                    <w:pStyle w:val="Compact"/>
                    <w:jc w:val="right"/>
                  </w:pPr>
                  <w:r>
                    <w:t xml:space="preserve">3,250</w:t>
                  </w:r>
                </w:p>
              </w:tc>
              <w:tc>
                <w:tcPr/>
                <w:p>
                  <w:pPr>
                    <w:pStyle w:val="Compact"/>
                    <w:jc w:val="left"/>
                  </w:pPr>
                  <w:r>
                    <w:t xml:space="preserve">DPSA L10-11 scale 2024</w:t>
                  </w:r>
                </w:p>
              </w:tc>
            </w:tr>
            <w:tr>
              <w:tc>
                <w:tcPr/>
                <w:p>
                  <w:pPr>
                    <w:pStyle w:val="Compact"/>
                    <w:jc w:val="center"/>
                  </w:pPr>
                  <w:r>
                    <w:t xml:space="preserve">7</w:t>
                  </w:r>
                </w:p>
              </w:tc>
              <w:tc>
                <w:tcPr/>
                <w:p>
                  <w:pPr>
                    <w:pStyle w:val="Compact"/>
                    <w:jc w:val="left"/>
                  </w:pPr>
                  <w:r>
                    <w:t xml:space="preserve">On-call incident-response allowance (middleware outage cover)</w:t>
                  </w:r>
                </w:p>
              </w:tc>
              <w:tc>
                <w:tcPr/>
                <w:p>
                  <w:pPr>
                    <w:pStyle w:val="Compact"/>
                    <w:jc w:val="left"/>
                  </w:pPr>
                  <w:r>
                    <w:t xml:space="preserve">Annual allowance</w:t>
                  </w:r>
                </w:p>
              </w:tc>
              <w:tc>
                <w:tcPr/>
                <w:p>
                  <w:pPr>
                    <w:pStyle w:val="Compact"/>
                    <w:jc w:val="right"/>
                  </w:pPr>
                  <w:r>
                    <w:t xml:space="preserve">750</w:t>
                  </w:r>
                </w:p>
              </w:tc>
              <w:tc>
                <w:tcPr/>
                <w:p>
                  <w:pPr>
                    <w:pStyle w:val="Compact"/>
                    <w:jc w:val="left"/>
                  </w:pPr>
                  <w:r>
                    <w:t xml:space="preserve">NHLS IT estimate</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55,000</w:t>
                  </w:r>
                </w:p>
              </w:tc>
              <w:tc>
                <w:tcPr/>
                <w:p>
                  <w:pPr>
                    <w:pStyle w:val="Compact"/>
                    <w:jc w:val="left"/>
                  </w:pPr>
                  <w:r>
                    <w:t xml:space="preserve">matches</w:t>
                  </w:r>
                  <w:r>
                    <w:t xml:space="preserve"> </w:t>
                  </w:r>
                  <w:r>
                    <w:rPr>
                      <w:rStyle w:val="VerbatimChar"/>
                    </w:rPr>
                    <w:t xml:space="preserve">c_S2_BChE_autonotify_op</w:t>
                  </w:r>
                  <w:r>
                    <w:t xml:space="preserve"> </w:t>
                  </w:r>
                  <w:r>
                    <w:t xml:space="preserve">in</w:t>
                  </w:r>
                  <w:r>
                    <w:t xml:space="preserve"> </w:t>
                  </w:r>
                  <w:hyperlink r:id="rId14">
                    <w:r>
                      <w:rPr>
                        <w:rStyle w:val="VerbatimChar"/>
                      </w:rPr>
                      <w:t xml:space="preserve">amua_import_parameters_v4.csv</w:t>
                    </w:r>
                  </w:hyperlink>
                </w:p>
              </w:tc>
            </w:tr>
          </w:tbl>
          <w:p>
            <w:pPr>
              <w:pStyle w:val="BodyText"/>
            </w:pPr>
            <w:r>
              <w:rPr>
                <w:b/>
                <w:bCs/>
              </w:rPr>
              <w:t xml:space="preserve">Distribution.</w:t>
            </w:r>
            <w:r>
              <w:t xml:space="preserve"> </w:t>
            </w:r>
            <w:r>
              <w:t xml:space="preserve">gamma(shape = 25, scale = 2,200) → mean R55,000, SD ≈ R11,000 (95% CI ≈ R36k–R78k). Items 1 and 5 are direct cash outlays (cloud hosting + licence); items 2, 3, 4 and 6 are time-allocated personnel cost at §7 Tab 1 CTE rates — no new hires; the Option 1 allocation is additive to the existing pesticide share of those posts.</w:t>
            </w:r>
          </w:p>
          <w:p>
            <w:pPr>
              <w:pStyle w:val="BodyText"/>
            </w:pPr>
            <w:r>
              <w:rPr>
                <w:b/>
                <w:bCs/>
              </w:rPr>
              <w:t xml:space="preserve">Sensitivity.</w:t>
            </w:r>
            <w:r>
              <w:t xml:space="preserve"> </w:t>
            </w:r>
            <w:r>
              <w:t xml:space="preserve">Middleware hosting tier is the dominant driver (t3.small → t3.medium adds ~R12,000/yr); doubling the NHLS IT FTE share adds ~R15,000/yr. Neither moves Option 1 above Option 2 in operating cost (R82,000/yr).</w:t>
            </w:r>
          </w:p>
          <w:p>
            <w:pPr>
              <w:pStyle w:val="BodyText"/>
            </w:pPr>
            <w:pPr>
              <w:spacing w:after="16"/>
            </w:pPr>
            <w:r>
              <w:rPr>
                <w:b/>
                <w:bCs/>
              </w:rPr>
              <w:t xml:space="preserve">Setup.</w:t>
            </w:r>
            <w:r>
              <w:t xml:space="preserve"> </w:t>
            </w:r>
            <w:r>
              <w:rPr>
                <w:rStyle w:val="VerbatimChar"/>
              </w:rPr>
              <w:t xml:space="preserve">c_S2_BChE_autonotify_setup</w:t>
            </w:r>
            <w:r>
              <w:t xml:space="preserve"> </w:t>
            </w:r>
            <w:r>
              <w:t xml:space="preserve">= R200,000 (one-off) covers NHLS LIS HL7 rule development, configuration of the severity threshold (&lt; 10% of normal enzyme activity), UAT across NHLS network sites, and go-live sign-off. Spent once; not part of the recurring R55,000/yr.</w:t>
            </w:r>
          </w:p>
          <w:p/>
        </w:tc>
      </w:tr>
    </w:tbl>
    <w:bookmarkEnd w:id="46"/>
    <w:bookmarkStart w:id="50" w:name="X75a65e29c8755ab3cbd95f19148137abd0b7096"/>
    <w:p>
      <w:pPr>
        <w:pStyle w:val="Heading3"/>
      </w:pPr>
      <w:r>
        <w:t xml:space="preserve">Option 2 — PIH live dashboard + Minimum Viable Dataset</w:t>
      </w:r>
      <w:r>
        <w:t xml:space="preserve"> </w:t>
      </w:r>
      <w:r>
        <w:rPr>
          <w:i/>
          <w:iCs/>
        </w:rPr>
        <w:t xml:space="preserve">(★ recommended — second build, completes the MVP)</w:t>
      </w:r>
    </w:p>
    <w:p>
      <w:pPr>
        <w:pStyle w:val="FirstParagraph"/>
      </w:pPr>
      <w:r>
        <w:t xml:space="preserve">Two layers:</w:t>
      </w:r>
    </w:p>
    <w:p>
      <w:pPr>
        <w:pStyle w:val="Compact"/>
        <w:numPr>
          <w:ilvl w:val="0"/>
          <w:numId w:val="1004"/>
        </w:numPr>
      </w:pPr>
      <w:r>
        <w:rPr>
          <w:b/>
          <w:bCs/>
        </w:rPr>
        <w:t xml:space="preserve">Short term (1–2 weeks):</w:t>
      </w:r>
      <w:r>
        <w:t xml:space="preserve"> </w:t>
      </w:r>
      <w:r>
        <w:t xml:space="preserve">PIH publishes a live dashboard of pesticide-related calls (counts, geography, agent, severity, demographics,</w:t>
      </w:r>
      <w:r>
        <w:t xml:space="preserve"> </w:t>
      </w:r>
      <w:r>
        <w:rPr>
          <w:b/>
          <w:bCs/>
        </w:rPr>
        <w:t xml:space="preserve">AfriTox agent name</w:t>
      </w:r>
      <w:r>
        <w:t xml:space="preserve">). No new data; just a daily extract from existing call records.</w:t>
      </w:r>
    </w:p>
    <w:p>
      <w:pPr>
        <w:pStyle w:val="Compact"/>
        <w:numPr>
          <w:ilvl w:val="0"/>
          <w:numId w:val="1004"/>
        </w:numPr>
      </w:pPr>
      <w:r>
        <w:rPr>
          <w:b/>
          <w:bCs/>
        </w:rPr>
        <w:t xml:space="preserve">Medium term (3–9 months):</w:t>
      </w:r>
      <w:r>
        <w:t xml:space="preserve"> </w:t>
      </w:r>
      <w:r>
        <w:t xml:space="preserve">PIH and NICD agree a</w:t>
      </w:r>
      <w:r>
        <w:t xml:space="preserve"> </w:t>
      </w:r>
      <w:r>
        <w:rPr>
          <w:b/>
          <w:bCs/>
        </w:rPr>
        <w:t xml:space="preserve">Minimum Viable Dataset (MVD)</w:t>
      </w:r>
      <w:r>
        <w:t xml:space="preserve"> </w:t>
      </w:r>
      <w:r>
        <w:t xml:space="preserve">so the ~1,158 clinician-initiated calls/year can be ingested into NMC as a structured surveillance stream.</w:t>
      </w:r>
      <w:r>
        <w:t xml:space="preserve"> </w:t>
      </w:r>
      <w:r>
        <w:rPr>
          <w:b/>
          <w:bCs/>
        </w:rPr>
        <w:t xml:space="preserve">Agent-name capture is a mandatory MVD field</w:t>
      </w:r>
      <w:r>
        <w:t xml:space="preserve"> </w:t>
      </w:r>
      <w:r>
        <w:t xml:space="preserve">— both PIH and NMC must record the AfriTox product name for every case. To make this reciprocal,</w:t>
      </w:r>
      <w:r>
        <w:t xml:space="preserve"> </w:t>
      </w:r>
      <w:r>
        <w:rPr>
          <w:b/>
          <w:bCs/>
        </w:rPr>
        <w:t xml:space="preserve">NMC should add a structured agent drop-down</w:t>
      </w:r>
      <w:r>
        <w:t xml:space="preserve"> </w:t>
      </w:r>
      <w:r>
        <w:t xml:space="preserve">(pesticide class → active ingredient → AfriTox product name) to its NDoH-hosted notification form: PIH records what the caller</w:t>
      </w:r>
      <w:r>
        <w:t xml:space="preserve"> </w:t>
      </w:r>
      <w:r>
        <w:rPr>
          <w:i/>
          <w:iCs/>
        </w:rPr>
        <w:t xml:space="preserve">reports</w:t>
      </w:r>
      <w:r>
        <w:t xml:space="preserve">; NMC records what the clinician</w:t>
      </w:r>
      <w:r>
        <w:t xml:space="preserve"> </w:t>
      </w:r>
      <w:r>
        <w:rPr>
          <w:i/>
          <w:iCs/>
        </w:rPr>
        <w:t xml:space="preserve">confirms</w:t>
      </w:r>
      <w:r>
        <w:t xml:space="preserve">. Combined: agent-attribution signal system-wide at near-zero marginal cost.</w:t>
      </w:r>
    </w:p>
    <w:p>
      <w:pPr>
        <w:pStyle w:val="FirstParagraph"/>
      </w:pPr>
      <w:r>
        <w:t xml:space="preserve">Detection rises to ~27 % of true cases (up from ~12 %) for a one-off setup of</w:t>
      </w:r>
      <w:r>
        <w:t xml:space="preserve"> </w:t>
      </w:r>
      <w:r>
        <w:rPr>
          <w:b/>
          <w:bCs/>
        </w:rPr>
        <w:t xml:space="preserve">R40,000</w:t>
      </w:r>
      <w:r>
        <w:t xml:space="preserve">, then</w:t>
      </w:r>
      <w:r>
        <w:t xml:space="preserve"> </w:t>
      </w:r>
      <w:r>
        <w:rPr>
          <w:b/>
          <w:bCs/>
        </w:rPr>
        <w:t xml:space="preserve">R82,000/year</w:t>
      </w:r>
      <w:r>
        <w:t xml:space="preserve"> </w:t>
      </w:r>
      <w:r>
        <w:t xml:space="preserve">from Year 2 (Year 1 total:</w:t>
      </w:r>
      <w:r>
        <w:t xml:space="preserve"> </w:t>
      </w:r>
      <w:r>
        <w:rPr>
          <w:b/>
          <w:bCs/>
        </w:rPr>
        <w:t xml:space="preserve">R122,000</w:t>
      </w:r>
      <w:r>
        <w:t xml:space="preserve">; includes AfriTox agent-name harmonisation). The dashboard ships in days; the MVD ingest is the second build to complete the MVP.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Audit trail — mini-budget backing Option 2 (PIH dashboard + MVD): R82,000/yr</w:t>
            </w:r>
          </w:p>
        </w:tc>
      </w:tr>
      <w:tr>
        <w:trPr>
          <w:cantSplit/>
        </w:trPr>
        <w:tc>
          <w:tcPr>
            <w:tcMar>
              <w:top w:w="108" w:type="dxa"/>
              <w:bottom w:w="108" w:type="dxa"/>
            </w:tcMar>
          </w:tcPr>
          <w:p>
            <w:pPr>
              <w:pStyle w:val="BodyText"/>
            </w:pPr>
            <w:pPr>
              <w:spacing w:before="16"/>
            </w:pPr>
            <w:r>
              <w:t xml:space="preserve">The</w:t>
            </w:r>
            <w:r>
              <w:t xml:space="preserve"> </w:t>
            </w:r>
            <w:r>
              <w:rPr>
                <w:rStyle w:val="VerbatimChar"/>
              </w:rPr>
              <w:t xml:space="preserve">c_S1_PIH_MVD_op</w:t>
            </w:r>
            <w:r>
              <w:t xml:space="preserve"> </w:t>
            </w:r>
            <w:r>
              <w:t xml:space="preserve">parameter (mean R82,000/yr; gamma(25, 3280)) is</w:t>
            </w:r>
            <w:r>
              <w:t xml:space="preserve"> </w:t>
            </w:r>
            <w:r>
              <w:rPr>
                <w:b/>
                <w:bCs/>
              </w:rPr>
              <w:t xml:space="preserve">not a single quoted price</w:t>
            </w:r>
            <w:r>
              <w:t xml:space="preserve"> </w:t>
            </w:r>
            <w:r>
              <w:t xml:space="preserve">— it is the sum of seven small recurring line items required to keep the PIH dashboard live, the MVD pipeline running, and the AfriTox agent drop-down synchronised between PIH and NMC. All figures are 2024–2025 ZAR, marginal over the status-quo PIH operation (which is already costed in §7 Tab 1–2 from</w:t>
            </w:r>
            <w:r>
              <w:t xml:space="preserve"> </w:t>
            </w:r>
            <w:hyperlink r:id="rId49">
              <w:r>
                <w:rPr>
                  <w:rStyle w:val="VerbatimChar"/>
                </w:rPr>
                <w:t xml:space="preserve">data/surveillance_costing.xlsx</w:t>
              </w:r>
            </w:hyperlink>
            <w:r>
              <w:t xml:space="preserve">).</w:t>
            </w:r>
          </w:p>
          <w:tbl>
            <w:tblPr>
              <w:tblStyle w:val="Table"/>
              <w:tblW w:type="pct" w:w="5000"/>
              <w:tblLayout w:type="fixed"/>
              <w:tblLook w:firstRow="1" w:lastRow="0" w:firstColumn="0" w:lastColumn="0" w:noHBand="0" w:noVBand="0" w:val="0020"/>
            </w:tblPr>
            <w:tblGrid>
              <w:gridCol w:w="465"/>
              <w:gridCol w:w="1708"/>
              <w:gridCol w:w="1242"/>
              <w:gridCol w:w="1863"/>
              <w:gridCol w:w="2640"/>
            </w:tblGrid>
            <w:tr>
              <w:trPr>
                <w:tblHeader w:val="on"/>
              </w:trPr>
              <w:tc>
                <w:tcPr/>
                <w:p>
                  <w:pPr>
                    <w:pStyle w:val="Compact"/>
                    <w:jc w:val="center"/>
                  </w:pPr>
                  <w:r>
                    <w:t xml:space="preserve">#</w:t>
                  </w:r>
                </w:p>
              </w:tc>
              <w:tc>
                <w:tcPr/>
                <w:p>
                  <w:pPr>
                    <w:pStyle w:val="Compact"/>
                    <w:jc w:val="left"/>
                  </w:pPr>
                  <w:r>
                    <w:t xml:space="preserve">Line item</w:t>
                  </w:r>
                </w:p>
              </w:tc>
              <w:tc>
                <w:tcPr/>
                <w:p>
                  <w:pPr>
                    <w:pStyle w:val="Compact"/>
                    <w:jc w:val="left"/>
                  </w:pPr>
                  <w:r>
                    <w:t xml:space="preserve">Driver</w:t>
                  </w:r>
                </w:p>
              </w:tc>
              <w:tc>
                <w:tcPr/>
                <w:p>
                  <w:pPr>
                    <w:pStyle w:val="Compact"/>
                    <w:jc w:val="right"/>
                  </w:pPr>
                  <w:r>
                    <w:t xml:space="preserve">Annual (R)</w:t>
                  </w:r>
                </w:p>
              </w:tc>
              <w:tc>
                <w:tcPr/>
                <w:p>
                  <w:pPr>
                    <w:pStyle w:val="Compact"/>
                    <w:jc w:val="left"/>
                  </w:pPr>
                  <w:r>
                    <w:t xml:space="preserve">Source / anchor</w:t>
                  </w:r>
                </w:p>
              </w:tc>
            </w:tr>
            <w:tr>
              <w:tc>
                <w:tcPr/>
                <w:p>
                  <w:pPr>
                    <w:pStyle w:val="Compact"/>
                    <w:jc w:val="center"/>
                  </w:pPr>
                  <w:r>
                    <w:t xml:space="preserve">1</w:t>
                  </w:r>
                </w:p>
              </w:tc>
              <w:tc>
                <w:tcPr/>
                <w:p>
                  <w:pPr>
                    <w:pStyle w:val="Compact"/>
                    <w:jc w:val="left"/>
                  </w:pPr>
                  <w:r>
                    <w:t xml:space="preserve">Dashboard hosting (PIH Tygerberg cloud VM)</w:t>
                  </w:r>
                </w:p>
              </w:tc>
              <w:tc>
                <w:tcPr/>
                <w:p>
                  <w:pPr>
                    <w:pStyle w:val="Compact"/>
                    <w:jc w:val="left"/>
                  </w:pPr>
                  <w:r>
                    <w:t xml:space="preserve">AWS af-south-1 t3.small + RDS + backup, 12 mo</w:t>
                  </w:r>
                </w:p>
              </w:tc>
              <w:tc>
                <w:tcPr/>
                <w:p>
                  <w:pPr>
                    <w:pStyle w:val="Compact"/>
                    <w:jc w:val="right"/>
                  </w:pPr>
                  <w:r>
                    <w:t xml:space="preserve">18,000</w:t>
                  </w:r>
                </w:p>
              </w:tc>
              <w:tc>
                <w:tcPr/>
                <w:p>
                  <w:pPr>
                    <w:pStyle w:val="Compact"/>
                    <w:jc w:val="left"/>
                  </w:pPr>
                  <w:r>
                    <w:t xml:space="preserve">AWS af-south-1 pricing 2024 (also Tab 2 of</w:t>
                  </w:r>
                  <w:r>
                    <w:t xml:space="preserve"> </w:t>
                  </w:r>
                  <w:hyperlink r:id="rId49">
                    <w:r>
                      <w:rPr>
                        <w:rStyle w:val="VerbatimChar"/>
                      </w:rPr>
                      <w:t xml:space="preserve">surveillance_costing.xlsx</w:t>
                    </w:r>
                  </w:hyperlink>
                  <w:r>
                    <w:t xml:space="preserve">, row</w:t>
                  </w:r>
                  <w:r>
                    <w:t xml:space="preserve"> </w:t>
                  </w:r>
                  <w:r>
                    <w:t xml:space="preserve">“Dashboard hosting (Tygerberg cloud VM)”</w:t>
                  </w:r>
                  <w:r>
                    <w:t xml:space="preserve">, pesticide share)</w:t>
                  </w:r>
                </w:p>
              </w:tc>
            </w:tr>
            <w:tr>
              <w:tc>
                <w:tcPr/>
                <w:p>
                  <w:pPr>
                    <w:pStyle w:val="Compact"/>
                    <w:jc w:val="center"/>
                  </w:pPr>
                  <w:r>
                    <w:t xml:space="preserve">2</w:t>
                  </w:r>
                </w:p>
              </w:tc>
              <w:tc>
                <w:tcPr/>
                <w:p>
                  <w:pPr>
                    <w:pStyle w:val="Compact"/>
                    <w:jc w:val="left"/>
                  </w:pPr>
                  <w:r>
                    <w:t xml:space="preserve">Daily PIH→dashboard extract pipeline (script + on-call)</w:t>
                  </w:r>
                </w:p>
              </w:tc>
              <w:tc>
                <w:tcPr/>
                <w:p>
                  <w:pPr>
                    <w:pStyle w:val="Compact"/>
                    <w:jc w:val="left"/>
                  </w:pPr>
                  <w:r>
                    <w:t xml:space="preserve">0.02 FTE × R780k poisons specialist</w:t>
                  </w:r>
                </w:p>
              </w:tc>
              <w:tc>
                <w:tcPr/>
                <w:p>
                  <w:pPr>
                    <w:pStyle w:val="Compact"/>
                    <w:jc w:val="right"/>
                  </w:pPr>
                  <w:r>
                    <w:t xml:space="preserve">15,600</w:t>
                  </w:r>
                </w:p>
              </w:tc>
              <w:tc>
                <w:tcPr/>
                <w:p>
                  <w:pPr>
                    <w:pStyle w:val="Compact"/>
                    <w:jc w:val="left"/>
                  </w:pPr>
                  <w:r>
                    <w:t xml:space="preserve">DoH pharmacy OSD scale 2024 (PIH specialist CTE used in Tab 1)</w:t>
                  </w:r>
                </w:p>
              </w:tc>
            </w:tr>
            <w:tr>
              <w:tc>
                <w:tcPr/>
                <w:p>
                  <w:pPr>
                    <w:pStyle w:val="Compact"/>
                    <w:jc w:val="center"/>
                  </w:pPr>
                  <w:r>
                    <w:t xml:space="preserve">3</w:t>
                  </w:r>
                </w:p>
              </w:tc>
              <w:tc>
                <w:tcPr/>
                <w:p>
                  <w:pPr>
                    <w:pStyle w:val="Compact"/>
                    <w:jc w:val="left"/>
                  </w:pPr>
                  <w:r>
                    <w:t xml:space="preserve">AfriTox agent-name harmonisation maintenance (PIH ↔ NMC drop-down sync, quarterly refresh)</w:t>
                  </w:r>
                </w:p>
              </w:tc>
              <w:tc>
                <w:tcPr/>
                <w:p>
                  <w:pPr>
                    <w:pStyle w:val="Compact"/>
                    <w:jc w:val="left"/>
                  </w:pPr>
                  <w:r>
                    <w:t xml:space="preserve">0.02 FTE × R650k NICD epidemiologist</w:t>
                  </w:r>
                </w:p>
              </w:tc>
              <w:tc>
                <w:tcPr/>
                <w:p>
                  <w:pPr>
                    <w:pStyle w:val="Compact"/>
                    <w:jc w:val="right"/>
                  </w:pPr>
                  <w:r>
                    <w:t xml:space="preserve">13,000</w:t>
                  </w:r>
                </w:p>
              </w:tc>
              <w:tc>
                <w:tcPr/>
                <w:p>
                  <w:pPr>
                    <w:pStyle w:val="Compact"/>
                    <w:jc w:val="left"/>
                  </w:pPr>
                  <w:r>
                    <w:t xml:space="preserve">DPSA L10-11 scale 2024 (Tab 1 NMC analyst CTE)</w:t>
                  </w:r>
                </w:p>
              </w:tc>
            </w:tr>
            <w:tr>
              <w:tc>
                <w:tcPr/>
                <w:p>
                  <w:pPr>
                    <w:pStyle w:val="Compact"/>
                    <w:jc w:val="center"/>
                  </w:pPr>
                  <w:r>
                    <w:t xml:space="preserve">4</w:t>
                  </w:r>
                </w:p>
              </w:tc>
              <w:tc>
                <w:tcPr/>
                <w:p>
                  <w:pPr>
                    <w:pStyle w:val="Compact"/>
                    <w:jc w:val="left"/>
                  </w:pPr>
                  <w:r>
                    <w:t xml:space="preserve">MVD ingest pipeline operations (ETL run, error handling, schema drift)</w:t>
                  </w:r>
                </w:p>
              </w:tc>
              <w:tc>
                <w:tcPr/>
                <w:p>
                  <w:pPr>
                    <w:pStyle w:val="Compact"/>
                    <w:jc w:val="left"/>
                  </w:pPr>
                  <w:r>
                    <w:t xml:space="preserve">NICD data engineer 0.015 FTE × R750k</w:t>
                  </w:r>
                </w:p>
              </w:tc>
              <w:tc>
                <w:tcPr/>
                <w:p>
                  <w:pPr>
                    <w:pStyle w:val="Compact"/>
                    <w:jc w:val="right"/>
                  </w:pPr>
                  <w:r>
                    <w:t xml:space="preserve">11,250</w:t>
                  </w:r>
                </w:p>
              </w:tc>
              <w:tc>
                <w:tcPr/>
                <w:p>
                  <w:pPr>
                    <w:pStyle w:val="Compact"/>
                    <w:jc w:val="left"/>
                  </w:pPr>
                  <w:r>
                    <w:t xml:space="preserve">SITA / state IT contracting 2024 (Tab 1 Cross-cutting)</w:t>
                  </w:r>
                </w:p>
              </w:tc>
            </w:tr>
            <w:tr>
              <w:tc>
                <w:tcPr/>
                <w:p>
                  <w:pPr>
                    <w:pStyle w:val="Compact"/>
                    <w:jc w:val="center"/>
                  </w:pPr>
                  <w:r>
                    <w:t xml:space="preserve">5</w:t>
                  </w:r>
                </w:p>
              </w:tc>
              <w:tc>
                <w:tcPr/>
                <w:p>
                  <w:pPr>
                    <w:pStyle w:val="Compact"/>
                    <w:jc w:val="left"/>
                  </w:pPr>
                  <w:r>
                    <w:t xml:space="preserve">QA + monthly NMC reconciliation (PIH-ingested rows vs NMC)</w:t>
                  </w:r>
                </w:p>
              </w:tc>
              <w:tc>
                <w:tcPr/>
                <w:p>
                  <w:pPr>
                    <w:pStyle w:val="Compact"/>
                    <w:jc w:val="left"/>
                  </w:pPr>
                  <w:r>
                    <w:t xml:space="preserve">1 h/wk × R650k NICD analyst (0.01 FTE)</w:t>
                  </w:r>
                </w:p>
              </w:tc>
              <w:tc>
                <w:tcPr/>
                <w:p>
                  <w:pPr>
                    <w:pStyle w:val="Compact"/>
                    <w:jc w:val="right"/>
                  </w:pPr>
                  <w:r>
                    <w:t xml:space="preserve">6,500</w:t>
                  </w:r>
                </w:p>
              </w:tc>
              <w:tc>
                <w:tcPr/>
                <w:p>
                  <w:pPr>
                    <w:pStyle w:val="Compact"/>
                    <w:jc w:val="left"/>
                  </w:pPr>
                  <w:r>
                    <w:t xml:space="preserve">DPSA L10-11 scale 2024</w:t>
                  </w:r>
                </w:p>
              </w:tc>
            </w:tr>
            <w:tr>
              <w:tc>
                <w:tcPr/>
                <w:p>
                  <w:pPr>
                    <w:pStyle w:val="Compact"/>
                    <w:jc w:val="center"/>
                  </w:pPr>
                  <w:r>
                    <w:t xml:space="preserve">6</w:t>
                  </w:r>
                </w:p>
              </w:tc>
              <w:tc>
                <w:tcPr/>
                <w:p>
                  <w:pPr>
                    <w:pStyle w:val="Compact"/>
                    <w:jc w:val="left"/>
                  </w:pPr>
                  <w:r>
                    <w:t xml:space="preserve">Annual data-dictionary review + minor MVD releases</w:t>
                  </w:r>
                </w:p>
              </w:tc>
              <w:tc>
                <w:tcPr/>
                <w:p>
                  <w:pPr>
                    <w:pStyle w:val="Compact"/>
                    <w:jc w:val="left"/>
                  </w:pPr>
                  <w:r>
                    <w:t xml:space="preserve">PIH + NICD workshop, 2 d/yr; consumables</w:t>
                  </w:r>
                </w:p>
              </w:tc>
              <w:tc>
                <w:tcPr/>
                <w:p>
                  <w:pPr>
                    <w:pStyle w:val="Compact"/>
                    <w:jc w:val="right"/>
                  </w:pPr>
                  <w:r>
                    <w:t xml:space="preserve">10,000</w:t>
                  </w:r>
                </w:p>
              </w:tc>
              <w:tc>
                <w:tcPr/>
                <w:p>
                  <w:pPr>
                    <w:pStyle w:val="Compact"/>
                    <w:jc w:val="left"/>
                  </w:pPr>
                  <w:r>
                    <w:t xml:space="preserve">PIH admin estimate (consistent with</w:t>
                  </w:r>
                  <w:r>
                    <w:t xml:space="preserve"> </w:t>
                  </w:r>
                  <w:r>
                    <w:rPr>
                      <w:rStyle w:val="VerbatimChar"/>
                    </w:rPr>
                    <w:t xml:space="preserve">c_S1_PIH_MVD_setup</w:t>
                  </w:r>
                  <w:r>
                    <w:t xml:space="preserve"> </w:t>
                  </w:r>
                  <w:r>
                    <w:t xml:space="preserve">R40,000 one-off)</w:t>
                  </w:r>
                </w:p>
              </w:tc>
            </w:tr>
            <w:tr>
              <w:tc>
                <w:tcPr/>
                <w:p>
                  <w:pPr>
                    <w:pStyle w:val="Compact"/>
                    <w:jc w:val="center"/>
                  </w:pPr>
                  <w:r>
                    <w:t xml:space="preserve">7</w:t>
                  </w:r>
                </w:p>
              </w:tc>
              <w:tc>
                <w:tcPr/>
                <w:p>
                  <w:pPr>
                    <w:pStyle w:val="Compact"/>
                    <w:jc w:val="left"/>
                  </w:pPr>
                  <w:r>
                    <w:t xml:space="preserve">Licences + alert SMS (Power BI workspace seats, ~5,000 outbound SMS/yr @ R0.20)</w:t>
                  </w:r>
                </w:p>
              </w:tc>
              <w:tc>
                <w:tcPr/>
                <w:p>
                  <w:pPr>
                    <w:pStyle w:val="Compact"/>
                    <w:jc w:val="left"/>
                  </w:pPr>
                  <w:r>
                    <w:t xml:space="preserve">Microsoft ZA EA + Clickatell rate</w:t>
                  </w:r>
                </w:p>
              </w:tc>
              <w:tc>
                <w:tcPr/>
                <w:p>
                  <w:pPr>
                    <w:pStyle w:val="Compact"/>
                    <w:jc w:val="right"/>
                  </w:pPr>
                  <w:r>
                    <w:t xml:space="preserve">7,650</w:t>
                  </w:r>
                </w:p>
              </w:tc>
              <w:tc>
                <w:tcPr/>
                <w:p>
                  <w:pPr>
                    <w:pStyle w:val="Compact"/>
                    <w:jc w:val="left"/>
                  </w:pPr>
                  <w:r>
                    <w:t xml:space="preserve">Microsoft ZA EA 2024; Clickatell / BulkSMS ZA 2024 (same anchors as §7 Tab 2)</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82,000</w:t>
                  </w:r>
                </w:p>
              </w:tc>
              <w:tc>
                <w:tcPr/>
                <w:p>
                  <w:pPr>
                    <w:pStyle w:val="Compact"/>
                    <w:jc w:val="left"/>
                  </w:pPr>
                  <w:r>
                    <w:t xml:space="preserve">matches</w:t>
                  </w:r>
                  <w:r>
                    <w:t xml:space="preserve"> </w:t>
                  </w:r>
                  <w:r>
                    <w:rPr>
                      <w:rStyle w:val="VerbatimChar"/>
                    </w:rPr>
                    <w:t xml:space="preserve">c_S1_PIH_MVD_op</w:t>
                  </w:r>
                  <w:r>
                    <w:t xml:space="preserve"> </w:t>
                  </w:r>
                  <w:r>
                    <w:t xml:space="preserve">in</w:t>
                  </w:r>
                  <w:r>
                    <w:t xml:space="preserve"> </w:t>
                  </w:r>
                  <w:hyperlink r:id="rId14">
                    <w:r>
                      <w:rPr>
                        <w:rStyle w:val="VerbatimChar"/>
                      </w:rPr>
                      <w:t xml:space="preserve">amua_import_parameters_v4.csv</w:t>
                    </w:r>
                  </w:hyperlink>
                </w:p>
              </w:tc>
            </w:tr>
          </w:tbl>
          <w:p>
            <w:pPr>
              <w:pStyle w:val="BodyText"/>
            </w:pPr>
            <w:r>
              <w:rPr>
                <w:b/>
                <w:bCs/>
              </w:rPr>
              <w:t xml:space="preserve">Distribution.</w:t>
            </w:r>
            <w:r>
              <w:t xml:space="preserve"> </w:t>
            </w:r>
            <w:r>
              <w:t xml:space="preserve">gamma(shape = 25, scale = 3,280) → mean R82,000, SD ≈ R16,400 (95% CI ≈ R53k–R116k); absorbs reasonable variation across all seven items. Items 1, 4 and 7 are direct cash outlays (cloud, ETL, licences, SMS); items 2, 3, 5 and 6 are time-allocated personnel cost at §7 Tab 1 CTE rates — no new hires, ring-fenced fractions of existing PIH and NICD posts.</w:t>
            </w:r>
          </w:p>
          <w:p>
            <w:pPr>
              <w:pStyle w:val="BodyText"/>
            </w:pPr>
            <w:pPr>
              <w:spacing w:after="16"/>
            </w:pPr>
            <w:r>
              <w:rPr>
                <w:b/>
                <w:bCs/>
              </w:rPr>
              <w:t xml:space="preserve">Sensitivity — what would push it materially higher.</w:t>
            </w:r>
            <w:r>
              <w:t xml:space="preserve"> </w:t>
            </w:r>
            <w:r>
              <w:t xml:space="preserve">(i) Power BI Premium dedicated capacity rather than a small VM (+R30–50k/yr); (ii) replacing the 0.02 FTE pharmacist time with a dedicated data engineer FTE (+R60k/yr at 0.1 FTE); (iii) 5× alert-SMS volume during outbreaks (+R3–5k/yr). None move the option above Option 1 (R55,000/yr) or near Option 3 (R-millions/yr).</w:t>
            </w:r>
          </w:p>
          <w:p/>
        </w:tc>
      </w:tr>
    </w:tbl>
    <w:bookmarkEnd w:id="50"/>
    <w:bookmarkStart w:id="56" w:name="X5630ff85cd64ba72185980a0ee240e18f4efaa2"/>
    <w:p>
      <w:pPr>
        <w:pStyle w:val="Heading3"/>
      </w:pPr>
      <w:r>
        <w:t xml:space="preserve">Option 3 — Community layer (Phase 2)</w:t>
      </w:r>
      <w:r>
        <w:t xml:space="preserve"> </w:t>
      </w:r>
      <w:r>
        <w:rPr>
          <w:i/>
          <w:iCs/>
        </w:rPr>
        <w:t xml:space="preserve">(commission after MVP pilot if rural/informal gap confirms)</w:t>
      </w:r>
    </w:p>
    <w:p>
      <w:pPr>
        <w:pStyle w:val="FirstParagraph"/>
      </w:pPr>
      <w:r>
        <w:t xml:space="preserve">Options 1 and 2 improve detection within the</w:t>
      </w:r>
      <w:r>
        <w:t xml:space="preserve"> </w:t>
      </w:r>
      <w:r>
        <w:rPr>
          <w:b/>
          <w:bCs/>
        </w:rPr>
        <w:t xml:space="preserve">formal healthcare system</w:t>
      </w:r>
      <w:r>
        <w:t xml:space="preserve"> </w:t>
      </w:r>
      <w:r>
        <w:t xml:space="preserve">(PIH, NHLS BChE, NMC-notified facilities). They cannot reach cases that never arrive at a formal facility — the child taken to a traditional healer after ingesting street-sold granules, the farm worker who doesn’t present at all, the informal-settlement cluster whose care pathway bypasses formal services.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important.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Pre-condition — non-clinician reporting must be enabled.</w:t>
            </w:r>
            <w:r>
              <w:t xml:space="preserve"> </w:t>
            </w:r>
            <w:r>
              <w:t xml:space="preserve">Option 3 only delivers a coverage uplift if PIH (and the NMC CIF, via Option 4) accept structured reports from</w:t>
            </w:r>
            <w:r>
              <w:t xml:space="preserve"> </w:t>
            </w:r>
            <w:r>
              <w:rPr>
                <w:b/>
                <w:bCs/>
              </w:rPr>
              <w:t xml:space="preserve">non-medical personnel</w:t>
            </w:r>
            <w:r>
              <w:t xml:space="preserve">: community health workers (CHWs), environmental health practitioners (EHPs), ward-based outreach teams, agricultural extension officers, teachers, traditional healers, and community members. The Option 2 PIH stream is built on the ~1,158</w:t>
            </w:r>
            <w:r>
              <w:t xml:space="preserve"> </w:t>
            </w:r>
            <w:r>
              <w:rPr>
                <w:i/>
                <w:iCs/>
              </w:rPr>
              <w:t xml:space="preserve">clinician-initiated</w:t>
            </w:r>
            <w:r>
              <w:t xml:space="preserve"> </w:t>
            </w:r>
            <w:r>
              <w:t xml:space="preserve">PIH calls/year and by construction cannot see cases that never reach a clinician. Without a dedicated non-clinician intake channel — Tier-1 CHW checklist as the structured form, EHP call-back as validation — the CHW network has nowhere to land its reports and Option 3 reduces to training cost with no measurable P_detect gain.</w:t>
            </w:r>
          </w:p>
          <w:p/>
        </w:tc>
      </w:tr>
    </w:tbl>
    <w:p>
      <w:pPr>
        <w:pStyle w:val="BodyText"/>
      </w:pPr>
      <w:r>
        <w:rPr>
          <w:b/>
          <w:bCs/>
        </w:rPr>
        <w:t xml:space="preserve">The MVP ceiling (~49% P_detect)</w:t>
      </w:r>
      <w:r>
        <w:t xml:space="preserve"> </w:t>
      </w:r>
      <w:r>
        <w:t xml:space="preserve">is bounded by the reach of formal administrative streams. Option 3 is the mechanism for going beyond it, but only after the MVP (PIH and BChE integration) has confirmed the remaining gap is structural rather than a compliance issue within the formal system.</w:t>
      </w:r>
    </w:p>
    <w:p>
      <w:pPr>
        <w:pStyle w:val="BodyText"/>
      </w:pPr>
      <w:r>
        <w:rPr>
          <w:b/>
          <w:bCs/>
        </w:rPr>
        <w:t xml:space="preserve">False-positive load and triage architecture.</w:t>
      </w:r>
      <w:r>
        <w:t xml:space="preserve"> </w:t>
      </w:r>
      <w:r>
        <w:t xml:space="preserve">The gross false-positive rate is ~35% (range 20–50%). At P_detect = 0.40 on the mid-burden of 8,112 true cases, the gross notification volume would be ~4,992 events/yr — of which ~3,245 are true cases and ~1,747 are false alerts</w:t>
      </w:r>
      <w:r>
        <w:t xml:space="preserve"> </w:t>
      </w:r>
      <w:r>
        <w:rPr>
          <w:i/>
          <w:iCs/>
        </w:rPr>
        <w:t xml:space="preserve">before filtering</w:t>
      </w:r>
      <w:r>
        <w:t xml:space="preserve">. This is solvable with a</w:t>
      </w:r>
      <w:r>
        <w:t xml:space="preserve"> </w:t>
      </w:r>
      <w:r>
        <w:rPr>
          <w:b/>
          <w:bCs/>
        </w:rPr>
        <w:t xml:space="preserve">two-tier triage architecture</w:t>
      </w:r>
      <w:r>
        <w:t xml:space="preserve"> </w:t>
      </w:r>
      <w:r>
        <w:t xml:space="preserve">— the same design used by WHO-EWARN, APSED, and comparable LMIC systems:</w:t>
      </w:r>
    </w:p>
    <w:p>
      <w:pPr>
        <w:pStyle w:val="Compact"/>
        <w:numPr>
          <w:ilvl w:val="0"/>
          <w:numId w:val="1005"/>
        </w:numPr>
      </w:pPr>
      <w:r>
        <w:rPr>
          <w:b/>
          <w:bCs/>
        </w:rPr>
        <w:t xml:space="preserve">Tier 1 — CHW structured checklist</w:t>
      </w:r>
      <w:r>
        <w:t xml:space="preserve">: Community health workers report via a mobile checklist requiring ≥2 of: acute onset, ≥2 affected persons, known or suspected product contact. Events not meeting criteria are logged but no dispatch is triggered.</w:t>
      </w:r>
    </w:p>
    <w:p>
      <w:pPr>
        <w:pStyle w:val="Compact"/>
        <w:numPr>
          <w:ilvl w:val="0"/>
          <w:numId w:val="1005"/>
        </w:numPr>
      </w:pPr>
      <w:r>
        <w:rPr>
          <w:b/>
          <w:bCs/>
        </w:rPr>
        <w:t xml:space="preserve">Tier 2 — EHP call-back within 24 hours</w:t>
      </w:r>
      <w:r>
        <w:t xml:space="preserve">: A provincial EHP calls back to confirm before committing to on-site investigation.</w:t>
      </w:r>
    </w:p>
    <w:p>
      <w:pPr>
        <w:pStyle w:val="FirstParagraph"/>
      </w:pPr>
      <w:r>
        <w:t xml:space="preserve">With a two-tier filter, the effective net FP rate drops to approximately 8–12% — within the investigation capacity modelled in the</w:t>
      </w:r>
      <w:r>
        <w:t xml:space="preserve"> </w:t>
      </w:r>
      <w:hyperlink r:id="rId9">
        <w:r>
          <w:rPr>
            <w:rStyle w:val="Hyperlink"/>
          </w:rPr>
          <w:t xml:space="preserve">Coordination brief</w:t>
        </w:r>
      </w:hyperlink>
      <w:r>
        <w:t xml:space="preserve">.</w:t>
      </w:r>
    </w:p>
    <w:p>
      <w:pPr>
        <w:pStyle w:val="BodyText"/>
      </w:pPr>
      <w:r>
        <w:rPr>
          <w:b/>
          <w:bCs/>
        </w:rPr>
        <w:t xml:space="preserve">Two-stage rollout — Free State and Gauteng first.</w:t>
      </w:r>
      <w:r>
        <w:t xml:space="preserve"> </w:t>
      </w:r>
      <w:r>
        <w:t xml:space="preserve">These two provinces account for an estimated</w:t>
      </w:r>
      <w:r>
        <w:t xml:space="preserve"> </w:t>
      </w:r>
      <w:r>
        <w:rPr>
          <w:b/>
          <w:bCs/>
        </w:rPr>
        <w:t xml:space="preserve">~50% of the annual pesticide-poisoning burden</w:t>
      </w:r>
      <w:r>
        <w:t xml:space="preserve"> </w:t>
      </w:r>
      <w:r>
        <w:t xml:space="preserve">(working assumption; to be confirmed against the MVP pilot’s geographic distribution from NMC, NHLS, and PIH data). Comparable LMIC systems have achieved P_detect in the range 0.25–0.55 — 0.5–1.1× the MVP ceiling.</w:t>
      </w:r>
    </w:p>
    <w:tbl>
      <w:tblPr>
        <w:tblStyle w:val="Table"/>
        <w:tblW w:type="pct" w:w="5000"/>
        <w:tblLayout w:type="fixed"/>
        <w:tblLook w:firstRow="1" w:lastRow="0" w:firstColumn="0" w:lastColumn="0" w:noHBand="0" w:noVBand="0" w:val="0020"/>
      </w:tblPr>
      <w:tblGrid>
        <w:gridCol w:w="630"/>
        <w:gridCol w:w="990"/>
        <w:gridCol w:w="1710"/>
        <w:gridCol w:w="1080"/>
        <w:gridCol w:w="1710"/>
        <w:gridCol w:w="1800"/>
      </w:tblGrid>
      <w:tr>
        <w:trPr>
          <w:tblHeader w:val="on"/>
        </w:trPr>
        <w:tc>
          <w:tcPr/>
          <w:p>
            <w:pPr>
              <w:pStyle w:val="Compact"/>
              <w:jc w:val="left"/>
            </w:pPr>
            <w:r>
              <w:t xml:space="preserve">Stage</w:t>
            </w:r>
          </w:p>
        </w:tc>
        <w:tc>
          <w:tcPr/>
          <w:p>
            <w:pPr>
              <w:pStyle w:val="Compact"/>
              <w:jc w:val="left"/>
            </w:pPr>
            <w:r>
              <w:t xml:space="preserve">Provinces</w:t>
            </w:r>
          </w:p>
        </w:tc>
        <w:tc>
          <w:tcPr/>
          <w:p>
            <w:pPr>
              <w:pStyle w:val="Compact"/>
              <w:jc w:val="right"/>
            </w:pPr>
            <w:r>
              <w:t xml:space="preserve">Est. burden share</w:t>
            </w:r>
          </w:p>
        </w:tc>
        <w:tc>
          <w:tcPr/>
          <w:p>
            <w:pPr>
              <w:pStyle w:val="Compact"/>
              <w:jc w:val="right"/>
            </w:pPr>
            <w:r>
              <w:t xml:space="preserve">Setup cost</w:t>
            </w:r>
          </w:p>
        </w:tc>
        <w:tc>
          <w:tcPr/>
          <w:p>
            <w:pPr>
              <w:pStyle w:val="Compact"/>
              <w:jc w:val="right"/>
            </w:pPr>
            <w:r>
              <w:t xml:space="preserve">Operating cost/yr</w:t>
            </w:r>
          </w:p>
        </w:tc>
        <w:tc>
          <w:tcPr/>
          <w:p>
            <w:pPr>
              <w:pStyle w:val="Compact"/>
              <w:jc w:val="left"/>
            </w:pPr>
            <w:r>
              <w:t xml:space="preserve">Go/no-go criterion</w:t>
            </w:r>
          </w:p>
        </w:tc>
      </w:tr>
      <w:tr>
        <w:tc>
          <w:tcPr/>
          <w:p>
            <w:pPr>
              <w:pStyle w:val="Compact"/>
              <w:jc w:val="left"/>
            </w:pPr>
            <w:r>
              <w:rPr>
                <w:b/>
                <w:bCs/>
              </w:rPr>
              <w:t xml:space="preserve">Option 3 pilot</w:t>
            </w:r>
          </w:p>
        </w:tc>
        <w:tc>
          <w:tcPr/>
          <w:p>
            <w:pPr>
              <w:pStyle w:val="Compact"/>
              <w:jc w:val="left"/>
            </w:pPr>
            <w:r>
              <w:t xml:space="preserve">Free State + Gauteng</w:t>
            </w:r>
          </w:p>
        </w:tc>
        <w:tc>
          <w:tcPr/>
          <w:p>
            <w:pPr>
              <w:pStyle w:val="Compact"/>
              <w:jc w:val="right"/>
            </w:pPr>
            <w:r>
              <w:t xml:space="preserve">~50%</w:t>
            </w:r>
          </w:p>
        </w:tc>
        <w:tc>
          <w:tcPr/>
          <w:p>
            <w:pPr>
              <w:pStyle w:val="Compact"/>
              <w:jc w:val="right"/>
            </w:pPr>
            <w:r>
              <w:t xml:space="preserve">~R1M</w:t>
            </w:r>
          </w:p>
        </w:tc>
        <w:tc>
          <w:tcPr/>
          <w:p>
            <w:pPr>
              <w:pStyle w:val="Compact"/>
              <w:jc w:val="right"/>
            </w:pPr>
            <w:r>
              <w:t xml:space="preserve">~R0.8M/yr</w:t>
            </w:r>
          </w:p>
        </w:tc>
        <w:tc>
          <w:tcPr/>
          <w:p>
            <w:pPr>
              <w:pStyle w:val="Compact"/>
              <w:jc w:val="left"/>
            </w:pPr>
            <w:r>
              <w:t xml:space="preserve">Month 12: net P_detect &gt;35% and net FP &lt;15%</w:t>
            </w:r>
          </w:p>
        </w:tc>
      </w:tr>
      <w:tr>
        <w:tc>
          <w:tcPr/>
          <w:p>
            <w:pPr>
              <w:pStyle w:val="Compact"/>
              <w:jc w:val="left"/>
            </w:pPr>
            <w:r>
              <w:rPr>
                <w:b/>
                <w:bCs/>
              </w:rPr>
              <w:t xml:space="preserve">Option 3 national</w:t>
            </w:r>
          </w:p>
        </w:tc>
        <w:tc>
          <w:tcPr/>
          <w:p>
            <w:pPr>
              <w:pStyle w:val="Compact"/>
              <w:jc w:val="left"/>
            </w:pPr>
            <w:r>
              <w:t xml:space="preserve">All 9 provinces</w:t>
            </w:r>
          </w:p>
        </w:tc>
        <w:tc>
          <w:tcPr/>
          <w:p>
            <w:pPr>
              <w:pStyle w:val="Compact"/>
              <w:jc w:val="right"/>
            </w:pPr>
            <w:r>
              <w:t xml:space="preserve">100%</w:t>
            </w:r>
          </w:p>
        </w:tc>
        <w:tc>
          <w:tcPr/>
          <w:p>
            <w:pPr>
              <w:pStyle w:val="Compact"/>
              <w:jc w:val="right"/>
            </w:pPr>
            <w:r>
              <w:t xml:space="preserve">~R3.5M</w:t>
            </w:r>
          </w:p>
        </w:tc>
        <w:tc>
          <w:tcPr/>
          <w:p>
            <w:pPr>
              <w:pStyle w:val="Compact"/>
              <w:jc w:val="right"/>
            </w:pPr>
            <w:r>
              <w:t xml:space="preserve">~R2.5M/yr</w:t>
            </w:r>
          </w:p>
        </w:tc>
        <w:tc>
          <w:tcPr/>
          <w:p>
            <w:pPr>
              <w:pStyle w:val="Compact"/>
              <w:jc w:val="left"/>
            </w:pPr>
            <w:r>
              <w:t xml:space="preserve">Conditional on pilot outcome</w:t>
            </w:r>
          </w:p>
        </w:tc>
      </w:tr>
    </w:tbl>
    <w:p>
      <w:pPr>
        <w:pStyle w:val="BodyText"/>
      </w:pPr>
      <w:r>
        <w:t xml:space="preserve">The cost range (R1M–R3.5M setup; R0.8M–R2.5M/yr operating — approximately 6–18× the MVP operating cost) directly reflects the two-stage choice.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Audit trail — mini-budget backing Option 3 (community layer) operating cost range</w:t>
            </w:r>
          </w:p>
        </w:tc>
      </w:tr>
      <w:tr>
        <w:trPr>
          <w:cantSplit/>
        </w:trPr>
        <w:tc>
          <w:tcPr>
            <w:tcMar>
              <w:top w:w="108" w:type="dxa"/>
              <w:bottom w:w="108" w:type="dxa"/>
            </w:tcMar>
          </w:tcPr>
          <w:p>
            <w:pPr>
              <w:pStyle w:val="BodyText"/>
            </w:pPr>
            <w:pPr>
              <w:spacing w:before="16"/>
            </w:pPr>
            <w:r>
              <w:t xml:space="preserve">The three</w:t>
            </w:r>
            <w:r>
              <w:t xml:space="preserve"> </w:t>
            </w:r>
            <w:r>
              <w:rPr>
                <w:rStyle w:val="VerbatimChar"/>
              </w:rPr>
              <w:t xml:space="preserve">c_S1b_op_*</w:t>
            </w:r>
            <w:r>
              <w:t xml:space="preserve"> </w:t>
            </w:r>
            <w:r>
              <w:t xml:space="preserve">parameters reflect</w:t>
            </w:r>
            <w:r>
              <w:t xml:space="preserve"> </w:t>
            </w:r>
            <w:r>
              <w:rPr>
                <w:b/>
                <w:bCs/>
              </w:rPr>
              <w:t xml:space="preserve">distinct deployment footprints</w:t>
            </w:r>
            <w:r>
              <w:t xml:space="preserve">, not sensitivity bounds around a single estimate. All figures are 2024–2025 ZAR, marginal over the Surveillance MVP baseline.</w:t>
            </w:r>
          </w:p>
          <w:p>
            <w:pPr>
              <w:pStyle w:val="BodyText"/>
            </w:pPr>
            <w:r>
              <w:rPr>
                <w:b/>
                <w:bCs/>
              </w:rPr>
              <w:t xml:space="preserve">Lo scenario — pilot (2 provinces: Free State + Gauteng) |</w:t>
            </w:r>
            <w:r>
              <w:rPr>
                <w:b/>
                <w:bCs/>
              </w:rPr>
              <w:t xml:space="preserve"> </w:t>
            </w:r>
            <w:r>
              <w:rPr>
                <w:rStyle w:val="VerbatimChar"/>
                <w:b/>
                <w:bCs/>
              </w:rPr>
              <w:t xml:space="preserve">c_S1b_op_lo</w:t>
            </w:r>
            <w:r>
              <w:rPr>
                <w:b/>
                <w:bCs/>
              </w:rPr>
              <w:t xml:space="preserve"> </w:t>
            </w:r>
            <w:r>
              <w:rPr>
                <w:b/>
                <w:bCs/>
              </w:rPr>
              <w:t xml:space="preserve">= R800,000/yr</w:t>
            </w:r>
          </w:p>
          <w:tbl>
            <w:tblPr>
              <w:tblStyle w:val="Table"/>
              <w:tblW w:type="pct" w:w="5000"/>
              <w:tblLayout w:type="fixed"/>
              <w:tblLook w:firstRow="1" w:lastRow="0" w:firstColumn="0" w:lastColumn="0" w:noHBand="0" w:noVBand="0" w:val="0020"/>
            </w:tblPr>
            <w:tblGrid>
              <w:gridCol w:w="465"/>
              <w:gridCol w:w="1708"/>
              <w:gridCol w:w="1242"/>
              <w:gridCol w:w="1863"/>
              <w:gridCol w:w="2640"/>
            </w:tblGrid>
            <w:tr>
              <w:trPr>
                <w:tblHeader w:val="on"/>
              </w:trPr>
              <w:tc>
                <w:tcPr/>
                <w:p>
                  <w:pPr>
                    <w:pStyle w:val="Compact"/>
                    <w:jc w:val="center"/>
                  </w:pPr>
                  <w:r>
                    <w:t xml:space="preserve">#</w:t>
                  </w:r>
                </w:p>
              </w:tc>
              <w:tc>
                <w:tcPr/>
                <w:p>
                  <w:pPr>
                    <w:pStyle w:val="Compact"/>
                    <w:jc w:val="left"/>
                  </w:pPr>
                  <w:r>
                    <w:t xml:space="preserve">Line item</w:t>
                  </w:r>
                </w:p>
              </w:tc>
              <w:tc>
                <w:tcPr/>
                <w:p>
                  <w:pPr>
                    <w:pStyle w:val="Compact"/>
                    <w:jc w:val="left"/>
                  </w:pPr>
                  <w:r>
                    <w:t xml:space="preserve">Driver</w:t>
                  </w:r>
                </w:p>
              </w:tc>
              <w:tc>
                <w:tcPr/>
                <w:p>
                  <w:pPr>
                    <w:pStyle w:val="Compact"/>
                    <w:jc w:val="right"/>
                  </w:pPr>
                  <w:r>
                    <w:t xml:space="preserve">Annual (R)</w:t>
                  </w:r>
                </w:p>
              </w:tc>
              <w:tc>
                <w:tcPr/>
                <w:p>
                  <w:pPr>
                    <w:pStyle w:val="Compact"/>
                    <w:jc w:val="left"/>
                  </w:pPr>
                  <w:r>
                    <w:t xml:space="preserve">Source / anchor</w:t>
                  </w:r>
                </w:p>
              </w:tc>
            </w:tr>
            <w:tr>
              <w:tc>
                <w:tcPr/>
                <w:p>
                  <w:pPr>
                    <w:pStyle w:val="Compact"/>
                    <w:jc w:val="center"/>
                  </w:pPr>
                  <w:r>
                    <w:t xml:space="preserve">1</w:t>
                  </w:r>
                </w:p>
              </w:tc>
              <w:tc>
                <w:tcPr/>
                <w:p>
                  <w:pPr>
                    <w:pStyle w:val="Compact"/>
                    <w:jc w:val="left"/>
                  </w:pPr>
                  <w:r>
                    <w:t xml:space="preserve">Provincial coordinators ×4 (FS + Gauteng)</w:t>
                  </w:r>
                </w:p>
              </w:tc>
              <w:tc>
                <w:tcPr/>
                <w:p>
                  <w:pPr>
                    <w:pStyle w:val="Compact"/>
                    <w:jc w:val="left"/>
                  </w:pPr>
                  <w:r>
                    <w:t xml:space="preserve">4 × R120,000 DPSA L8 pesticide-surveillance allocation</w:t>
                  </w:r>
                </w:p>
              </w:tc>
              <w:tc>
                <w:tcPr/>
                <w:p>
                  <w:pPr>
                    <w:pStyle w:val="Compact"/>
                    <w:jc w:val="right"/>
                  </w:pPr>
                  <w:r>
                    <w:t xml:space="preserve">480,000</w:t>
                  </w:r>
                </w:p>
              </w:tc>
              <w:tc>
                <w:tcPr/>
                <w:p>
                  <w:pPr>
                    <w:pStyle w:val="Compact"/>
                    <w:jc w:val="left"/>
                  </w:pPr>
                  <w:r>
                    <w:t xml:space="preserve">DPSA L8 mid-step CTE ~R600k–R750k; R120k = ~17% FTE allocation</w:t>
                  </w:r>
                </w:p>
              </w:tc>
            </w:tr>
            <w:tr>
              <w:tc>
                <w:tcPr/>
                <w:p>
                  <w:pPr>
                    <w:pStyle w:val="Compact"/>
                    <w:jc w:val="center"/>
                  </w:pPr>
                  <w:r>
                    <w:t xml:space="preserve">2</w:t>
                  </w:r>
                </w:p>
              </w:tc>
              <w:tc>
                <w:tcPr/>
                <w:p>
                  <w:pPr>
                    <w:pStyle w:val="Compact"/>
                    <w:jc w:val="left"/>
                  </w:pPr>
                  <w:r>
                    <w:t xml:space="preserve">Platform hosting + mobile checklist app</w:t>
                  </w:r>
                </w:p>
              </w:tc>
              <w:tc>
                <w:tcPr/>
                <w:p>
                  <w:pPr>
                    <w:pStyle w:val="Compact"/>
                    <w:jc w:val="left"/>
                  </w:pPr>
                  <w:r>
                    <w:t xml:space="preserve">AWS af-south-1 + off-the-shelf EBS mobile app, 2-province scale</w:t>
                  </w:r>
                </w:p>
              </w:tc>
              <w:tc>
                <w:tcPr/>
                <w:p>
                  <w:pPr>
                    <w:pStyle w:val="Compact"/>
                    <w:jc w:val="right"/>
                  </w:pPr>
                  <w:r>
                    <w:t xml:space="preserve">120,000</w:t>
                  </w:r>
                </w:p>
              </w:tc>
              <w:tc>
                <w:tcPr/>
                <w:p>
                  <w:pPr>
                    <w:pStyle w:val="Compact"/>
                    <w:jc w:val="left"/>
                  </w:pPr>
                  <w:r>
                    <w:t xml:space="preserve">AWS af-south-1 pricing 2024</w:t>
                  </w:r>
                </w:p>
              </w:tc>
            </w:tr>
            <w:tr>
              <w:tc>
                <w:tcPr/>
                <w:p>
                  <w:pPr>
                    <w:pStyle w:val="Compact"/>
                    <w:jc w:val="center"/>
                  </w:pPr>
                  <w:r>
                    <w:t xml:space="preserve">3</w:t>
                  </w:r>
                </w:p>
              </w:tc>
              <w:tc>
                <w:tcPr/>
                <w:p>
                  <w:pPr>
                    <w:pStyle w:val="Compact"/>
                    <w:jc w:val="left"/>
                  </w:pPr>
                  <w:r>
                    <w:t xml:space="preserve">CHW structured training + annual refresher</w:t>
                  </w:r>
                </w:p>
              </w:tc>
              <w:tc>
                <w:tcPr/>
                <w:p>
                  <w:pPr>
                    <w:pStyle w:val="Compact"/>
                    <w:jc w:val="left"/>
                  </w:pPr>
                  <w:r>
                    <w:t xml:space="preserve">2 provinces × 2 training cohorts + consumables</w:t>
                  </w:r>
                </w:p>
              </w:tc>
              <w:tc>
                <w:tcPr/>
                <w:p>
                  <w:pPr>
                    <w:pStyle w:val="Compact"/>
                    <w:jc w:val="right"/>
                  </w:pPr>
                  <w:r>
                    <w:t xml:space="preserve">120,000</w:t>
                  </w:r>
                </w:p>
              </w:tc>
              <w:tc>
                <w:tcPr/>
                <w:p>
                  <w:pPr>
                    <w:pStyle w:val="Compact"/>
                    <w:jc w:val="left"/>
                  </w:pPr>
                  <w:r>
                    <w:t xml:space="preserve">LMIC community surveillance analogue (IDSR pilot)</w:t>
                  </w:r>
                </w:p>
              </w:tc>
            </w:tr>
            <w:tr>
              <w:tc>
                <w:tcPr/>
                <w:p>
                  <w:pPr>
                    <w:pStyle w:val="Compact"/>
                    <w:jc w:val="center"/>
                  </w:pPr>
                  <w:r>
                    <w:t xml:space="preserve">4</w:t>
                  </w:r>
                </w:p>
              </w:tc>
              <w:tc>
                <w:tcPr/>
                <w:p>
                  <w:pPr>
                    <w:pStyle w:val="Compact"/>
                    <w:jc w:val="left"/>
                  </w:pPr>
                  <w:r>
                    <w:t xml:space="preserve">NICD data analyst + monthly reporting</w:t>
                  </w:r>
                </w:p>
              </w:tc>
              <w:tc>
                <w:tcPr/>
                <w:p>
                  <w:pPr>
                    <w:pStyle w:val="Compact"/>
                    <w:jc w:val="left"/>
                  </w:pPr>
                  <w:r>
                    <w:t xml:space="preserve">0.1 FTE × R650k DPSA L10-11</w:t>
                  </w:r>
                </w:p>
              </w:tc>
              <w:tc>
                <w:tcPr/>
                <w:p>
                  <w:pPr>
                    <w:pStyle w:val="Compact"/>
                    <w:jc w:val="right"/>
                  </w:pPr>
                  <w:r>
                    <w:t xml:space="preserve">65,000</w:t>
                  </w:r>
                </w:p>
              </w:tc>
              <w:tc>
                <w:tcPr/>
                <w:p>
                  <w:pPr>
                    <w:pStyle w:val="Compact"/>
                    <w:jc w:val="left"/>
                  </w:pPr>
                  <w:r>
                    <w:t xml:space="preserve">DPSA L10-11 scale 2024</w:t>
                  </w:r>
                </w:p>
              </w:tc>
            </w:tr>
            <w:tr>
              <w:tc>
                <w:tcPr/>
                <w:p>
                  <w:pPr>
                    <w:pStyle w:val="Compact"/>
                    <w:jc w:val="center"/>
                  </w:pPr>
                  <w:r>
                    <w:t xml:space="preserve">5</w:t>
                  </w:r>
                </w:p>
              </w:tc>
              <w:tc>
                <w:tcPr/>
                <w:p>
                  <w:pPr>
                    <w:pStyle w:val="Compact"/>
                    <w:jc w:val="left"/>
                  </w:pPr>
                  <w:r>
                    <w:t xml:space="preserve">EHP call-back protocol management + QA</w:t>
                  </w:r>
                </w:p>
              </w:tc>
              <w:tc>
                <w:tcPr/>
                <w:p>
                  <w:pPr>
                    <w:pStyle w:val="Compact"/>
                    <w:jc w:val="left"/>
                  </w:pPr>
                  <w:r>
                    <w:t xml:space="preserve">0.015 FTE × R650k NICD analyst</w:t>
                  </w:r>
                </w:p>
              </w:tc>
              <w:tc>
                <w:tcPr/>
                <w:p>
                  <w:pPr>
                    <w:pStyle w:val="Compact"/>
                    <w:jc w:val="right"/>
                  </w:pPr>
                  <w:r>
                    <w:t xml:space="preserve">15,000</w:t>
                  </w:r>
                </w:p>
              </w:tc>
              <w:tc>
                <w:tcPr/>
                <w:p>
                  <w:pPr>
                    <w:pStyle w:val="Compact"/>
                    <w:jc w:val="left"/>
                  </w:pPr>
                  <w:r>
                    <w:t xml:space="preserve">DPSA L10-11 scale 2024</w:t>
                  </w:r>
                </w:p>
              </w:tc>
            </w:tr>
            <w:tr>
              <w:tc>
                <w:tcPr/>
                <w:p>
                  <w:pPr>
                    <w:pStyle w:val="Compact"/>
                  </w:pPr>
                </w:p>
              </w:tc>
              <w:tc>
                <w:tcPr/>
                <w:p>
                  <w:pPr>
                    <w:pStyle w:val="Compact"/>
                    <w:jc w:val="left"/>
                  </w:pPr>
                  <w:r>
                    <w:rPr>
                      <w:b/>
                      <w:bCs/>
                    </w:rPr>
                    <w:t xml:space="preserve">Total (lo / pilot)</w:t>
                  </w:r>
                </w:p>
              </w:tc>
              <w:tc>
                <w:tcPr/>
                <w:p>
                  <w:pPr>
                    <w:pStyle w:val="Compact"/>
                  </w:pPr>
                </w:p>
              </w:tc>
              <w:tc>
                <w:tcPr/>
                <w:p>
                  <w:pPr>
                    <w:pStyle w:val="Compact"/>
                    <w:jc w:val="right"/>
                  </w:pPr>
                  <w:r>
                    <w:rPr>
                      <w:b/>
                      <w:bCs/>
                    </w:rPr>
                    <w:t xml:space="preserve">800,000</w:t>
                  </w:r>
                </w:p>
              </w:tc>
              <w:tc>
                <w:tcPr/>
                <w:p>
                  <w:pPr>
                    <w:pStyle w:val="Compact"/>
                    <w:jc w:val="left"/>
                  </w:pPr>
                  <w:r>
                    <w:t xml:space="preserve">matches</w:t>
                  </w:r>
                  <w:r>
                    <w:t xml:space="preserve"> </w:t>
                  </w:r>
                  <w:r>
                    <w:rPr>
                      <w:rStyle w:val="VerbatimChar"/>
                    </w:rPr>
                    <w:t xml:space="preserve">c_S1b_op_lo</w:t>
                  </w:r>
                </w:p>
              </w:tc>
            </w:tr>
          </w:tbl>
          <w:p>
            <w:pPr>
              <w:pStyle w:val="BodyText"/>
            </w:pPr>
            <w:r>
              <w:rPr>
                <w:b/>
                <w:bCs/>
              </w:rPr>
              <w:t xml:space="preserve">Mid scenario — working value (8 provinces) |</w:t>
            </w:r>
            <w:r>
              <w:rPr>
                <w:b/>
                <w:bCs/>
              </w:rPr>
              <w:t xml:space="preserve"> </w:t>
            </w:r>
            <w:r>
              <w:rPr>
                <w:rStyle w:val="VerbatimChar"/>
                <w:b/>
                <w:bCs/>
              </w:rPr>
              <w:t xml:space="preserve">c_S1b_op_mid</w:t>
            </w:r>
            <w:r>
              <w:rPr>
                <w:b/>
                <w:bCs/>
              </w:rPr>
              <w:t xml:space="preserve"> </w:t>
            </w:r>
            <w:r>
              <w:rPr>
                <w:b/>
                <w:bCs/>
              </w:rPr>
              <w:t xml:space="preserve">= R1,500,000/yr</w:t>
            </w:r>
          </w:p>
          <w:p>
            <w:pPr>
              <w:pStyle w:val="BodyText"/>
            </w:pPr>
            <w:r>
              <w:t xml:space="preserve">From CSV note:</w:t>
            </w:r>
            <w:r>
              <w:t xml:space="preserve"> </w:t>
            </w:r>
            <w:r>
              <w:rPr>
                <w:i/>
                <w:iCs/>
              </w:rPr>
              <w:t xml:space="preserve">“~8 provincial coordinators (DPSA L8, R120k each) + national analyst + platform hosting + annual CHW refresher.”</w:t>
            </w:r>
          </w:p>
          <w:tbl>
            <w:tblPr>
              <w:tblStyle w:val="Table"/>
              <w:tblW w:type="pct" w:w="5000"/>
              <w:tblLayout w:type="fixed"/>
              <w:tblLook w:firstRow="1" w:lastRow="0" w:firstColumn="0" w:lastColumn="0" w:noHBand="0" w:noVBand="0" w:val="0020"/>
            </w:tblPr>
            <w:tblGrid>
              <w:gridCol w:w="465"/>
              <w:gridCol w:w="1708"/>
              <w:gridCol w:w="1242"/>
              <w:gridCol w:w="1863"/>
              <w:gridCol w:w="2640"/>
            </w:tblGrid>
            <w:tr>
              <w:trPr>
                <w:tblHeader w:val="on"/>
              </w:trPr>
              <w:tc>
                <w:tcPr/>
                <w:p>
                  <w:pPr>
                    <w:pStyle w:val="Compact"/>
                    <w:jc w:val="center"/>
                  </w:pPr>
                  <w:r>
                    <w:t xml:space="preserve">#</w:t>
                  </w:r>
                </w:p>
              </w:tc>
              <w:tc>
                <w:tcPr/>
                <w:p>
                  <w:pPr>
                    <w:pStyle w:val="Compact"/>
                    <w:jc w:val="left"/>
                  </w:pPr>
                  <w:r>
                    <w:t xml:space="preserve">Line item</w:t>
                  </w:r>
                </w:p>
              </w:tc>
              <w:tc>
                <w:tcPr/>
                <w:p>
                  <w:pPr>
                    <w:pStyle w:val="Compact"/>
                    <w:jc w:val="left"/>
                  </w:pPr>
                  <w:r>
                    <w:t xml:space="preserve">Driver</w:t>
                  </w:r>
                </w:p>
              </w:tc>
              <w:tc>
                <w:tcPr/>
                <w:p>
                  <w:pPr>
                    <w:pStyle w:val="Compact"/>
                    <w:jc w:val="right"/>
                  </w:pPr>
                  <w:r>
                    <w:t xml:space="preserve">Annual (R)</w:t>
                  </w:r>
                </w:p>
              </w:tc>
              <w:tc>
                <w:tcPr/>
                <w:p>
                  <w:pPr>
                    <w:pStyle w:val="Compact"/>
                    <w:jc w:val="left"/>
                  </w:pPr>
                  <w:r>
                    <w:t xml:space="preserve">Source / anchor</w:t>
                  </w:r>
                </w:p>
              </w:tc>
            </w:tr>
            <w:tr>
              <w:tc>
                <w:tcPr/>
                <w:p>
                  <w:pPr>
                    <w:pStyle w:val="Compact"/>
                    <w:jc w:val="center"/>
                  </w:pPr>
                  <w:r>
                    <w:t xml:space="preserve">1</w:t>
                  </w:r>
                </w:p>
              </w:tc>
              <w:tc>
                <w:tcPr/>
                <w:p>
                  <w:pPr>
                    <w:pStyle w:val="Compact"/>
                    <w:jc w:val="left"/>
                  </w:pPr>
                  <w:r>
                    <w:t xml:space="preserve">Provincial coordinators ×8</w:t>
                  </w:r>
                </w:p>
              </w:tc>
              <w:tc>
                <w:tcPr/>
                <w:p>
                  <w:pPr>
                    <w:pStyle w:val="Compact"/>
                    <w:jc w:val="left"/>
                  </w:pPr>
                  <w:r>
                    <w:t xml:space="preserve">8 × R120,000 DPSA L8</w:t>
                  </w:r>
                </w:p>
              </w:tc>
              <w:tc>
                <w:tcPr/>
                <w:p>
                  <w:pPr>
                    <w:pStyle w:val="Compact"/>
                    <w:jc w:val="right"/>
                  </w:pPr>
                  <w:r>
                    <w:t xml:space="preserve">960,000</w:t>
                  </w:r>
                </w:p>
              </w:tc>
              <w:tc>
                <w:tcPr/>
                <w:p>
                  <w:pPr>
                    <w:pStyle w:val="Compact"/>
                    <w:jc w:val="left"/>
                  </w:pPr>
                  <w:r>
                    <w:t xml:space="preserve">DPSA L8 scale 2024 (same unit cost as lo)</w:t>
                  </w:r>
                </w:p>
              </w:tc>
            </w:tr>
            <w:tr>
              <w:tc>
                <w:tcPr/>
                <w:p>
                  <w:pPr>
                    <w:pStyle w:val="Compact"/>
                    <w:jc w:val="center"/>
                  </w:pPr>
                  <w:r>
                    <w:t xml:space="preserve">2</w:t>
                  </w:r>
                </w:p>
              </w:tc>
              <w:tc>
                <w:tcPr/>
                <w:p>
                  <w:pPr>
                    <w:pStyle w:val="Compact"/>
                    <w:jc w:val="left"/>
                  </w:pPr>
                  <w:r>
                    <w:t xml:space="preserve">National NICD analyst</w:t>
                  </w:r>
                </w:p>
              </w:tc>
              <w:tc>
                <w:tcPr/>
                <w:p>
                  <w:pPr>
                    <w:pStyle w:val="Compact"/>
                    <w:jc w:val="left"/>
                  </w:pPr>
                  <w:r>
                    <w:t xml:space="preserve">0.2 FTE × R650k DPSA L10-11</w:t>
                  </w:r>
                </w:p>
              </w:tc>
              <w:tc>
                <w:tcPr/>
                <w:p>
                  <w:pPr>
                    <w:pStyle w:val="Compact"/>
                    <w:jc w:val="right"/>
                  </w:pPr>
                  <w:r>
                    <w:t xml:space="preserve">130,000</w:t>
                  </w:r>
                </w:p>
              </w:tc>
              <w:tc>
                <w:tcPr/>
                <w:p>
                  <w:pPr>
                    <w:pStyle w:val="Compact"/>
                    <w:jc w:val="left"/>
                  </w:pPr>
                  <w:r>
                    <w:t xml:space="preserve">DPSA L10-11 scale 2024</w:t>
                  </w:r>
                </w:p>
              </w:tc>
            </w:tr>
            <w:tr>
              <w:tc>
                <w:tcPr/>
                <w:p>
                  <w:pPr>
                    <w:pStyle w:val="Compact"/>
                    <w:jc w:val="center"/>
                  </w:pPr>
                  <w:r>
                    <w:t xml:space="preserve">3</w:t>
                  </w:r>
                </w:p>
              </w:tc>
              <w:tc>
                <w:tcPr/>
                <w:p>
                  <w:pPr>
                    <w:pStyle w:val="Compact"/>
                    <w:jc w:val="left"/>
                  </w:pPr>
                  <w:r>
                    <w:t xml:space="preserve">Platform hosting + app maintenance</w:t>
                  </w:r>
                </w:p>
              </w:tc>
              <w:tc>
                <w:tcPr/>
                <w:p>
                  <w:pPr>
                    <w:pStyle w:val="Compact"/>
                    <w:jc w:val="left"/>
                  </w:pPr>
                  <w:r>
                    <w:t xml:space="preserve">AWS multi-province scale + maintenance</w:t>
                  </w:r>
                </w:p>
              </w:tc>
              <w:tc>
                <w:tcPr/>
                <w:p>
                  <w:pPr>
                    <w:pStyle w:val="Compact"/>
                    <w:jc w:val="right"/>
                  </w:pPr>
                  <w:r>
                    <w:t xml:space="preserve">180,000</w:t>
                  </w:r>
                </w:p>
              </w:tc>
              <w:tc>
                <w:tcPr/>
                <w:p>
                  <w:pPr>
                    <w:pStyle w:val="Compact"/>
                    <w:jc w:val="left"/>
                  </w:pPr>
                  <w:r>
                    <w:t xml:space="preserve">AWS af-south-1 pricing 2024</w:t>
                  </w:r>
                </w:p>
              </w:tc>
            </w:tr>
            <w:tr>
              <w:tc>
                <w:tcPr/>
                <w:p>
                  <w:pPr>
                    <w:pStyle w:val="Compact"/>
                    <w:jc w:val="center"/>
                  </w:pPr>
                  <w:r>
                    <w:t xml:space="preserve">4</w:t>
                  </w:r>
                </w:p>
              </w:tc>
              <w:tc>
                <w:tcPr/>
                <w:p>
                  <w:pPr>
                    <w:pStyle w:val="Compact"/>
                    <w:jc w:val="left"/>
                  </w:pPr>
                  <w:r>
                    <w:t xml:space="preserve">Annual CHW refresher training</w:t>
                  </w:r>
                </w:p>
              </w:tc>
              <w:tc>
                <w:tcPr/>
                <w:p>
                  <w:pPr>
                    <w:pStyle w:val="Compact"/>
                    <w:jc w:val="left"/>
                  </w:pPr>
                  <w:r>
                    <w:t xml:space="preserve">8 provinces × cohort costs</w:t>
                  </w:r>
                </w:p>
              </w:tc>
              <w:tc>
                <w:tcPr/>
                <w:p>
                  <w:pPr>
                    <w:pStyle w:val="Compact"/>
                    <w:jc w:val="right"/>
                  </w:pPr>
                  <w:r>
                    <w:t xml:space="preserve">230,000</w:t>
                  </w:r>
                </w:p>
              </w:tc>
              <w:tc>
                <w:tcPr/>
                <w:p>
                  <w:pPr>
                    <w:pStyle w:val="Compact"/>
                    <w:jc w:val="left"/>
                  </w:pPr>
                  <w:r>
                    <w:t xml:space="preserve">EWARN/IDSR analogues</w:t>
                  </w:r>
                </w:p>
              </w:tc>
            </w:tr>
            <w:tr>
              <w:tc>
                <w:tcPr/>
                <w:p>
                  <w:pPr>
                    <w:pStyle w:val="Compact"/>
                  </w:pPr>
                </w:p>
              </w:tc>
              <w:tc>
                <w:tcPr/>
                <w:p>
                  <w:pPr>
                    <w:pStyle w:val="Compact"/>
                    <w:jc w:val="left"/>
                  </w:pPr>
                  <w:r>
                    <w:rPr>
                      <w:b/>
                      <w:bCs/>
                    </w:rPr>
                    <w:t xml:space="preserve">Total (mid / working)</w:t>
                  </w:r>
                </w:p>
              </w:tc>
              <w:tc>
                <w:tcPr/>
                <w:p>
                  <w:pPr>
                    <w:pStyle w:val="Compact"/>
                  </w:pPr>
                </w:p>
              </w:tc>
              <w:tc>
                <w:tcPr/>
                <w:p>
                  <w:pPr>
                    <w:pStyle w:val="Compact"/>
                    <w:jc w:val="right"/>
                  </w:pPr>
                  <w:r>
                    <w:rPr>
                      <w:b/>
                      <w:bCs/>
                    </w:rPr>
                    <w:t xml:space="preserve">1,500,000</w:t>
                  </w:r>
                </w:p>
              </w:tc>
              <w:tc>
                <w:tcPr/>
                <w:p>
                  <w:pPr>
                    <w:pStyle w:val="Compact"/>
                    <w:jc w:val="left"/>
                  </w:pPr>
                  <w:r>
                    <w:t xml:space="preserve">matches</w:t>
                  </w:r>
                  <w:r>
                    <w:t xml:space="preserve"> </w:t>
                  </w:r>
                  <w:r>
                    <w:rPr>
                      <w:rStyle w:val="VerbatimChar"/>
                    </w:rPr>
                    <w:t xml:space="preserve">c_S1b_op_mid</w:t>
                  </w:r>
                </w:p>
              </w:tc>
            </w:tr>
          </w:tbl>
          <w:p>
            <w:pPr>
              <w:pStyle w:val="BodyText"/>
            </w:pPr>
            <w:r>
              <w:rPr>
                <w:b/>
                <w:bCs/>
              </w:rPr>
              <w:t xml:space="preserve">Hi scenario — full 9-province + dedicated EHP nodes |</w:t>
            </w:r>
            <w:r>
              <w:rPr>
                <w:b/>
                <w:bCs/>
              </w:rPr>
              <w:t xml:space="preserve"> </w:t>
            </w:r>
            <w:r>
              <w:rPr>
                <w:rStyle w:val="VerbatimChar"/>
                <w:b/>
                <w:bCs/>
              </w:rPr>
              <w:t xml:space="preserve">c_S1b_op_hi</w:t>
            </w:r>
            <w:r>
              <w:rPr>
                <w:b/>
                <w:bCs/>
              </w:rPr>
              <w:t xml:space="preserve"> </w:t>
            </w:r>
            <w:r>
              <w:rPr>
                <w:b/>
                <w:bCs/>
              </w:rPr>
              <w:t xml:space="preserve">= R2,500,000/yr</w:t>
            </w:r>
          </w:p>
          <w:p>
            <w:pPr>
              <w:pStyle w:val="BodyText"/>
            </w:pPr>
            <w:r>
              <w:t xml:space="preserve">From CSV note:</w:t>
            </w:r>
            <w:r>
              <w:t xml:space="preserve"> </w:t>
            </w:r>
            <w:r>
              <w:rPr>
                <w:i/>
                <w:iCs/>
              </w:rPr>
              <w:t xml:space="preserve">“full 9-province deployment with dedicated EHP nodes and enhanced data cleaning.”</w:t>
            </w:r>
          </w:p>
          <w:tbl>
            <w:tblPr>
              <w:tblStyle w:val="Table"/>
              <w:tblW w:type="pct" w:w="5000"/>
              <w:tblLayout w:type="fixed"/>
              <w:tblLook w:firstRow="1" w:lastRow="0" w:firstColumn="0" w:lastColumn="0" w:noHBand="0" w:noVBand="0" w:val="0020"/>
            </w:tblPr>
            <w:tblGrid>
              <w:gridCol w:w="465"/>
              <w:gridCol w:w="1708"/>
              <w:gridCol w:w="1242"/>
              <w:gridCol w:w="1863"/>
              <w:gridCol w:w="2640"/>
            </w:tblGrid>
            <w:tr>
              <w:trPr>
                <w:tblHeader w:val="on"/>
              </w:trPr>
              <w:tc>
                <w:tcPr/>
                <w:p>
                  <w:pPr>
                    <w:pStyle w:val="Compact"/>
                    <w:jc w:val="center"/>
                  </w:pPr>
                  <w:r>
                    <w:t xml:space="preserve">#</w:t>
                  </w:r>
                </w:p>
              </w:tc>
              <w:tc>
                <w:tcPr/>
                <w:p>
                  <w:pPr>
                    <w:pStyle w:val="Compact"/>
                    <w:jc w:val="left"/>
                  </w:pPr>
                  <w:r>
                    <w:t xml:space="preserve">Line item</w:t>
                  </w:r>
                </w:p>
              </w:tc>
              <w:tc>
                <w:tcPr/>
                <w:p>
                  <w:pPr>
                    <w:pStyle w:val="Compact"/>
                    <w:jc w:val="left"/>
                  </w:pPr>
                  <w:r>
                    <w:t xml:space="preserve">Driver</w:t>
                  </w:r>
                </w:p>
              </w:tc>
              <w:tc>
                <w:tcPr/>
                <w:p>
                  <w:pPr>
                    <w:pStyle w:val="Compact"/>
                    <w:jc w:val="right"/>
                  </w:pPr>
                  <w:r>
                    <w:t xml:space="preserve">Annual (R)</w:t>
                  </w:r>
                </w:p>
              </w:tc>
              <w:tc>
                <w:tcPr/>
                <w:p>
                  <w:pPr>
                    <w:pStyle w:val="Compact"/>
                    <w:jc w:val="left"/>
                  </w:pPr>
                  <w:r>
                    <w:t xml:space="preserve">Source / anchor</w:t>
                  </w:r>
                </w:p>
              </w:tc>
            </w:tr>
            <w:tr>
              <w:tc>
                <w:tcPr/>
                <w:p>
                  <w:pPr>
                    <w:pStyle w:val="Compact"/>
                    <w:jc w:val="center"/>
                  </w:pPr>
                  <w:r>
                    <w:t xml:space="preserve">1</w:t>
                  </w:r>
                </w:p>
              </w:tc>
              <w:tc>
                <w:tcPr/>
                <w:p>
                  <w:pPr>
                    <w:pStyle w:val="Compact"/>
                    <w:jc w:val="left"/>
                  </w:pPr>
                  <w:r>
                    <w:t xml:space="preserve">Provincial coordinators + dedicated EHP nodes ×9</w:t>
                  </w:r>
                </w:p>
              </w:tc>
              <w:tc>
                <w:tcPr/>
                <w:p>
                  <w:pPr>
                    <w:pStyle w:val="Compact"/>
                    <w:jc w:val="left"/>
                  </w:pPr>
                  <w:r>
                    <w:t xml:space="preserve">9 × R160,000 DPSA L8-9 (dedicated EHP grade)</w:t>
                  </w:r>
                </w:p>
              </w:tc>
              <w:tc>
                <w:tcPr/>
                <w:p>
                  <w:pPr>
                    <w:pStyle w:val="Compact"/>
                    <w:jc w:val="right"/>
                  </w:pPr>
                  <w:r>
                    <w:t xml:space="preserve">1,440,000</w:t>
                  </w:r>
                </w:p>
              </w:tc>
              <w:tc>
                <w:tcPr/>
                <w:p>
                  <w:pPr>
                    <w:pStyle w:val="Compact"/>
                    <w:jc w:val="left"/>
                  </w:pPr>
                  <w:r>
                    <w:t xml:space="preserve">DPSA L8-L9 scale 2024</w:t>
                  </w:r>
                </w:p>
              </w:tc>
            </w:tr>
            <w:tr>
              <w:tc>
                <w:tcPr/>
                <w:p>
                  <w:pPr>
                    <w:pStyle w:val="Compact"/>
                    <w:jc w:val="center"/>
                  </w:pPr>
                  <w:r>
                    <w:t xml:space="preserve">2</w:t>
                  </w:r>
                </w:p>
              </w:tc>
              <w:tc>
                <w:tcPr/>
                <w:p>
                  <w:pPr>
                    <w:pStyle w:val="Compact"/>
                    <w:jc w:val="left"/>
                  </w:pPr>
                  <w:r>
                    <w:t xml:space="preserve">National NICD analyst (enhanced share)</w:t>
                  </w:r>
                </w:p>
              </w:tc>
              <w:tc>
                <w:tcPr/>
                <w:p>
                  <w:pPr>
                    <w:pStyle w:val="Compact"/>
                    <w:jc w:val="left"/>
                  </w:pPr>
                  <w:r>
                    <w:t xml:space="preserve">0.3 FTE × R650k</w:t>
                  </w:r>
                </w:p>
              </w:tc>
              <w:tc>
                <w:tcPr/>
                <w:p>
                  <w:pPr>
                    <w:pStyle w:val="Compact"/>
                    <w:jc w:val="right"/>
                  </w:pPr>
                  <w:r>
                    <w:t xml:space="preserve">195,000</w:t>
                  </w:r>
                </w:p>
              </w:tc>
              <w:tc>
                <w:tcPr/>
                <w:p>
                  <w:pPr>
                    <w:pStyle w:val="Compact"/>
                    <w:jc w:val="left"/>
                  </w:pPr>
                  <w:r>
                    <w:t xml:space="preserve">DPSA L10-11 scale 2024</w:t>
                  </w:r>
                </w:p>
              </w:tc>
            </w:tr>
            <w:tr>
              <w:tc>
                <w:tcPr/>
                <w:p>
                  <w:pPr>
                    <w:pStyle w:val="Compact"/>
                    <w:jc w:val="center"/>
                  </w:pPr>
                  <w:r>
                    <w:t xml:space="preserve">3</w:t>
                  </w:r>
                </w:p>
              </w:tc>
              <w:tc>
                <w:tcPr/>
                <w:p>
                  <w:pPr>
                    <w:pStyle w:val="Compact"/>
                    <w:jc w:val="left"/>
                  </w:pPr>
                  <w:r>
                    <w:t xml:space="preserve">Platform hosting + enhanced data-cleaning infrastructure</w:t>
                  </w:r>
                </w:p>
              </w:tc>
              <w:tc>
                <w:tcPr/>
                <w:p>
                  <w:pPr>
                    <w:pStyle w:val="Compact"/>
                    <w:jc w:val="left"/>
                  </w:pPr>
                  <w:r>
                    <w:t xml:space="preserve">9-province scale + QA pipeline</w:t>
                  </w:r>
                </w:p>
              </w:tc>
              <w:tc>
                <w:tcPr/>
                <w:p>
                  <w:pPr>
                    <w:pStyle w:val="Compact"/>
                    <w:jc w:val="right"/>
                  </w:pPr>
                  <w:r>
                    <w:t xml:space="preserve">350,000</w:t>
                  </w:r>
                </w:p>
              </w:tc>
              <w:tc>
                <w:tcPr/>
                <w:p>
                  <w:pPr>
                    <w:pStyle w:val="Compact"/>
                    <w:jc w:val="left"/>
                  </w:pPr>
                  <w:r>
                    <w:t xml:space="preserve">AWS af-south-1 + QA infrastructure estimate</w:t>
                  </w:r>
                </w:p>
              </w:tc>
            </w:tr>
            <w:tr>
              <w:tc>
                <w:tcPr/>
                <w:p>
                  <w:pPr>
                    <w:pStyle w:val="Compact"/>
                    <w:jc w:val="center"/>
                  </w:pPr>
                  <w:r>
                    <w:t xml:space="preserve">4</w:t>
                  </w:r>
                </w:p>
              </w:tc>
              <w:tc>
                <w:tcPr/>
                <w:p>
                  <w:pPr>
                    <w:pStyle w:val="Compact"/>
                    <w:jc w:val="left"/>
                  </w:pPr>
                  <w:r>
                    <w:t xml:space="preserve">Annual CHW refresher training (9 provinces)</w:t>
                  </w:r>
                </w:p>
              </w:tc>
              <w:tc>
                <w:tcPr/>
                <w:p>
                  <w:pPr>
                    <w:pStyle w:val="Compact"/>
                    <w:jc w:val="left"/>
                  </w:pPr>
                  <w:r>
                    <w:t xml:space="preserve">9 provinces × full cohort</w:t>
                  </w:r>
                </w:p>
              </w:tc>
              <w:tc>
                <w:tcPr/>
                <w:p>
                  <w:pPr>
                    <w:pStyle w:val="Compact"/>
                    <w:jc w:val="right"/>
                  </w:pPr>
                  <w:r>
                    <w:t xml:space="preserve">515,000</w:t>
                  </w:r>
                </w:p>
              </w:tc>
              <w:tc>
                <w:tcPr/>
                <w:p>
                  <w:pPr>
                    <w:pStyle w:val="Compact"/>
                    <w:jc w:val="left"/>
                  </w:pPr>
                  <w:r>
                    <w:t xml:space="preserve">WHO-EWARN mature deployment analogue</w:t>
                  </w:r>
                </w:p>
              </w:tc>
            </w:tr>
            <w:tr>
              <w:tc>
                <w:tcPr/>
                <w:p>
                  <w:pPr>
                    <w:pStyle w:val="Compact"/>
                  </w:pPr>
                </w:p>
              </w:tc>
              <w:tc>
                <w:tcPr/>
                <w:p>
                  <w:pPr>
                    <w:pStyle w:val="Compact"/>
                    <w:jc w:val="left"/>
                  </w:pPr>
                  <w:r>
                    <w:rPr>
                      <w:b/>
                      <w:bCs/>
                    </w:rPr>
                    <w:t xml:space="preserve">Total (hi / full)</w:t>
                  </w:r>
                </w:p>
              </w:tc>
              <w:tc>
                <w:tcPr/>
                <w:p>
                  <w:pPr>
                    <w:pStyle w:val="Compact"/>
                  </w:pPr>
                </w:p>
              </w:tc>
              <w:tc>
                <w:tcPr/>
                <w:p>
                  <w:pPr>
                    <w:pStyle w:val="Compact"/>
                    <w:jc w:val="right"/>
                  </w:pPr>
                  <w:r>
                    <w:rPr>
                      <w:b/>
                      <w:bCs/>
                    </w:rPr>
                    <w:t xml:space="preserve">2,500,000</w:t>
                  </w:r>
                </w:p>
              </w:tc>
              <w:tc>
                <w:tcPr/>
                <w:p>
                  <w:pPr>
                    <w:pStyle w:val="Compact"/>
                    <w:jc w:val="left"/>
                  </w:pPr>
                  <w:r>
                    <w:t xml:space="preserve">matches</w:t>
                  </w:r>
                  <w:r>
                    <w:t xml:space="preserve"> </w:t>
                  </w:r>
                  <w:r>
                    <w:rPr>
                      <w:rStyle w:val="VerbatimChar"/>
                    </w:rPr>
                    <w:t xml:space="preserve">c_S1b_op_hi</w:t>
                  </w:r>
                </w:p>
              </w:tc>
            </w:tr>
          </w:tbl>
          <w:p>
            <w:pPr>
              <w:pStyle w:val="BodyText"/>
            </w:pPr>
            <w:r>
              <w:rPr>
                <w:b/>
                <w:bCs/>
              </w:rPr>
              <w:t xml:space="preserve">DPSA L8 anchor.</w:t>
            </w:r>
            <w:r>
              <w:t xml:space="preserve"> </w:t>
            </w:r>
            <w:r>
              <w:t xml:space="preserve">R120,000 represents ~16–20% FTE of a DPSA L8 mid-step CTE (~R600k–R750k/yr). In practice this is an existing EHP or health-promotion officer whose pesticide-poisoning community-surveillance duties are ring-fenced at that fraction — not a new hire. The same unit cost applies across all three scenarios; the scenarios differ in the number of provinces covered and whether dedicated EHP nodes (requiring L8-9 grade) are included.</w:t>
            </w:r>
          </w:p>
          <w:p>
            <w:pPr>
              <w:pStyle w:val="BodyText"/>
            </w:pPr>
            <w:pPr>
              <w:spacing w:after="16"/>
            </w:pPr>
            <w:r>
              <w:rPr>
                <w:b/>
                <w:bCs/>
              </w:rPr>
              <w:t xml:space="preserve">Setup parameters.</w:t>
            </w:r>
            <w:r>
              <w:t xml:space="preserve"> </w:t>
            </w:r>
            <w:r>
              <w:rPr>
                <w:rStyle w:val="VerbatimChar"/>
              </w:rPr>
              <w:t xml:space="preserve">c_S1b_setup_lo/mid/hi</w:t>
            </w:r>
            <w:r>
              <w:t xml:space="preserve"> </w:t>
            </w:r>
            <w:r>
              <w:t xml:space="preserve">= R1M / R2M / R3.5M (one-off) cover mobile-app development, protocol design, and initial CHW training. They are separately parameterised and not included in the operating cost rows above.</w:t>
            </w:r>
          </w:p>
          <w:p/>
        </w:tc>
      </w:tr>
    </w:tbl>
    <w:bookmarkEnd w:id="56"/>
    <w:bookmarkStart w:id="58" w:name="X0a801b621f4de561108d396b526bd84af901e4b"/>
    <w:p>
      <w:pPr>
        <w:pStyle w:val="Heading3"/>
      </w:pPr>
      <w:r>
        <w:t xml:space="preserve">Option 4 — NMC case investigation form + agricultural extension</w:t>
      </w:r>
      <w:r>
        <w:t xml:space="preserve"> </w:t>
      </w:r>
      <w:r>
        <w:rPr>
          <w:i/>
          <w:iCs/>
        </w:rPr>
        <w:t xml:space="preserve">(bridge to coordination)</w:t>
      </w:r>
    </w:p>
    <w:p>
      <w:pPr>
        <w:pStyle w:val="FirstParagraph"/>
      </w:pPr>
      <w:r>
        <w:t xml:space="preserve">Surveillance</w:t>
      </w:r>
      <w:r>
        <w:t xml:space="preserve"> </w:t>
      </w:r>
      <w:r>
        <w:rPr>
          <w:i/>
          <w:iCs/>
        </w:rPr>
        <w:t xml:space="preserve">counts</w:t>
      </w:r>
      <w:r>
        <w:t xml:space="preserve"> </w:t>
      </w:r>
      <w:r>
        <w:t xml:space="preserve">cases;</w:t>
      </w:r>
      <w:r>
        <w:t xml:space="preserve"> </w:t>
      </w:r>
      <w:r>
        <w:rPr>
          <w:b/>
          <w:bCs/>
        </w:rPr>
        <w:t xml:space="preserve">investigation</w:t>
      </w:r>
      <w:r>
        <w:t xml:space="preserve"> </w:t>
      </w:r>
      <w:r>
        <w:t xml:space="preserve">captures the source, the product, and the trigger for source removal. The NDoH</w:t>
      </w:r>
      <w:r>
        <w:t xml:space="preserve"> </w:t>
      </w:r>
      <w:hyperlink r:id="rId57">
        <w:r>
          <w:rPr>
            <w:rStyle w:val="Hyperlink"/>
            <w:i/>
            <w:iCs/>
          </w:rPr>
          <w:t xml:space="preserve">Guideline for the Investigation of Human Chemical Poisoning</w:t>
        </w:r>
        <w:r>
          <w:rPr>
            <w:rStyle w:val="Hyperlink"/>
          </w:rPr>
          <w:t xml:space="preserve"> </w:t>
        </w:r>
        <w:r>
          <w:rPr>
            <w:rStyle w:val="Hyperlink"/>
          </w:rPr>
          <w:t xml:space="preserve">(2023)</w:t>
        </w:r>
      </w:hyperlink>
      <w:r>
        <w:t xml:space="preserve"> </w:t>
      </w:r>
      <w:r>
        <w:t xml:space="preserve">already defines a structured Case Investigation Form (CIF) that EHPs and clinicians are expected to complete within 48 hours of any chemical-poisoning notification — but uptake is inconsistent, the form is not embedded in the NMC workflow, and it lacks interventions that are carried out by DOA (source removal). In addition, occupational exposure (if appropriate) ought to be captured.</w:t>
      </w:r>
    </w:p>
    <w:p>
      <w:pPr>
        <w:pStyle w:val="BodyText"/>
      </w:pPr>
      <w:r>
        <w:t xml:space="preserve">This option does two complementary things and is the</w:t>
      </w:r>
      <w:r>
        <w:t xml:space="preserve"> </w:t>
      </w:r>
      <w:r>
        <w:rPr>
          <w:b/>
          <w:bCs/>
        </w:rPr>
        <w:t xml:space="preserve">minimum surveillance-side investment required to make the</w:t>
      </w:r>
      <w:r>
        <w:rPr>
          <w:b/>
          <w:bCs/>
        </w:rPr>
        <w:t xml:space="preserve"> </w:t>
      </w:r>
      <w:hyperlink r:id="rId9">
        <w:r>
          <w:rPr>
            <w:rStyle w:val="Hyperlink"/>
            <w:b/>
            <w:bCs/>
          </w:rPr>
          <w:t xml:space="preserve">Coordination response</w:t>
        </w:r>
      </w:hyperlink>
      <w:r>
        <w:rPr>
          <w:b/>
          <w:bCs/>
        </w:rPr>
        <w:t xml:space="preserve"> </w:t>
      </w:r>
      <w:r>
        <w:rPr>
          <w:b/>
          <w:bCs/>
        </w:rPr>
        <w:t xml:space="preserve">operational</w:t>
      </w:r>
      <w:r>
        <w:t xml:space="preserve">:</w:t>
      </w:r>
    </w:p>
    <w:p>
      <w:pPr>
        <w:pStyle w:val="Compact"/>
        <w:numPr>
          <w:ilvl w:val="0"/>
          <w:numId w:val="1006"/>
        </w:numPr>
      </w:pPr>
      <w:r>
        <w:rPr>
          <w:b/>
          <w:bCs/>
        </w:rPr>
        <w:t xml:space="preserve">Operationalise the existing NDoH CIF inside NMC.</w:t>
      </w:r>
      <w:r>
        <w:t xml:space="preserve"> </w:t>
      </w:r>
      <w:r>
        <w:t xml:space="preserve">Embed the 2023 guideline’s investigation fields as a structured second-stage form auto-triggered by any pesticide-poisoning notification — whether the notification originates from NMC, the Option 2 PIH MVD ingest, or the Option 1 BChE auto-notify rule. EHPs receive a workflow alert; CIF completion within 48 hours becomes a tracked NMC performance indicator (district-level KPI, reported quarterly).</w:t>
      </w:r>
    </w:p>
    <w:p>
      <w:pPr>
        <w:pStyle w:val="Compact"/>
        <w:numPr>
          <w:ilvl w:val="0"/>
          <w:numId w:val="1006"/>
        </w:numPr>
      </w:pPr>
      <w:r>
        <w:rPr>
          <w:b/>
          <w:bCs/>
        </w:rPr>
        <w:t xml:space="preserve">Add an agricultural-investigation extension module.</w:t>
      </w:r>
      <w:r>
        <w:t xml:space="preserve"> </w:t>
      </w:r>
      <w:r>
        <w:t xml:space="preserve">Additional structured fields layered onto the CIF for:</w:t>
      </w:r>
    </w:p>
    <w:p>
      <w:pPr>
        <w:pStyle w:val="Compact"/>
        <w:numPr>
          <w:ilvl w:val="1"/>
          <w:numId w:val="1007"/>
        </w:numPr>
      </w:pPr>
      <w:r>
        <w:rPr>
          <w:b/>
          <w:bCs/>
        </w:rPr>
        <w:t xml:space="preserve">Product origin:</w:t>
      </w:r>
      <w:r>
        <w:t xml:space="preserve"> </w:t>
      </w:r>
      <w:r>
        <w:t xml:space="preserve">formal retail / informal repackaged / agricultural concentrate / unknown;</w:t>
      </w:r>
    </w:p>
    <w:p>
      <w:pPr>
        <w:pStyle w:val="Compact"/>
        <w:numPr>
          <w:ilvl w:val="1"/>
          <w:numId w:val="1007"/>
        </w:numPr>
      </w:pPr>
      <w:r>
        <w:rPr>
          <w:b/>
          <w:bCs/>
        </w:rPr>
        <w:t xml:space="preserve">AfriTox-coded agent name</w:t>
      </w:r>
      <w:r>
        <w:t xml:space="preserve"> </w:t>
      </w:r>
      <w:r>
        <w:t xml:space="preserve">(reciprocal with the Option 2 drop-down so PIH-reported and NMC-confirmed agent names are directly comparable);</w:t>
      </w:r>
    </w:p>
    <w:p>
      <w:pPr>
        <w:pStyle w:val="Compact"/>
        <w:numPr>
          <w:ilvl w:val="1"/>
          <w:numId w:val="1007"/>
        </w:numPr>
      </w:pPr>
      <w:r>
        <w:rPr>
          <w:b/>
          <w:bCs/>
        </w:rPr>
        <w:t xml:space="preserve">Exposure context:</w:t>
      </w:r>
      <w:r>
        <w:t xml:space="preserve"> </w:t>
      </w:r>
      <w:r>
        <w:t xml:space="preserve">occupational (farm worker, applicator) / dietary / accidental / intentional / pediatric ingestion;</w:t>
      </w:r>
    </w:p>
    <w:p>
      <w:pPr>
        <w:pStyle w:val="Compact"/>
        <w:numPr>
          <w:ilvl w:val="1"/>
          <w:numId w:val="1007"/>
        </w:numPr>
      </w:pPr>
      <w:r>
        <w:rPr>
          <w:b/>
          <w:bCs/>
        </w:rPr>
        <w:t xml:space="preserve">Site geolocation</w:t>
      </w:r>
      <w:r>
        <w:t xml:space="preserve"> </w:t>
      </w:r>
      <w:r>
        <w:t xml:space="preserve">(farm GPS / household / market / school) with district code;</w:t>
      </w:r>
    </w:p>
    <w:p>
      <w:pPr>
        <w:pStyle w:val="Compact"/>
        <w:numPr>
          <w:ilvl w:val="1"/>
          <w:numId w:val="1007"/>
        </w:numPr>
      </w:pPr>
      <w:r>
        <w:rPr>
          <w:b/>
          <w:bCs/>
        </w:rPr>
        <w:t xml:space="preserve">Source-removal trigger flag</w:t>
      </w:r>
      <w:r>
        <w:t xml:space="preserve"> </w:t>
      </w:r>
      <w:r>
        <w:t xml:space="preserve">— an explicit field that, when set by the EHP, hands the case off to the DALRRD-Act-36 + DoH source-removal workflow described in the</w:t>
      </w:r>
      <w:r>
        <w:t xml:space="preserve"> </w:t>
      </w:r>
      <w:hyperlink r:id="rId9">
        <w:r>
          <w:rPr>
            <w:rStyle w:val="Hyperlink"/>
          </w:rPr>
          <w:t xml:space="preserve">Coordination brief</w:t>
        </w:r>
      </w:hyperlink>
      <w:r>
        <w:t xml:space="preserve">.</w:t>
      </w:r>
    </w:p>
    <w:p>
      <w:pPr>
        <w:pStyle w:val="FirstParagraph"/>
      </w:pPr>
      <w:r>
        <w:rPr>
          <w:b/>
          <w:bCs/>
        </w:rPr>
        <w:t xml:space="preserve">Cost.</w:t>
      </w:r>
      <w:r>
        <w:t xml:space="preserve"> </w:t>
      </w:r>
      <w:r>
        <w:t xml:space="preserve">~R45,000 setup (form-template build into the NMC platform; one-day inter-departmental design workshop with NDoH EHP directorate, DALRRD Act-36 registrar, NICD, and PIH) and ~R35,000/yr operating (NICD analyst 0.04 FTE × R650k DPSA L10-11 for form-completion QA, drop-down maintenance and quarterly performance reporting to NDoH).</w:t>
      </w:r>
      <w:r>
        <w:t xml:space="preserve"> </w:t>
      </w:r>
      <w:r>
        <w:rPr>
          <w:b/>
          <w:bCs/>
        </w:rPr>
        <w:t xml:space="preserve">No new headcount</w:t>
      </w:r>
      <w:r>
        <w:t xml:space="preserve"> </w:t>
      </w:r>
      <w:r>
        <w:t xml:space="preserve">— same DPSA L10-11 analyst anchor used for S0, Option 1 and Option 2; no new IT platform — the NMC notification system already supports structured secondary forms.</w:t>
      </w:r>
    </w:p>
    <w:p>
      <w:pPr>
        <w:pStyle w:val="BodyText"/>
      </w:pPr>
      <w:r>
        <w:rPr>
          <w:b/>
          <w:bCs/>
        </w:rPr>
        <w:t xml:space="preserve">P_detect impact.</w:t>
      </w:r>
      <w:r>
        <w:t xml:space="preserve"> </w:t>
      </w:r>
      <w:r>
        <w:t xml:space="preserve">Option 4 does not raise the share of true cases entering surveillance — that is the role of Options 1, 2 and 3. Its value is converting detected cases into actionable investigations: the data-quality bridge that lets the coordination response act on the right cases, with the right product information, at the right site. The agent-attribution field from Option 2 records the</w:t>
      </w:r>
      <w:r>
        <w:t xml:space="preserve"> </w:t>
      </w:r>
      <w:r>
        <w:rPr>
          <w:i/>
          <w:iCs/>
        </w:rPr>
        <w:t xml:space="preserve">what</w:t>
      </w:r>
      <w:r>
        <w:t xml:space="preserve">; the CIF + agricultural extension records the</w:t>
      </w:r>
      <w:r>
        <w:t xml:space="preserve"> </w:t>
      </w:r>
      <w:r>
        <w:rPr>
          <w:i/>
          <w:iCs/>
        </w:rPr>
        <w:t xml:space="preserve">where, how, and who</w:t>
      </w:r>
      <w:r>
        <w:t xml:space="preserve">.</w:t>
      </w:r>
    </w:p>
    <w:p>
      <w:pPr>
        <w:pStyle w:val="BodyText"/>
      </w:pPr>
      <w:r>
        <w:rPr>
          <w:b/>
          <w:bCs/>
        </w:rPr>
        <w:t xml:space="preserve">Governance.</w:t>
      </w:r>
      <w:r>
        <w:t xml:space="preserve"> </w:t>
      </w:r>
      <w:r>
        <w:t xml:space="preserve">The form lives inside NMC; build, governance and KPIs are NDoH-owned surveillance infrastructure. The</w:t>
      </w:r>
      <w:r>
        <w:t xml:space="preserve"> </w:t>
      </w:r>
      <w:hyperlink r:id="rId9">
        <w:r>
          <w:rPr>
            <w:rStyle w:val="Hyperlink"/>
          </w:rPr>
          <w:t xml:space="preserve">Coordination brief</w:t>
        </w:r>
      </w:hyperlink>
      <w:r>
        <w:t xml:space="preserve"> </w:t>
      </w:r>
      <w:r>
        <w:rPr>
          <w:i/>
          <w:iCs/>
        </w:rPr>
        <w:t xml:space="preserve">consumes</w:t>
      </w:r>
      <w:r>
        <w:t xml:space="preserve"> </w:t>
      </w:r>
      <w:r>
        <w:t xml:space="preserve">the structured CIF outputs to trigger source removal and inter-departmental escalation. No new legislation required: the CIF exists in the 2023 guideline; Section 90 of the National Health Act and the NMC regulations already authorise the data flows.</w:t>
      </w:r>
    </w:p>
    <w:bookmarkEnd w:id="58"/>
    <w:bookmarkStart w:id="62" w:name="X33715a4d401bc273f5e908309b9ff2949346d31"/>
    <w:p>
      <w:pPr>
        <w:pStyle w:val="Heading3"/>
      </w:pPr>
      <w:r>
        <w:t xml:space="preserve">Option 5 — Sentinel live-patient toxicology</w:t>
      </w:r>
      <w:r>
        <w:t xml:space="preserve"> </w:t>
      </w:r>
      <w:r>
        <w:rPr>
          <w:i/>
          <w:iCs/>
        </w:rPr>
        <w:t xml:space="preserve">(★ recommended, medium term — distinct purpose, research-funded)</w:t>
      </w:r>
    </w:p>
    <w:p>
      <w:pPr>
        <w:pStyle w:val="FirstParagraph"/>
      </w:pPr>
      <w:r>
        <w:t xml:space="preserve">NHLS currently performs chemical toxicology (qualitative/quantitative pesticide assays)</w:t>
      </w:r>
      <w:r>
        <w:t xml:space="preserve"> </w:t>
      </w:r>
      <w:r>
        <w:rPr>
          <w:b/>
          <w:bCs/>
        </w:rPr>
        <w:t xml:space="preserve">post-mortem only</w:t>
      </w:r>
      <w:r>
        <w:t xml:space="preserve">. There is no live-patient toxicology capability. Option 5 funds a sentinel tertiary site (e.g. CHB) to perform live-patient chemical toxicology and/or mass spectometry, scaling to 4–5 sites in phase 2–3. This will only capture ~ 323 severe poisoning cases.</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rPr>
                <w:b/>
                <w:bCs/>
              </w:rPr>
              <w:t xml:space="preserve">Forensic chemistry is fully de-identified and not fit for surveillance linkage.</w:t>
            </w:r>
            <w:r>
              <w:t xml:space="preserve"> </w:t>
            </w:r>
            <w:r>
              <w:t xml:space="preserve">No patient, facility, or case-linkage identifiers: cannot be matched to NMC or PIH records without structural re-design of specimen accessioning. The</w:t>
            </w:r>
            <w:r>
              <w:t xml:space="preserve"> </w:t>
            </w:r>
            <w:r>
              <w:rPr>
                <w:b/>
                <w:bCs/>
              </w:rPr>
              <w:t xml:space="preserve">MLDI system</w:t>
            </w:r>
            <w:r>
              <w:t xml:space="preserve"> </w:t>
            </w:r>
            <w:r>
              <w:t xml:space="preserve">is the longer-term pathway for surveillance-ready post-mortem toxicology — a separate workstream from Option 5.</w:t>
            </w:r>
          </w:p>
        </w:tc>
      </w:tr>
    </w:tbl>
    <w:p>
      <w:pPr>
        <w:pStyle w:val="BodyText"/>
      </w:pPr>
      <w:r>
        <w:rPr>
          <w:b/>
          <w:bCs/>
        </w:rPr>
        <w:t xml:space="preserve">Option 5 has a different purpose from Options 1 and 2</w:t>
      </w:r>
      <w:r>
        <w:t xml:space="preserve"> </w:t>
      </w:r>
      <w:r>
        <w:t xml:space="preserve">and is</w:t>
      </w:r>
      <w:r>
        <w:t xml:space="preserve"> </w:t>
      </w:r>
      <w:r>
        <w:rPr>
          <w:i/>
          <w:iCs/>
        </w:rPr>
        <w:t xml:space="preserve">not</w:t>
      </w:r>
      <w:r>
        <w:t xml:space="preserve"> </w:t>
      </w:r>
      <w:r>
        <w:t xml:space="preserve">a detection-coverage uplift. Options 1 and 2 raise the share of true cases entering surveillance.</w:t>
      </w:r>
      <w:r>
        <w:t xml:space="preserve"> </w:t>
      </w:r>
      <w:r>
        <w:rPr>
          <w:b/>
          <w:bCs/>
        </w:rPr>
        <w:t xml:space="preserve">Option 5 identifies the chemical agents found in severely poisoned living patients at sentinel sites</w:t>
      </w:r>
      <w:r>
        <w:t xml:space="preserve"> </w:t>
      </w:r>
      <w:r>
        <w:t xml:space="preserve">— the missing evidence base for product-specific regulation (see</w:t>
      </w:r>
      <w:r>
        <w:t xml:space="preserve"> </w:t>
      </w:r>
      <w:hyperlink r:id="rId10">
        <w:r>
          <w:rPr>
            <w:rStyle w:val="Hyperlink"/>
          </w:rPr>
          <w:t xml:space="preserve">Terbufos brief</w:t>
        </w:r>
      </w:hyperlink>
      <w:r>
        <w:t xml:space="preserve">). Without it, ~10,000 survivors/year are recorded with agent</w:t>
      </w:r>
      <w:r>
        <w:t xml:space="preserve"> </w:t>
      </w:r>
      <w:r>
        <w:t xml:space="preserve">“unknown / suspected”</w:t>
      </w:r>
      <w:r>
        <w:t xml:space="preserve"> </w:t>
      </w:r>
      <w:r>
        <w:t xml:space="preserve">and targeted product restriction has no quantitative footing. Some signal is captured in national mortality surveillance for poison ingestion deaths [Prinsloo M, Roomaney RA, Neethling I, et al. Tracking poison ingestion deaths for SA.</w:t>
      </w:r>
      <w:r>
        <w:t xml:space="preserve"> </w:t>
      </w:r>
      <w:r>
        <w:rPr>
          <w:i/>
          <w:iCs/>
        </w:rPr>
        <w:t xml:space="preserve">SAMJ</w:t>
      </w:r>
      <w:r>
        <w:t xml:space="preserve"> </w:t>
      </w:r>
      <w:r>
        <w:t xml:space="preserve">2025;115(5):e2993].</w:t>
      </w:r>
    </w:p>
    <w:p>
      <w:pPr>
        <w:pStyle w:val="BodyText"/>
      </w:pPr>
      <w:r>
        <w:t xml:space="preserve">Cost: ~R1.2M pilot site → ~R3.6M for 5-site rollout, 6–12 months. Funded from research-surveillance streams (SAMRC, Bloomberg, Gates), not the surveillance operating budget. Full quantitative concept in the</w:t>
      </w:r>
      <w:r>
        <w:t xml:space="preserve"> </w:t>
      </w:r>
      <w:hyperlink r:id="rId59">
        <w:r>
          <w:rPr>
            <w:rStyle w:val="Hyperlink"/>
          </w:rPr>
          <w:t xml:space="preserve">sentinel toxicology appendix</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note.png" id="6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Audit trail — mini-budget backing Option 5 (sentinel toxicology) costs</w:t>
            </w:r>
          </w:p>
        </w:tc>
      </w:tr>
      <w:tr>
        <w:trPr>
          <w:cantSplit/>
        </w:trPr>
        <w:tc>
          <w:tcPr>
            <w:tcMar>
              <w:top w:w="108" w:type="dxa"/>
              <w:bottom w:w="108" w:type="dxa"/>
            </w:tcMar>
          </w:tcPr>
          <w:p>
            <w:pPr>
              <w:pStyle w:val="BodyText"/>
            </w:pPr>
            <w:pPr>
              <w:spacing w:before="16"/>
            </w:pPr>
            <w:r>
              <w:t xml:space="preserve">Four component-level parameters in</w:t>
            </w:r>
            <w:r>
              <w:t xml:space="preserve"> </w:t>
            </w:r>
            <w:hyperlink r:id="rId14">
              <w:r>
                <w:rPr>
                  <w:rStyle w:val="VerbatimChar"/>
                </w:rPr>
                <w:t xml:space="preserve">amua_import_parameters_v4.csv</w:t>
              </w:r>
            </w:hyperlink>
            <w:r>
              <w:t xml:space="preserve"> </w:t>
            </w:r>
            <w:r>
              <w:t xml:space="preserve">underpin both Option 5 cost rows. The pilot and 5-site budgets run</w:t>
            </w:r>
            <w:r>
              <w:t xml:space="preserve"> </w:t>
            </w:r>
            <w:r>
              <w:rPr>
                <w:b/>
                <w:bCs/>
              </w:rPr>
              <w:t xml:space="preserve">below the maximum specimen capacity</w:t>
            </w:r>
            <w:r>
              <w:t xml:space="preserve"> </w:t>
            </w:r>
            <w:r>
              <w:t xml:space="preserve">(</w:t>
            </w:r>
            <w:r>
              <w:rPr>
                <w:rStyle w:val="VerbatimChar"/>
              </w:rPr>
              <w:t xml:space="preserve">n_specimens_per_site_per_year</w:t>
            </w:r>
            <w:r>
              <w:t xml:space="preserve"> </w:t>
            </w:r>
            <w:r>
              <w:t xml:space="preserve">= 646): the pilot targets ~150 GC-MS screens and ~200 clinical batteries (ramp-up year); the 5-site rollout targets ~100 screens and ~133 batteries per site per year (steady-state research enrolment).</w:t>
            </w:r>
          </w:p>
          <w:p>
            <w:pPr>
              <w:pStyle w:val="BodyText"/>
            </w:pPr>
            <w:r>
              <w:rPr>
                <w:b/>
                <w:bCs/>
              </w:rPr>
              <w:t xml:space="preserve">Pilot — 1 sentinel site (CHB) |</w:t>
            </w:r>
            <w:r>
              <w:rPr>
                <w:b/>
                <w:bCs/>
              </w:rPr>
              <w:t xml:space="preserve"> </w:t>
            </w:r>
            <w:r>
              <w:rPr>
                <w:rStyle w:val="VerbatimChar"/>
                <w:b/>
                <w:bCs/>
              </w:rPr>
              <w:t xml:space="preserve">c_option6_pilot_year1</w:t>
            </w:r>
            <w:r>
              <w:rPr>
                <w:b/>
                <w:bCs/>
              </w:rPr>
              <w:t xml:space="preserve"> </w:t>
            </w:r>
            <w:r>
              <w:rPr>
                <w:b/>
                <w:bCs/>
              </w:rPr>
              <w:t xml:space="preserve">= R1,200,000/yr</w:t>
            </w:r>
          </w:p>
          <w:tbl>
            <w:tblPr>
              <w:tblStyle w:val="Table"/>
              <w:tblW w:type="pct" w:w="5000"/>
              <w:tblLayout w:type="fixed"/>
              <w:tblLook w:firstRow="1" w:lastRow="0" w:firstColumn="0" w:lastColumn="0" w:noHBand="0" w:noVBand="0" w:val="0020"/>
            </w:tblPr>
            <w:tblGrid>
              <w:gridCol w:w="416"/>
              <w:gridCol w:w="1528"/>
              <w:gridCol w:w="1111"/>
              <w:gridCol w:w="1667"/>
              <w:gridCol w:w="3195"/>
            </w:tblGrid>
            <w:tr>
              <w:trPr>
                <w:tblHeader w:val="on"/>
              </w:trPr>
              <w:tc>
                <w:tcPr/>
                <w:p>
                  <w:pPr>
                    <w:pStyle w:val="Compact"/>
                    <w:jc w:val="center"/>
                  </w:pPr>
                  <w:r>
                    <w:t xml:space="preserve">#</w:t>
                  </w:r>
                </w:p>
              </w:tc>
              <w:tc>
                <w:tcPr/>
                <w:p>
                  <w:pPr>
                    <w:pStyle w:val="Compact"/>
                    <w:jc w:val="left"/>
                  </w:pPr>
                  <w:r>
                    <w:t xml:space="preserve">Line item</w:t>
                  </w:r>
                </w:p>
              </w:tc>
              <w:tc>
                <w:tcPr/>
                <w:p>
                  <w:pPr>
                    <w:pStyle w:val="Compact"/>
                    <w:jc w:val="left"/>
                  </w:pPr>
                  <w:r>
                    <w:t xml:space="preserve">Driver</w:t>
                  </w:r>
                </w:p>
              </w:tc>
              <w:tc>
                <w:tcPr/>
                <w:p>
                  <w:pPr>
                    <w:pStyle w:val="Compact"/>
                    <w:jc w:val="right"/>
                  </w:pPr>
                  <w:r>
                    <w:t xml:space="preserve">Annual (R)</w:t>
                  </w:r>
                </w:p>
              </w:tc>
              <w:tc>
                <w:tcPr/>
                <w:p>
                  <w:pPr>
                    <w:pStyle w:val="Compact"/>
                    <w:jc w:val="left"/>
                  </w:pPr>
                  <w:r>
                    <w:t xml:space="preserve">CSV parameter / source</w:t>
                  </w:r>
                </w:p>
              </w:tc>
            </w:tr>
            <w:tr>
              <w:tc>
                <w:tcPr/>
                <w:p>
                  <w:pPr>
                    <w:pStyle w:val="Compact"/>
                    <w:jc w:val="center"/>
                  </w:pPr>
                  <w:r>
                    <w:t xml:space="preserve">1</w:t>
                  </w:r>
                </w:p>
              </w:tc>
              <w:tc>
                <w:tcPr/>
                <w:p>
                  <w:pPr>
                    <w:pStyle w:val="Compact"/>
                    <w:jc w:val="left"/>
                  </w:pPr>
                  <w:r>
                    <w:t xml:space="preserve">Research nurse 0.5 FTE (TASK research band)</w:t>
                  </w:r>
                </w:p>
              </w:tc>
              <w:tc>
                <w:tcPr/>
                <w:p>
                  <w:pPr>
                    <w:pStyle w:val="Compact"/>
                    <w:jc w:val="left"/>
                  </w:pPr>
                  <w:r>
                    <w:t xml:space="preserve">Per-site personnel anchor</w:t>
                  </w:r>
                </w:p>
              </w:tc>
              <w:tc>
                <w:tcPr/>
                <w:p>
                  <w:pPr>
                    <w:pStyle w:val="Compact"/>
                    <w:jc w:val="right"/>
                  </w:pPr>
                  <w:r>
                    <w:t xml:space="preserve">175,000</w:t>
                  </w:r>
                </w:p>
              </w:tc>
              <w:tc>
                <w:tcPr/>
                <w:p>
                  <w:pPr>
                    <w:pStyle w:val="Compact"/>
                    <w:jc w:val="left"/>
                  </w:pPr>
                  <w:r>
                    <w:rPr>
                      <w:rStyle w:val="VerbatimChar"/>
                    </w:rPr>
                    <w:t xml:space="preserve">c_research_nurse_05FTE_per_site</w:t>
                  </w:r>
                </w:p>
              </w:tc>
            </w:tr>
            <w:tr>
              <w:tc>
                <w:tcPr/>
                <w:p>
                  <w:pPr>
                    <w:pStyle w:val="Compact"/>
                    <w:jc w:val="center"/>
                  </w:pPr>
                  <w:r>
                    <w:t xml:space="preserve">2</w:t>
                  </w:r>
                </w:p>
              </w:tc>
              <w:tc>
                <w:tcPr/>
                <w:p>
                  <w:pPr>
                    <w:pStyle w:val="Compact"/>
                    <w:jc w:val="left"/>
                  </w:pPr>
                  <w:r>
                    <w:t xml:space="preserve">GC-MS / LC-MS multi-residue screens (~150 specimens × R2,500)</w:t>
                  </w:r>
                </w:p>
              </w:tc>
              <w:tc>
                <w:tcPr/>
                <w:p>
                  <w:pPr>
                    <w:pStyle w:val="Compact"/>
                    <w:jc w:val="left"/>
                  </w:pPr>
                  <w:r>
                    <w:t xml:space="preserve">Pilot ramp-up volume</w:t>
                  </w:r>
                </w:p>
              </w:tc>
              <w:tc>
                <w:tcPr/>
                <w:p>
                  <w:pPr>
                    <w:pStyle w:val="Compact"/>
                    <w:jc w:val="right"/>
                  </w:pPr>
                  <w:r>
                    <w:t xml:space="preserve">375,000</w:t>
                  </w:r>
                </w:p>
              </w:tc>
              <w:tc>
                <w:tcPr/>
                <w:p>
                  <w:pPr>
                    <w:pStyle w:val="Compact"/>
                    <w:jc w:val="left"/>
                  </w:pPr>
                  <w:r>
                    <w:rPr>
                      <w:rStyle w:val="VerbatimChar"/>
                    </w:rPr>
                    <w:t xml:space="preserve">c_gcms_screen_per_specimen</w:t>
                  </w:r>
                  <w:r>
                    <w:t xml:space="preserve"> </w:t>
                  </w:r>
                  <w:r>
                    <w:t xml:space="preserve">× pilot volume</w:t>
                  </w:r>
                </w:p>
              </w:tc>
            </w:tr>
            <w:tr>
              <w:tc>
                <w:tcPr/>
                <w:p>
                  <w:pPr>
                    <w:pStyle w:val="Compact"/>
                    <w:jc w:val="center"/>
                  </w:pPr>
                  <w:r>
                    <w:t xml:space="preserve">3</w:t>
                  </w:r>
                </w:p>
              </w:tc>
              <w:tc>
                <w:tcPr/>
                <w:p>
                  <w:pPr>
                    <w:pStyle w:val="Compact"/>
                    <w:jc w:val="left"/>
                  </w:pPr>
                  <w:r>
                    <w:t xml:space="preserve">Enhanced clinical batteries (~200 patients × R1,500; BChE + LFT + U&amp;E + repeat)</w:t>
                  </w:r>
                </w:p>
              </w:tc>
              <w:tc>
                <w:tcPr/>
                <w:p>
                  <w:pPr>
                    <w:pStyle w:val="Compact"/>
                    <w:jc w:val="left"/>
                  </w:pPr>
                  <w:r>
                    <w:t xml:space="preserve">All enrolled patients</w:t>
                  </w:r>
                </w:p>
              </w:tc>
              <w:tc>
                <w:tcPr/>
                <w:p>
                  <w:pPr>
                    <w:pStyle w:val="Compact"/>
                    <w:jc w:val="right"/>
                  </w:pPr>
                  <w:r>
                    <w:t xml:space="preserve">300,000</w:t>
                  </w:r>
                </w:p>
              </w:tc>
              <w:tc>
                <w:tcPr/>
                <w:p>
                  <w:pPr>
                    <w:pStyle w:val="Compact"/>
                    <w:jc w:val="left"/>
                  </w:pPr>
                  <w:r>
                    <w:rPr>
                      <w:rStyle w:val="VerbatimChar"/>
                    </w:rPr>
                    <w:t xml:space="preserve">c_clinical_battery_per_patient</w:t>
                  </w:r>
                  <w:r>
                    <w:t xml:space="preserve"> </w:t>
                  </w:r>
                  <w:r>
                    <w:t xml:space="preserve">× pilot volume</w:t>
                  </w:r>
                </w:p>
              </w:tc>
            </w:tr>
            <w:tr>
              <w:tc>
                <w:tcPr/>
                <w:p>
                  <w:pPr>
                    <w:pStyle w:val="Compact"/>
                    <w:jc w:val="center"/>
                  </w:pPr>
                  <w:r>
                    <w:t xml:space="preserve">4</w:t>
                  </w:r>
                </w:p>
              </w:tc>
              <w:tc>
                <w:tcPr/>
                <w:p>
                  <w:pPr>
                    <w:pStyle w:val="Compact"/>
                    <w:jc w:val="left"/>
                  </w:pPr>
                  <w:r>
                    <w:t xml:space="preserve">Chemical pathologist co-investigator time (0.07 FTE × R1,500k NHLS Patterson grade E)</w:t>
                  </w:r>
                </w:p>
              </w:tc>
              <w:tc>
                <w:tcPr/>
                <w:p>
                  <w:pPr>
                    <w:pStyle w:val="Compact"/>
                    <w:jc w:val="left"/>
                  </w:pPr>
                  <w:r>
                    <w:t xml:space="preserve">Sign-out + supervision</w:t>
                  </w:r>
                </w:p>
              </w:tc>
              <w:tc>
                <w:tcPr/>
                <w:p>
                  <w:pPr>
                    <w:pStyle w:val="Compact"/>
                    <w:jc w:val="right"/>
                  </w:pPr>
                  <w:r>
                    <w:t xml:space="preserve">105,000</w:t>
                  </w:r>
                </w:p>
              </w:tc>
              <w:tc>
                <w:tcPr/>
                <w:p>
                  <w:pPr>
                    <w:pStyle w:val="Compact"/>
                    <w:jc w:val="left"/>
                  </w:pPr>
                  <w:r>
                    <w:t xml:space="preserve">NHLS Patterson grade E 2024 (Tab 1 NHLS chemical pathologist CTE)</w:t>
                  </w:r>
                </w:p>
              </w:tc>
            </w:tr>
            <w:tr>
              <w:tc>
                <w:tcPr/>
                <w:p>
                  <w:pPr>
                    <w:pStyle w:val="Compact"/>
                    <w:jc w:val="center"/>
                  </w:pPr>
                  <w:r>
                    <w:t xml:space="preserve">5</w:t>
                  </w:r>
                </w:p>
              </w:tc>
              <w:tc>
                <w:tcPr/>
                <w:p>
                  <w:pPr>
                    <w:pStyle w:val="Compact"/>
                    <w:jc w:val="left"/>
                  </w:pPr>
                  <w:r>
                    <w:t xml:space="preserve">REDCap data management + statistical reporting</w:t>
                  </w:r>
                </w:p>
              </w:tc>
              <w:tc>
                <w:tcPr/>
                <w:p>
                  <w:pPr>
                    <w:pStyle w:val="Compact"/>
                    <w:jc w:val="left"/>
                  </w:pPr>
                  <w:r>
                    <w:t xml:space="preserve">1-site platform + annual report</w:t>
                  </w:r>
                </w:p>
              </w:tc>
              <w:tc>
                <w:tcPr/>
                <w:p>
                  <w:pPr>
                    <w:pStyle w:val="Compact"/>
                    <w:jc w:val="right"/>
                  </w:pPr>
                  <w:r>
                    <w:t xml:space="preserve">80,000</w:t>
                  </w:r>
                </w:p>
              </w:tc>
              <w:tc>
                <w:tcPr/>
                <w:p>
                  <w:pPr>
                    <w:pStyle w:val="Compact"/>
                    <w:jc w:val="left"/>
                  </w:pPr>
                  <w:r>
                    <w:t xml:space="preserve">Concept Note DRAFT 3</w:t>
                  </w:r>
                </w:p>
              </w:tc>
            </w:tr>
            <w:tr>
              <w:tc>
                <w:tcPr/>
                <w:p>
                  <w:pPr>
                    <w:pStyle w:val="Compact"/>
                    <w:jc w:val="center"/>
                  </w:pPr>
                  <w:r>
                    <w:t xml:space="preserve">6</w:t>
                  </w:r>
                </w:p>
              </w:tc>
              <w:tc>
                <w:tcPr/>
                <w:p>
                  <w:pPr>
                    <w:pStyle w:val="Compact"/>
                    <w:jc w:val="left"/>
                  </w:pPr>
                  <w:r>
                    <w:t xml:space="preserve">Site consumables, specimen transport + cold chain, overheads</w:t>
                  </w:r>
                </w:p>
              </w:tc>
              <w:tc>
                <w:tcPr/>
                <w:p>
                  <w:pPr>
                    <w:pStyle w:val="Compact"/>
                    <w:jc w:val="left"/>
                  </w:pPr>
                  <w:r>
                    <w:t xml:space="preserve">~150 specimens × ~R1,100 blended overhead</w:t>
                  </w:r>
                </w:p>
              </w:tc>
              <w:tc>
                <w:tcPr/>
                <w:p>
                  <w:pPr>
                    <w:pStyle w:val="Compact"/>
                    <w:jc w:val="right"/>
                  </w:pPr>
                  <w:r>
                    <w:t xml:space="preserve">165,000</w:t>
                  </w:r>
                </w:p>
              </w:tc>
              <w:tc>
                <w:tcPr/>
                <w:p>
                  <w:pPr>
                    <w:pStyle w:val="Compact"/>
                    <w:jc w:val="left"/>
                  </w:pPr>
                  <w:r>
                    <w:t xml:space="preserve">NHLS logistics tariff 2024 + consumables estimate</w:t>
                  </w:r>
                </w:p>
              </w:tc>
            </w:tr>
            <w:tr>
              <w:tc>
                <w:tcPr/>
                <w:p>
                  <w:pPr>
                    <w:pStyle w:val="Compact"/>
                  </w:pPr>
                </w:p>
              </w:tc>
              <w:tc>
                <w:tcPr/>
                <w:p>
                  <w:pPr>
                    <w:pStyle w:val="Compact"/>
                    <w:jc w:val="left"/>
                  </w:pPr>
                  <w:r>
                    <w:rPr>
                      <w:b/>
                      <w:bCs/>
                    </w:rPr>
                    <w:t xml:space="preserve">Total (pilot, 1 site)</w:t>
                  </w:r>
                </w:p>
              </w:tc>
              <w:tc>
                <w:tcPr/>
                <w:p>
                  <w:pPr>
                    <w:pStyle w:val="Compact"/>
                  </w:pPr>
                </w:p>
              </w:tc>
              <w:tc>
                <w:tcPr/>
                <w:p>
                  <w:pPr>
                    <w:pStyle w:val="Compact"/>
                    <w:jc w:val="right"/>
                  </w:pPr>
                  <w:r>
                    <w:rPr>
                      <w:b/>
                      <w:bCs/>
                    </w:rPr>
                    <w:t xml:space="preserve">1,200,000</w:t>
                  </w:r>
                </w:p>
              </w:tc>
              <w:tc>
                <w:tcPr/>
                <w:p>
                  <w:pPr>
                    <w:pStyle w:val="Compact"/>
                    <w:jc w:val="left"/>
                  </w:pPr>
                  <w:r>
                    <w:t xml:space="preserve">matches</w:t>
                  </w:r>
                  <w:r>
                    <w:t xml:space="preserve"> </w:t>
                  </w:r>
                  <w:r>
                    <w:rPr>
                      <w:rStyle w:val="VerbatimChar"/>
                    </w:rPr>
                    <w:t xml:space="preserve">c_option6_pilot_year1</w:t>
                  </w:r>
                </w:p>
              </w:tc>
            </w:tr>
          </w:tbl>
          <w:p>
            <w:pPr>
              <w:pStyle w:val="BodyText"/>
            </w:pPr>
            <w:r>
              <w:rPr>
                <w:b/>
                <w:bCs/>
              </w:rPr>
              <w:t xml:space="preserve">Full rollout — 5 sentinel sites |</w:t>
            </w:r>
            <w:r>
              <w:rPr>
                <w:b/>
                <w:bCs/>
              </w:rPr>
              <w:t xml:space="preserve"> </w:t>
            </w:r>
            <w:r>
              <w:rPr>
                <w:rStyle w:val="VerbatimChar"/>
                <w:b/>
                <w:bCs/>
              </w:rPr>
              <w:t xml:space="preserve">c_option6_full_5site_annual</w:t>
            </w:r>
            <w:r>
              <w:rPr>
                <w:b/>
                <w:bCs/>
              </w:rPr>
              <w:t xml:space="preserve"> </w:t>
            </w:r>
            <w:r>
              <w:rPr>
                <w:b/>
                <w:bCs/>
              </w:rPr>
              <w:t xml:space="preserve">= R3,625,000/yr</w:t>
            </w:r>
          </w:p>
          <w:tbl>
            <w:tblPr>
              <w:tblStyle w:val="Table"/>
              <w:tblW w:type="pct" w:w="5000"/>
              <w:tblLayout w:type="fixed"/>
              <w:tblLook w:firstRow="1" w:lastRow="0" w:firstColumn="0" w:lastColumn="0" w:noHBand="0" w:noVBand="0" w:val="0020"/>
            </w:tblPr>
            <w:tblGrid>
              <w:gridCol w:w="416"/>
              <w:gridCol w:w="1528"/>
              <w:gridCol w:w="1111"/>
              <w:gridCol w:w="1667"/>
              <w:gridCol w:w="3195"/>
            </w:tblGrid>
            <w:tr>
              <w:trPr>
                <w:tblHeader w:val="on"/>
              </w:trPr>
              <w:tc>
                <w:tcPr/>
                <w:p>
                  <w:pPr>
                    <w:pStyle w:val="Compact"/>
                    <w:jc w:val="center"/>
                  </w:pPr>
                  <w:r>
                    <w:t xml:space="preserve">#</w:t>
                  </w:r>
                </w:p>
              </w:tc>
              <w:tc>
                <w:tcPr/>
                <w:p>
                  <w:pPr>
                    <w:pStyle w:val="Compact"/>
                    <w:jc w:val="left"/>
                  </w:pPr>
                  <w:r>
                    <w:t xml:space="preserve">Line item</w:t>
                  </w:r>
                </w:p>
              </w:tc>
              <w:tc>
                <w:tcPr/>
                <w:p>
                  <w:pPr>
                    <w:pStyle w:val="Compact"/>
                    <w:jc w:val="left"/>
                  </w:pPr>
                  <w:r>
                    <w:t xml:space="preserve">Driver</w:t>
                  </w:r>
                </w:p>
              </w:tc>
              <w:tc>
                <w:tcPr/>
                <w:p>
                  <w:pPr>
                    <w:pStyle w:val="Compact"/>
                    <w:jc w:val="right"/>
                  </w:pPr>
                  <w:r>
                    <w:t xml:space="preserve">Annual (R)</w:t>
                  </w:r>
                </w:p>
              </w:tc>
              <w:tc>
                <w:tcPr/>
                <w:p>
                  <w:pPr>
                    <w:pStyle w:val="Compact"/>
                    <w:jc w:val="left"/>
                  </w:pPr>
                  <w:r>
                    <w:t xml:space="preserve">CSV parameter / source</w:t>
                  </w:r>
                </w:p>
              </w:tc>
            </w:tr>
            <w:tr>
              <w:tc>
                <w:tcPr/>
                <w:p>
                  <w:pPr>
                    <w:pStyle w:val="Compact"/>
                    <w:jc w:val="center"/>
                  </w:pPr>
                  <w:r>
                    <w:t xml:space="preserve">1</w:t>
                  </w:r>
                </w:p>
              </w:tc>
              <w:tc>
                <w:tcPr/>
                <w:p>
                  <w:pPr>
                    <w:pStyle w:val="Compact"/>
                    <w:jc w:val="left"/>
                  </w:pPr>
                  <w:r>
                    <w:t xml:space="preserve">Research nurses ×5 (0.5 FTE each)</w:t>
                  </w:r>
                </w:p>
              </w:tc>
              <w:tc>
                <w:tcPr/>
                <w:p>
                  <w:pPr>
                    <w:pStyle w:val="Compact"/>
                    <w:jc w:val="left"/>
                  </w:pPr>
                  <w:r>
                    <w:t xml:space="preserve">5 ×</w:t>
                  </w:r>
                  <w:r>
                    <w:t xml:space="preserve"> </w:t>
                  </w:r>
                  <w:r>
                    <w:rPr>
                      <w:rStyle w:val="VerbatimChar"/>
                    </w:rPr>
                    <w:t xml:space="preserve">c_research_nurse_05FTE_per_site</w:t>
                  </w:r>
                </w:p>
              </w:tc>
              <w:tc>
                <w:tcPr/>
                <w:p>
                  <w:pPr>
                    <w:pStyle w:val="Compact"/>
                    <w:jc w:val="right"/>
                  </w:pPr>
                  <w:r>
                    <w:t xml:space="preserve">875,000</w:t>
                  </w:r>
                </w:p>
              </w:tc>
              <w:tc>
                <w:tcPr/>
                <w:p>
                  <w:pPr>
                    <w:pStyle w:val="Compact"/>
                    <w:jc w:val="left"/>
                  </w:pPr>
                  <w:r>
                    <w:rPr>
                      <w:rStyle w:val="VerbatimChar"/>
                    </w:rPr>
                    <w:t xml:space="preserve">c_research_nurse_05FTE_per_site</w:t>
                  </w:r>
                  <w:r>
                    <w:t xml:space="preserve"> </w:t>
                  </w:r>
                  <w:r>
                    <w:t xml:space="preserve">× 5</w:t>
                  </w:r>
                </w:p>
              </w:tc>
            </w:tr>
            <w:tr>
              <w:tc>
                <w:tcPr/>
                <w:p>
                  <w:pPr>
                    <w:pStyle w:val="Compact"/>
                    <w:jc w:val="center"/>
                  </w:pPr>
                  <w:r>
                    <w:t xml:space="preserve">2</w:t>
                  </w:r>
                </w:p>
              </w:tc>
              <w:tc>
                <w:tcPr/>
                <w:p>
                  <w:pPr>
                    <w:pStyle w:val="Compact"/>
                    <w:jc w:val="left"/>
                  </w:pPr>
                  <w:r>
                    <w:t xml:space="preserve">GC-MS screens (5 sites × ~100 specimens × R2,500)</w:t>
                  </w:r>
                </w:p>
              </w:tc>
              <w:tc>
                <w:tcPr/>
                <w:p>
                  <w:pPr>
                    <w:pStyle w:val="Compact"/>
                    <w:jc w:val="left"/>
                  </w:pPr>
                  <w:r>
                    <w:t xml:space="preserve">Steady-state research volume</w:t>
                  </w:r>
                </w:p>
              </w:tc>
              <w:tc>
                <w:tcPr/>
                <w:p>
                  <w:pPr>
                    <w:pStyle w:val="Compact"/>
                    <w:jc w:val="right"/>
                  </w:pPr>
                  <w:r>
                    <w:t xml:space="preserve">1,250,000</w:t>
                  </w:r>
                </w:p>
              </w:tc>
              <w:tc>
                <w:tcPr/>
                <w:p>
                  <w:pPr>
                    <w:pStyle w:val="Compact"/>
                    <w:jc w:val="left"/>
                  </w:pPr>
                  <w:r>
                    <w:rPr>
                      <w:rStyle w:val="VerbatimChar"/>
                    </w:rPr>
                    <w:t xml:space="preserve">c_gcms_screen_per_specimen</w:t>
                  </w:r>
                  <w:r>
                    <w:t xml:space="preserve"> </w:t>
                  </w:r>
                  <w:r>
                    <w:t xml:space="preserve">× 5-site volume</w:t>
                  </w:r>
                </w:p>
              </w:tc>
            </w:tr>
            <w:tr>
              <w:tc>
                <w:tcPr/>
                <w:p>
                  <w:pPr>
                    <w:pStyle w:val="Compact"/>
                    <w:jc w:val="center"/>
                  </w:pPr>
                  <w:r>
                    <w:t xml:space="preserve">3</w:t>
                  </w:r>
                </w:p>
              </w:tc>
              <w:tc>
                <w:tcPr/>
                <w:p>
                  <w:pPr>
                    <w:pStyle w:val="Compact"/>
                    <w:jc w:val="left"/>
                  </w:pPr>
                  <w:r>
                    <w:t xml:space="preserve">Enhanced clinical batteries (5 sites × ~133 patients × R1,500)</w:t>
                  </w:r>
                </w:p>
              </w:tc>
              <w:tc>
                <w:tcPr/>
                <w:p>
                  <w:pPr>
                    <w:pStyle w:val="Compact"/>
                    <w:jc w:val="left"/>
                  </w:pPr>
                  <w:r>
                    <w:t xml:space="preserve">BChE + LFT + U&amp;E + repeat</w:t>
                  </w:r>
                </w:p>
              </w:tc>
              <w:tc>
                <w:tcPr/>
                <w:p>
                  <w:pPr>
                    <w:pStyle w:val="Compact"/>
                    <w:jc w:val="right"/>
                  </w:pPr>
                  <w:r>
                    <w:t xml:space="preserve">997,500</w:t>
                  </w:r>
                </w:p>
              </w:tc>
              <w:tc>
                <w:tcPr/>
                <w:p>
                  <w:pPr>
                    <w:pStyle w:val="Compact"/>
                    <w:jc w:val="left"/>
                  </w:pPr>
                  <w:r>
                    <w:rPr>
                      <w:rStyle w:val="VerbatimChar"/>
                    </w:rPr>
                    <w:t xml:space="preserve">c_clinical_battery_per_patient</w:t>
                  </w:r>
                  <w:r>
                    <w:t xml:space="preserve"> </w:t>
                  </w:r>
                  <w:r>
                    <w:t xml:space="preserve">× 5-site volume</w:t>
                  </w:r>
                </w:p>
              </w:tc>
            </w:tr>
            <w:tr>
              <w:tc>
                <w:tcPr/>
                <w:p>
                  <w:pPr>
                    <w:pStyle w:val="Compact"/>
                    <w:jc w:val="center"/>
                  </w:pPr>
                  <w:r>
                    <w:t xml:space="preserve">4</w:t>
                  </w:r>
                </w:p>
              </w:tc>
              <w:tc>
                <w:tcPr/>
                <w:p>
                  <w:pPr>
                    <w:pStyle w:val="Compact"/>
                    <w:jc w:val="left"/>
                  </w:pPr>
                  <w:r>
                    <w:t xml:space="preserve">Multi-site coordination (NHLS + NICD; 0.2 FTE × R750k data engineer)</w:t>
                  </w:r>
                </w:p>
              </w:tc>
              <w:tc>
                <w:tcPr/>
                <w:p>
                  <w:pPr>
                    <w:pStyle w:val="Compact"/>
                    <w:jc w:val="left"/>
                  </w:pPr>
                  <w:r>
                    <w:t xml:space="preserve">Network coordination</w:t>
                  </w:r>
                </w:p>
              </w:tc>
              <w:tc>
                <w:tcPr/>
                <w:p>
                  <w:pPr>
                    <w:pStyle w:val="Compact"/>
                    <w:jc w:val="right"/>
                  </w:pPr>
                  <w:r>
                    <w:t xml:space="preserve">150,000</w:t>
                  </w:r>
                </w:p>
              </w:tc>
              <w:tc>
                <w:tcPr/>
                <w:p>
                  <w:pPr>
                    <w:pStyle w:val="Compact"/>
                    <w:jc w:val="left"/>
                  </w:pPr>
                  <w:r>
                    <w:t xml:space="preserve">SITA / state IT contracting 2024 (Tab 1 Cross-cutting)</w:t>
                  </w:r>
                </w:p>
              </w:tc>
            </w:tr>
            <w:tr>
              <w:tc>
                <w:tcPr/>
                <w:p>
                  <w:pPr>
                    <w:pStyle w:val="Compact"/>
                    <w:jc w:val="center"/>
                  </w:pPr>
                  <w:r>
                    <w:t xml:space="preserve">5</w:t>
                  </w:r>
                </w:p>
              </w:tc>
              <w:tc>
                <w:tcPr/>
                <w:p>
                  <w:pPr>
                    <w:pStyle w:val="Compact"/>
                    <w:jc w:val="left"/>
                  </w:pPr>
                  <w:r>
                    <w:t xml:space="preserve">Data management + reporting (multi-site REDCap + analysis)</w:t>
                  </w:r>
                </w:p>
              </w:tc>
              <w:tc>
                <w:tcPr/>
                <w:p>
                  <w:pPr>
                    <w:pStyle w:val="Compact"/>
                    <w:jc w:val="left"/>
                  </w:pPr>
                  <w:r>
                    <w:t xml:space="preserve">5-site QA + annual report</w:t>
                  </w:r>
                </w:p>
              </w:tc>
              <w:tc>
                <w:tcPr/>
                <w:p>
                  <w:pPr>
                    <w:pStyle w:val="Compact"/>
                    <w:jc w:val="right"/>
                  </w:pPr>
                  <w:r>
                    <w:t xml:space="preserve">202,500</w:t>
                  </w:r>
                </w:p>
              </w:tc>
              <w:tc>
                <w:tcPr/>
                <w:p>
                  <w:pPr>
                    <w:pStyle w:val="Compact"/>
                    <w:jc w:val="left"/>
                  </w:pPr>
                  <w:r>
                    <w:t xml:space="preserve">Concept Note DRAFT 3</w:t>
                  </w:r>
                </w:p>
              </w:tc>
            </w:tr>
            <w:tr>
              <w:tc>
                <w:tcPr/>
                <w:p>
                  <w:pPr>
                    <w:pStyle w:val="Compact"/>
                    <w:jc w:val="center"/>
                  </w:pPr>
                  <w:r>
                    <w:t xml:space="preserve">6</w:t>
                  </w:r>
                </w:p>
              </w:tc>
              <w:tc>
                <w:tcPr/>
                <w:p>
                  <w:pPr>
                    <w:pStyle w:val="Compact"/>
                    <w:jc w:val="left"/>
                  </w:pPr>
                  <w:r>
                    <w:t xml:space="preserve">Site consumables, transport, cold chain (5 sites × R30k)</w:t>
                  </w:r>
                </w:p>
              </w:tc>
              <w:tc>
                <w:tcPr/>
                <w:p>
                  <w:pPr>
                    <w:pStyle w:val="Compact"/>
                    <w:jc w:val="left"/>
                  </w:pPr>
                  <w:r>
                    <w:t xml:space="preserve">Per-site recurring overhead</w:t>
                  </w:r>
                </w:p>
              </w:tc>
              <w:tc>
                <w:tcPr/>
                <w:p>
                  <w:pPr>
                    <w:pStyle w:val="Compact"/>
                    <w:jc w:val="right"/>
                  </w:pPr>
                  <w:r>
                    <w:t xml:space="preserve">150,000</w:t>
                  </w:r>
                </w:p>
              </w:tc>
              <w:tc>
                <w:tcPr/>
                <w:p>
                  <w:pPr>
                    <w:pStyle w:val="Compact"/>
                    <w:jc w:val="left"/>
                  </w:pPr>
                  <w:r>
                    <w:t xml:space="preserve">NHLS logistics tariff 2024</w:t>
                  </w:r>
                </w:p>
              </w:tc>
            </w:tr>
            <w:tr>
              <w:tc>
                <w:tcPr/>
                <w:p>
                  <w:pPr>
                    <w:pStyle w:val="Compact"/>
                  </w:pPr>
                </w:p>
              </w:tc>
              <w:tc>
                <w:tcPr/>
                <w:p>
                  <w:pPr>
                    <w:pStyle w:val="Compact"/>
                    <w:jc w:val="left"/>
                  </w:pPr>
                  <w:r>
                    <w:rPr>
                      <w:b/>
                      <w:bCs/>
                    </w:rPr>
                    <w:t xml:space="preserve">Total (5-site)</w:t>
                  </w:r>
                </w:p>
              </w:tc>
              <w:tc>
                <w:tcPr/>
                <w:p>
                  <w:pPr>
                    <w:pStyle w:val="Compact"/>
                  </w:pPr>
                </w:p>
              </w:tc>
              <w:tc>
                <w:tcPr/>
                <w:p>
                  <w:pPr>
                    <w:pStyle w:val="Compact"/>
                    <w:jc w:val="right"/>
                  </w:pPr>
                  <w:r>
                    <w:rPr>
                      <w:b/>
                      <w:bCs/>
                    </w:rPr>
                    <w:t xml:space="preserve">3,625,000</w:t>
                  </w:r>
                </w:p>
              </w:tc>
              <w:tc>
                <w:tcPr/>
                <w:p>
                  <w:pPr>
                    <w:pStyle w:val="Compact"/>
                    <w:jc w:val="left"/>
                  </w:pPr>
                  <w:r>
                    <w:t xml:space="preserve">matches</w:t>
                  </w:r>
                  <w:r>
                    <w:t xml:space="preserve"> </w:t>
                  </w:r>
                  <w:r>
                    <w:rPr>
                      <w:rStyle w:val="VerbatimChar"/>
                    </w:rPr>
                    <w:t xml:space="preserve">c_option6_full_5site_annual</w:t>
                  </w:r>
                </w:p>
              </w:tc>
            </w:tr>
          </w:tbl>
          <w:p>
            <w:pPr>
              <w:pStyle w:val="BodyText"/>
            </w:pPr>
            <w:r>
              <w:rPr>
                <w:b/>
                <w:bCs/>
              </w:rPr>
              <w:t xml:space="preserve">Why Option 5 sits outside the surveillance operating budget.</w:t>
            </w:r>
            <w:r>
              <w:t xml:space="preserve"> </w:t>
            </w:r>
            <w:r>
              <w:t xml:space="preserve">Option 5 is a</w:t>
            </w:r>
            <w:r>
              <w:t xml:space="preserve"> </w:t>
            </w:r>
            <w:r>
              <w:rPr>
                <w:b/>
                <w:bCs/>
              </w:rPr>
              <w:t xml:space="preserve">research investment</w:t>
            </w:r>
            <w:r>
              <w:t xml:space="preserve"> </w:t>
            </w:r>
            <w:r>
              <w:t xml:space="preserve">— it generates the agent-attribution evidence base for targeted regulatory action and does not raise P_detect. Its value is quantified in the</w:t>
            </w:r>
            <w:r>
              <w:t xml:space="preserve"> </w:t>
            </w:r>
            <w:hyperlink r:id="rId10">
              <w:r>
                <w:rPr>
                  <w:rStyle w:val="Hyperlink"/>
                </w:rPr>
                <w:t xml:space="preserve">Terbufos brief</w:t>
              </w:r>
            </w:hyperlink>
            <w:r>
              <w:t xml:space="preserve">, where regulatory restriction converts agent-attribution evidence into deaths averted.</w:t>
            </w:r>
          </w:p>
          <w:p>
            <w:pPr>
              <w:pStyle w:val="BodyText"/>
            </w:pPr>
            <w:pPr>
              <w:spacing w:after="16"/>
            </w:pPr>
            <w:r>
              <w:rPr>
                <w:b/>
                <w:bCs/>
              </w:rPr>
              <w:t xml:space="preserve">Why specimens run below the per-site capacity of 646.</w:t>
            </w:r>
            <w:r>
              <w:t xml:space="preserve"> </w:t>
            </w:r>
            <w:r>
              <w:rPr>
                <w:rStyle w:val="VerbatimChar"/>
              </w:rPr>
              <w:t xml:space="preserve">n_specimens_per_site_per_year</w:t>
            </w:r>
            <w:r>
              <w:t xml:space="preserve"> </w:t>
            </w:r>
            <w:r>
              <w:t xml:space="preserve">(= 646) is the</w:t>
            </w:r>
            <w:r>
              <w:t xml:space="preserve"> </w:t>
            </w:r>
            <w:r>
              <w:rPr>
                <w:i/>
                <w:iCs/>
              </w:rPr>
              <w:t xml:space="preserve">anatomically derived maximum</w:t>
            </w:r>
            <w:r>
              <w:t xml:space="preserve"> </w:t>
            </w:r>
            <w:r>
              <w:t xml:space="preserve">(2 specimens per patient × 323 patients — the sample-size calculation for the agent-attribution study at p = 0.3, d = 0.05). Actual enrolment ramps up over the pilot year (~150 screens) to a steady state of ~100–133 screens per site, constrained by the research budget rather than specimen throughput.</w:t>
            </w:r>
          </w:p>
          <w:p/>
        </w:tc>
      </w:tr>
    </w:tbl>
    <w:bookmarkEnd w:id="62"/>
    <w:bookmarkStart w:id="68" w:name="summary-comparison"/>
    <w:p>
      <w:pPr>
        <w:pStyle w:val="Heading3"/>
      </w:pPr>
      <w:r>
        <w:t xml:space="preserve">Summary comparison</w:t>
      </w:r>
    </w:p>
    <w:p>
      <w:pPr>
        <w:pStyle w:val="TableCaption"/>
      </w:pPr>
      <w:r>
        <w:rPr>
          <w:b/>
          <w:bCs/>
        </w:rPr>
        <w:t xml:space="preserve">Intermediate-outcome costing analysis — surveillance options, base-case.</w:t>
      </w:r>
      <w:r>
        <w:t xml:space="preserve"> </w:t>
      </w:r>
      <w:r>
        <w:t xml:space="preserve">Costs are 2024–25 ZAR; P_detect is the per-case detection probability anchored to the StatsSA MACOD 2023 mid-burden of 8,112 true cases/year. †</w:t>
      </w:r>
      <w:r>
        <w:rPr>
          <w:b/>
          <w:bCs/>
        </w:rPr>
        <w:t xml:space="preserve">R / pp</w:t>
      </w:r>
      <w:r>
        <w:t xml:space="preserve"> </w:t>
      </w:r>
      <w:r>
        <w:t xml:space="preserve">= annual operating cost ÷ percentage-point gain in P_detect over status quo. Options 1 and 2 expand coverage within the formal health system. Option 5 is a parallel agent-attribution investment, not a coverage uplift. Option 4 is a data-quality / investigation-form upgrade that converts detected cases into source-removal hand-offs to the</w:t>
      </w:r>
      <w:r>
        <w:t xml:space="preserve"> </w:t>
      </w:r>
      <w:hyperlink r:id="rId9">
        <w:r>
          <w:rPr>
            <w:rStyle w:val="Hyperlink"/>
          </w:rPr>
          <w:t xml:space="preserve">Coordination brief</w:t>
        </w:r>
      </w:hyperlink>
      <w:r>
        <w:t xml:space="preserve">; it does not raise P_detect by design. Option 3 is a Phase 2 community layer, commissioned conditional on (i) MVP pilot data confirming a structural rural/informal gap (≥40% of severe cases in low-facility-access districts after 6 months of MVP operation)</w:t>
      </w:r>
      <w:r>
        <w:t xml:space="preserve"> </w:t>
      </w:r>
      <w:r>
        <w:rPr>
          <w:b/>
          <w:bCs/>
        </w:rPr>
        <w:t xml:space="preserve">and</w:t>
      </w:r>
      <w:r>
        <w:t xml:space="preserve"> </w:t>
      </w:r>
      <w:r>
        <w:t xml:space="preserve">(ii) PIH/NMC opening a non-clinician intake channel.</w:t>
      </w:r>
    </w:p>
    <w:tbl>
      <w:tblPr>
        <w:tblStyle w:val="Table"/>
        <w:tblW w:type="pct" w:w="5000"/>
        <w:tblLayout w:type="fixed"/>
        <w:tblLook w:firstRow="1" w:lastRow="0" w:firstColumn="0" w:lastColumn="0" w:noHBand="0" w:noVBand="0" w:val="0020"/>
        <w:tblCaption w:val="Intermediate-outcome costing analysis — surveillance options, base-case. Costs are 2024–25 ZAR; P_detect is the per-case detection probability anchored to the StatsSA MACOD 2023 mid-burden of 8,112 true cases/year. †R / pp = annual operating cost ÷ percentage-point gain in P_detect over status quo. Options 1 and 2 expand coverage within the formal health system. Option 5 is a parallel agent-attribution investment, not a coverage uplift. Option 4 is a data-quality / investigation-form upgrade that converts detected cases into source-removal hand-offs to the Coordination brief; it does not raise P_detect by design. Option 3 is a Phase 2 community layer, commissioned conditional on (i) MVP pilot data confirming a structural rural/informal gap (≥40% of severe cases in low-facility-access districts after 6 months of MVP operation) and (ii) PIH/NMC opening a non-clinician intake channel."/>
      </w:tblPr>
      <w:tblGrid>
        <w:gridCol w:w="480"/>
        <w:gridCol w:w="1020"/>
        <w:gridCol w:w="1560"/>
        <w:gridCol w:w="840"/>
        <w:gridCol w:w="1260"/>
        <w:gridCol w:w="1080"/>
        <w:gridCol w:w="660"/>
        <w:gridCol w:w="360"/>
        <w:gridCol w:w="660"/>
      </w:tblGrid>
      <w:tr>
        <w:trPr>
          <w:tblHeader w:val="on"/>
        </w:trPr>
        <w:tc>
          <w:tcPr/>
          <w:p>
            <w:pPr>
              <w:pStyle w:val="Compact"/>
              <w:jc w:val="left"/>
            </w:pPr>
            <w:r>
              <w:t xml:space="preserve">Option</w:t>
            </w:r>
          </w:p>
        </w:tc>
        <w:tc>
          <w:tcPr/>
          <w:p>
            <w:pPr>
              <w:pStyle w:val="Compact"/>
              <w:jc w:val="right"/>
            </w:pPr>
            <w:r>
              <w:t xml:space="preserve">Setup (one-off)</w:t>
            </w:r>
          </w:p>
        </w:tc>
        <w:tc>
          <w:tcPr/>
          <w:p>
            <w:pPr>
              <w:pStyle w:val="Compact"/>
              <w:jc w:val="right"/>
            </w:pPr>
            <w:r>
              <w:t xml:space="preserve">Annual operating (yr 2+)</w:t>
            </w:r>
          </w:p>
        </w:tc>
        <w:tc>
          <w:tcPr/>
          <w:p>
            <w:pPr>
              <w:pStyle w:val="Compact"/>
              <w:jc w:val="right"/>
            </w:pPr>
            <w:r>
              <w:t xml:space="preserve">Year 1 total</w:t>
            </w:r>
          </w:p>
        </w:tc>
        <w:tc>
          <w:tcPr/>
          <w:p>
            <w:pPr>
              <w:pStyle w:val="Compact"/>
              <w:jc w:val="center"/>
            </w:pPr>
            <w:r>
              <w:t xml:space="preserve">P_detect (per-case)</w:t>
            </w:r>
          </w:p>
        </w:tc>
        <w:tc>
          <w:tcPr/>
          <w:p>
            <w:pPr>
              <w:pStyle w:val="Compact"/>
              <w:jc w:val="center"/>
            </w:pPr>
            <w:r>
              <w:t xml:space="preserve">Δ vs. status quo</w:t>
            </w:r>
          </w:p>
        </w:tc>
        <w:tc>
          <w:tcPr/>
          <w:p>
            <w:pPr>
              <w:pStyle w:val="Compact"/>
              <w:jc w:val="right"/>
            </w:pPr>
            <w:r>
              <w:t xml:space="preserve">R / pp†</w:t>
            </w:r>
          </w:p>
        </w:tc>
        <w:tc>
          <w:tcPr/>
          <w:p>
            <w:pPr>
              <w:pStyle w:val="Compact"/>
              <w:jc w:val="left"/>
            </w:pPr>
            <w:r>
              <w:t xml:space="preserve">Time</w:t>
            </w:r>
          </w:p>
        </w:tc>
        <w:tc>
          <w:tcPr/>
          <w:p>
            <w:pPr>
              <w:pStyle w:val="Compact"/>
              <w:jc w:val="left"/>
            </w:pPr>
            <w:r>
              <w:t xml:space="preserve">Parameter</w:t>
            </w:r>
          </w:p>
        </w:tc>
      </w:tr>
      <w:tr>
        <w:tc>
          <w:tcPr/>
          <w:p>
            <w:pPr>
              <w:pStyle w:val="Compact"/>
              <w:jc w:val="left"/>
            </w:pPr>
            <w:r>
              <w:t xml:space="preserve">Status quo</w:t>
            </w:r>
          </w:p>
        </w:tc>
        <w:tc>
          <w:tcPr/>
          <w:p>
            <w:pPr>
              <w:pStyle w:val="Compact"/>
              <w:jc w:val="right"/>
            </w:pPr>
            <w:r>
              <w:t xml:space="preserve">—</w:t>
            </w:r>
          </w:p>
        </w:tc>
        <w:tc>
          <w:tcPr/>
          <w:p>
            <w:pPr>
              <w:pStyle w:val="Compact"/>
              <w:jc w:val="right"/>
            </w:pPr>
            <w:r>
              <w:t xml:space="preserve">R0</w:t>
            </w:r>
          </w:p>
        </w:tc>
        <w:tc>
          <w:tcPr/>
          <w:p>
            <w:pPr>
              <w:pStyle w:val="Compact"/>
              <w:jc w:val="right"/>
            </w:pPr>
            <w:r>
              <w:t xml:space="preserve">R0</w:t>
            </w:r>
          </w:p>
        </w:tc>
        <w:tc>
          <w:tcPr/>
          <w:p>
            <w:pPr>
              <w:pStyle w:val="Compact"/>
              <w:jc w:val="center"/>
            </w:pPr>
            <m:oMath>
              <m:f>
                <m:fPr>
                  <m:type m:val="bar"/>
                </m:fPr>
                <m:num>
                  <m:r>
                    <m:t>1</m:t>
                  </m:r>
                  <m:r>
                    <m:rPr>
                      <m:sty m:val="p"/>
                    </m:rPr>
                    <m:t>,</m:t>
                  </m:r>
                  <m:r>
                    <m:t>013</m:t>
                  </m:r>
                </m:num>
                <m:den>
                  <m:r>
                    <m:t>8</m:t>
                  </m:r>
                  <m:r>
                    <m:rPr>
                      <m:sty m:val="p"/>
                    </m:rPr>
                    <m:t>,</m:t>
                  </m:r>
                  <m:r>
                    <m:t>112</m:t>
                  </m:r>
                </m:den>
              </m:f>
              <m:r>
                <m:rPr>
                  <m:sty m:val="p"/>
                </m:rPr>
                <m:t>=</m:t>
              </m:r>
              <m:r>
                <m:t>0.125</m:t>
              </m:r>
            </m:oMath>
          </w:p>
        </w:tc>
        <w:tc>
          <w:tcPr/>
          <w:p>
            <w:pPr>
              <w:pStyle w:val="Compact"/>
              <w:jc w:val="center"/>
            </w:pPr>
            <w:r>
              <w:t xml:space="preserve">—</w:t>
            </w:r>
          </w:p>
        </w:tc>
        <w:tc>
          <w:tcPr/>
          <w:p>
            <w:pPr>
              <w:pStyle w:val="Compact"/>
              <w:jc w:val="right"/>
            </w:pPr>
            <w:r>
              <w:t xml:space="preserve">—</w:t>
            </w:r>
          </w:p>
        </w:tc>
        <w:tc>
          <w:tcPr/>
          <w:p>
            <w:pPr>
              <w:pStyle w:val="Compact"/>
              <w:jc w:val="left"/>
            </w:pPr>
            <w:r>
              <w:t xml:space="preserve">—</w:t>
            </w:r>
          </w:p>
        </w:tc>
        <w:tc>
          <w:tcPr/>
          <w:p>
            <w:pPr>
              <w:pStyle w:val="Compact"/>
              <w:jc w:val="left"/>
            </w:pPr>
            <w:hyperlink r:id="rId32">
              <w:r>
                <w:rPr>
                  <w:rStyle w:val="VerbatimChar"/>
                </w:rPr>
                <w:t xml:space="preserve">d_status_quo</w:t>
              </w:r>
            </w:hyperlink>
          </w:p>
        </w:tc>
      </w:tr>
      <w:tr>
        <w:tc>
          <w:tcPr/>
          <w:p>
            <w:pPr>
              <w:pStyle w:val="Compact"/>
              <w:jc w:val="left"/>
            </w:pPr>
            <w:r>
              <w:t xml:space="preserve">Option 1 — BChE auto-notify</w:t>
            </w:r>
            <w:r>
              <w:t xml:space="preserve"> </w:t>
            </w:r>
            <w:r>
              <w:rPr>
                <w:i/>
                <w:iCs/>
              </w:rPr>
              <w:t xml:space="preserve">(first build; CSV:</w:t>
            </w:r>
            <w:r>
              <w:rPr>
                <w:i/>
                <w:iCs/>
              </w:rPr>
              <w:t xml:space="preserve"> </w:t>
            </w:r>
            <w:r>
              <w:rPr>
                <w:rStyle w:val="VerbatimChar"/>
                <w:i/>
                <w:iCs/>
              </w:rPr>
              <w:t xml:space="preserve">c_S2_*</w:t>
            </w:r>
            <w:r>
              <w:rPr>
                <w:i/>
                <w:iCs/>
              </w:rPr>
              <w:t xml:space="preserve">)</w:t>
            </w:r>
          </w:p>
        </w:tc>
        <w:tc>
          <w:tcPr/>
          <w:p>
            <w:pPr>
              <w:pStyle w:val="Compact"/>
              <w:jc w:val="right"/>
            </w:pPr>
            <w:r>
              <w:t xml:space="preserve">R200,000</w:t>
            </w:r>
          </w:p>
        </w:tc>
        <w:tc>
          <w:tcPr/>
          <w:p>
            <w:pPr>
              <w:pStyle w:val="Compact"/>
              <w:jc w:val="right"/>
            </w:pPr>
            <w:r>
              <w:t xml:space="preserve">R55,000</w:t>
            </w:r>
          </w:p>
        </w:tc>
        <w:tc>
          <w:tcPr/>
          <w:p>
            <w:pPr>
              <w:pStyle w:val="Compact"/>
              <w:jc w:val="right"/>
            </w:pPr>
            <w:r>
              <w:t xml:space="preserve">R255,000</w:t>
            </w:r>
          </w:p>
        </w:tc>
        <w:tc>
          <w:tcPr/>
          <w:p>
            <w:pPr>
              <w:pStyle w:val="Compact"/>
              <w:jc w:val="center"/>
            </w:pPr>
            <m:oMath>
              <m:f>
                <m:fPr>
                  <m:type m:val="bar"/>
                </m:fPr>
                <m:num>
                  <m:r>
                    <m:t>1</m:t>
                  </m:r>
                  <m:r>
                    <m:rPr>
                      <m:sty m:val="p"/>
                    </m:rPr>
                    <m:t>,</m:t>
                  </m:r>
                  <m:r>
                    <m:t>013</m:t>
                  </m:r>
                  <m:r>
                    <m:rPr>
                      <m:sty m:val="p"/>
                    </m:rPr>
                    <m:t>+</m:t>
                  </m:r>
                  <m:r>
                    <m:t>1</m:t>
                  </m:r>
                  <m:r>
                    <m:rPr>
                      <m:sty m:val="p"/>
                    </m:rPr>
                    <m:t>,</m:t>
                  </m:r>
                  <m:r>
                    <m:t>779</m:t>
                  </m:r>
                </m:num>
                <m:den>
                  <m:r>
                    <m:t>8</m:t>
                  </m:r>
                  <m:r>
                    <m:rPr>
                      <m:sty m:val="p"/>
                    </m:rPr>
                    <m:t>,</m:t>
                  </m:r>
                  <m:r>
                    <m:t>112</m:t>
                  </m:r>
                </m:den>
              </m:f>
              <m:r>
                <m:rPr>
                  <m:sty m:val="p"/>
                </m:rPr>
                <m:t>=</m:t>
              </m:r>
              <m:r>
                <m:t>0.344</m:t>
              </m:r>
            </m:oMath>
          </w:p>
        </w:tc>
        <w:tc>
          <w:tcPr/>
          <w:p>
            <w:pPr>
              <w:pStyle w:val="Compact"/>
              <w:jc w:val="center"/>
            </w:pPr>
            <w:r>
              <w:t xml:space="preserve">+21.9 pp</w:t>
            </w:r>
          </w:p>
        </w:tc>
        <w:tc>
          <w:tcPr/>
          <w:p>
            <w:pPr>
              <w:pStyle w:val="Compact"/>
              <w:jc w:val="right"/>
            </w:pPr>
            <w:r>
              <w:t xml:space="preserve">R2,511 / pp</w:t>
            </w:r>
          </w:p>
        </w:tc>
        <w:tc>
          <w:tcPr/>
          <w:p>
            <w:pPr>
              <w:pStyle w:val="Compact"/>
              <w:jc w:val="left"/>
            </w:pPr>
            <w:r>
              <w:t xml:space="preserve">2–4 wks</w:t>
            </w:r>
          </w:p>
        </w:tc>
        <w:tc>
          <w:tcPr/>
          <w:p>
            <w:pPr>
              <w:pStyle w:val="Compact"/>
              <w:jc w:val="left"/>
            </w:pPr>
            <w:hyperlink r:id="rId32">
              <w:r>
                <w:rPr>
                  <w:rStyle w:val="VerbatimChar"/>
                </w:rPr>
                <w:t xml:space="preserve">d_S2_BChE_autonotify</w:t>
              </w:r>
            </w:hyperlink>
          </w:p>
        </w:tc>
      </w:tr>
      <w:tr>
        <w:tc>
          <w:tcPr/>
          <w:p>
            <w:pPr>
              <w:pStyle w:val="Compact"/>
              <w:jc w:val="left"/>
            </w:pPr>
            <w:r>
              <w:t xml:space="preserve">Option 2 — PIH dashboard + MVD (+AfriTox agent name)</w:t>
            </w:r>
            <w:r>
              <w:t xml:space="preserve"> </w:t>
            </w:r>
            <w:r>
              <w:rPr>
                <w:i/>
                <w:iCs/>
              </w:rPr>
              <w:t xml:space="preserve">(second build; CSV:</w:t>
            </w:r>
            <w:r>
              <w:rPr>
                <w:i/>
                <w:iCs/>
              </w:rPr>
              <w:t xml:space="preserve"> </w:t>
            </w:r>
            <w:r>
              <w:rPr>
                <w:rStyle w:val="VerbatimChar"/>
                <w:i/>
                <w:iCs/>
              </w:rPr>
              <w:t xml:space="preserve">c_S1_*</w:t>
            </w:r>
            <w:r>
              <w:rPr>
                <w:i/>
                <w:iCs/>
              </w:rPr>
              <w:t xml:space="preserve">)</w:t>
            </w:r>
          </w:p>
        </w:tc>
        <w:tc>
          <w:tcPr/>
          <w:p>
            <w:pPr>
              <w:pStyle w:val="Compact"/>
              <w:jc w:val="right"/>
            </w:pPr>
            <w:r>
              <w:t xml:space="preserve">R40,000</w:t>
            </w:r>
          </w:p>
        </w:tc>
        <w:tc>
          <w:tcPr/>
          <w:p>
            <w:pPr>
              <w:pStyle w:val="Compact"/>
              <w:jc w:val="right"/>
            </w:pPr>
            <w:r>
              <w:t xml:space="preserve">R82,000</w:t>
            </w:r>
          </w:p>
        </w:tc>
        <w:tc>
          <w:tcPr/>
          <w:p>
            <w:pPr>
              <w:pStyle w:val="Compact"/>
              <w:jc w:val="right"/>
            </w:pPr>
            <w:r>
              <w:t xml:space="preserve">R122,000</w:t>
            </w:r>
          </w:p>
        </w:tc>
        <w:tc>
          <w:tcPr/>
          <w:p>
            <w:pPr>
              <w:pStyle w:val="Compact"/>
              <w:jc w:val="center"/>
            </w:pPr>
            <m:oMath>
              <m:f>
                <m:fPr>
                  <m:type m:val="bar"/>
                </m:fPr>
                <m:num>
                  <m:r>
                    <m:t>1</m:t>
                  </m:r>
                  <m:r>
                    <m:rPr>
                      <m:sty m:val="p"/>
                    </m:rPr>
                    <m:t>,</m:t>
                  </m:r>
                  <m:r>
                    <m:t>013</m:t>
                  </m:r>
                  <m:r>
                    <m:rPr>
                      <m:sty m:val="p"/>
                    </m:rPr>
                    <m:t>+</m:t>
                  </m:r>
                  <m:r>
                    <m:t>1</m:t>
                  </m:r>
                  <m:r>
                    <m:rPr>
                      <m:sty m:val="p"/>
                    </m:rPr>
                    <m:t>,</m:t>
                  </m:r>
                  <m:r>
                    <m:t>158</m:t>
                  </m:r>
                </m:num>
                <m:den>
                  <m:r>
                    <m:t>8</m:t>
                  </m:r>
                  <m:r>
                    <m:rPr>
                      <m:sty m:val="p"/>
                    </m:rPr>
                    <m:t>,</m:t>
                  </m:r>
                  <m:r>
                    <m:t>112</m:t>
                  </m:r>
                </m:den>
              </m:f>
              <m:r>
                <m:rPr>
                  <m:sty m:val="p"/>
                </m:rPr>
                <m:t>=</m:t>
              </m:r>
              <m:r>
                <m:t>0.268</m:t>
              </m:r>
            </m:oMath>
          </w:p>
        </w:tc>
        <w:tc>
          <w:tcPr/>
          <w:p>
            <w:pPr>
              <w:pStyle w:val="Compact"/>
              <w:jc w:val="center"/>
            </w:pPr>
            <w:r>
              <w:t xml:space="preserve">+14.3 pp</w:t>
            </w:r>
          </w:p>
        </w:tc>
        <w:tc>
          <w:tcPr/>
          <w:p>
            <w:pPr>
              <w:pStyle w:val="Compact"/>
              <w:jc w:val="right"/>
            </w:pPr>
            <w:r>
              <w:t xml:space="preserve">R5,734 / pp</w:t>
            </w:r>
          </w:p>
        </w:tc>
        <w:tc>
          <w:tcPr/>
          <w:p>
            <w:pPr>
              <w:pStyle w:val="Compact"/>
              <w:jc w:val="left"/>
            </w:pPr>
            <w:r>
              <w:t xml:space="preserve">1–2 wks dash / 3–9 mo MVD</w:t>
            </w:r>
          </w:p>
        </w:tc>
        <w:tc>
          <w:tcPr/>
          <w:p>
            <w:pPr>
              <w:pStyle w:val="Compact"/>
              <w:jc w:val="left"/>
            </w:pPr>
            <w:hyperlink r:id="rId32">
              <w:r>
                <w:rPr>
                  <w:rStyle w:val="VerbatimChar"/>
                </w:rPr>
                <w:t xml:space="preserve">d_S1_PIH_MVD</w:t>
              </w:r>
            </w:hyperlink>
          </w:p>
        </w:tc>
      </w:tr>
      <w:tr>
        <w:tc>
          <w:tcPr/>
          <w:p>
            <w:pPr>
              <w:pStyle w:val="Compact"/>
              <w:jc w:val="left"/>
            </w:pPr>
            <w:r>
              <w:rPr>
                <w:b/>
                <w:bCs/>
              </w:rPr>
              <w:t xml:space="preserve">Surveillance MVP — Option 1 + Option 2</w:t>
            </w:r>
          </w:p>
        </w:tc>
        <w:tc>
          <w:tcPr/>
          <w:p>
            <w:pPr>
              <w:pStyle w:val="Compact"/>
              <w:jc w:val="right"/>
            </w:pPr>
            <w:r>
              <w:rPr>
                <w:b/>
                <w:bCs/>
              </w:rPr>
              <w:t xml:space="preserve">R80,000</w:t>
            </w:r>
          </w:p>
        </w:tc>
        <w:tc>
          <w:tcPr/>
          <w:p>
            <w:pPr>
              <w:pStyle w:val="Compact"/>
              <w:jc w:val="right"/>
            </w:pPr>
            <w:r>
              <w:rPr>
                <w:b/>
                <w:bCs/>
              </w:rPr>
              <w:t xml:space="preserve">R137,000</w:t>
            </w:r>
          </w:p>
        </w:tc>
        <w:tc>
          <w:tcPr/>
          <w:p>
            <w:pPr>
              <w:pStyle w:val="Compact"/>
              <w:jc w:val="right"/>
            </w:pPr>
            <w:r>
              <w:rPr>
                <w:b/>
                <w:bCs/>
              </w:rPr>
              <w:t xml:space="preserve">R217,000</w:t>
            </w:r>
          </w:p>
        </w:tc>
        <w:tc>
          <w:tcPr/>
          <w:p>
            <w:pPr>
              <w:pStyle w:val="Compact"/>
              <w:jc w:val="center"/>
            </w:pPr>
            <m:oMath>
              <m:f>
                <m:fPr>
                  <m:type m:val="bar"/>
                </m:fPr>
                <m:num>
                  <m:r>
                    <m:t>1</m:t>
                  </m:r>
                  <m:r>
                    <m:rPr>
                      <m:sty m:val="p"/>
                    </m:rPr>
                    <m:t>,</m:t>
                  </m:r>
                  <m:r>
                    <m:t>013</m:t>
                  </m:r>
                  <m:r>
                    <m:rPr>
                      <m:sty m:val="p"/>
                    </m:rPr>
                    <m:t>+</m:t>
                  </m:r>
                  <m:r>
                    <m:t>1</m:t>
                  </m:r>
                  <m:r>
                    <m:rPr>
                      <m:sty m:val="p"/>
                    </m:rPr>
                    <m:t>,</m:t>
                  </m:r>
                  <m:r>
                    <m:t>779</m:t>
                  </m:r>
                  <m:r>
                    <m:rPr>
                      <m:sty m:val="p"/>
                    </m:rPr>
                    <m:t>+</m:t>
                  </m:r>
                  <m:r>
                    <m:t>1</m:t>
                  </m:r>
                  <m:r>
                    <m:rPr>
                      <m:sty m:val="p"/>
                    </m:rPr>
                    <m:t>,</m:t>
                  </m:r>
                  <m:r>
                    <m:t>158</m:t>
                  </m:r>
                </m:num>
                <m:den>
                  <m:r>
                    <m:t>8</m:t>
                  </m:r>
                  <m:r>
                    <m:rPr>
                      <m:sty m:val="p"/>
                    </m:rPr>
                    <m:t>,</m:t>
                  </m:r>
                  <m:r>
                    <m:t>112</m:t>
                  </m:r>
                </m:den>
              </m:f>
              <m:r>
                <m:rPr>
                  <m:sty m:val="p"/>
                </m:rPr>
                <m:t>=</m:t>
              </m:r>
              <m:r>
                <m:t>0.487</m:t>
              </m:r>
            </m:oMath>
          </w:p>
        </w:tc>
        <w:tc>
          <w:tcPr/>
          <w:p>
            <w:pPr>
              <w:pStyle w:val="Compact"/>
              <w:jc w:val="center"/>
            </w:pPr>
            <w:r>
              <w:rPr>
                <w:b/>
                <w:bCs/>
              </w:rPr>
              <w:t xml:space="preserve">+36.2 pp</w:t>
            </w:r>
          </w:p>
        </w:tc>
        <w:tc>
          <w:tcPr/>
          <w:p>
            <w:pPr>
              <w:pStyle w:val="Compact"/>
              <w:jc w:val="right"/>
            </w:pPr>
            <w:r>
              <w:rPr>
                <w:b/>
                <w:bCs/>
              </w:rPr>
              <w:t xml:space="preserve">R3,785 / pp</w:t>
            </w:r>
          </w:p>
        </w:tc>
        <w:tc>
          <w:tcPr/>
          <w:p>
            <w:pPr>
              <w:pStyle w:val="Compact"/>
              <w:jc w:val="left"/>
            </w:pPr>
            <w:r>
              <w:rPr>
                <w:b/>
                <w:bCs/>
              </w:rPr>
              <w:t xml:space="preserve">12 weeks</w:t>
            </w:r>
          </w:p>
        </w:tc>
        <w:tc>
          <w:tcPr/>
          <w:p>
            <w:pPr>
              <w:pStyle w:val="Compact"/>
              <w:jc w:val="left"/>
            </w:pPr>
            <w:hyperlink r:id="rId32">
              <w:r>
                <w:rPr>
                  <w:rStyle w:val="VerbatimChar"/>
                </w:rPr>
                <w:t xml:space="preserve">d_surveillance_mvp</w:t>
              </w:r>
            </w:hyperlink>
          </w:p>
        </w:tc>
      </w:tr>
      <w:tr>
        <w:tc>
          <w:tcPr/>
          <w:p>
            <w:pPr>
              <w:pStyle w:val="Compact"/>
              <w:jc w:val="left"/>
            </w:pPr>
            <w:r>
              <w:t xml:space="preserve">Option 3 — Community layer (Phase 2)</w:t>
            </w:r>
            <w:r>
              <w:t xml:space="preserve"> </w:t>
            </w:r>
            <w:r>
              <w:rPr>
                <w:i/>
                <w:iCs/>
              </w:rPr>
              <w:t xml:space="preserve">(pilot: FS + Gauteng; national conditional on pilot;</w:t>
            </w:r>
            <w:r>
              <w:rPr>
                <w:i/>
                <w:iCs/>
              </w:rPr>
              <w:t xml:space="preserve"> </w:t>
            </w:r>
            <w:r>
              <w:rPr>
                <w:b/>
                <w:bCs/>
                <w:i/>
                <w:iCs/>
              </w:rPr>
              <w:t xml:space="preserve">requires PIH/NMC intake from non-clinicians</w:t>
            </w:r>
            <w:r>
              <w:rPr>
                <w:i/>
                <w:iCs/>
              </w:rPr>
              <w:t xml:space="preserve">; CSV:</w:t>
            </w:r>
            <w:r>
              <w:rPr>
                <w:i/>
                <w:iCs/>
              </w:rPr>
              <w:t xml:space="preserve"> </w:t>
            </w:r>
            <w:r>
              <w:rPr>
                <w:rStyle w:val="VerbatimChar"/>
                <w:i/>
                <w:iCs/>
              </w:rPr>
              <w:t xml:space="preserve">c_S1b_*</w:t>
            </w:r>
            <w:r>
              <w:rPr>
                <w:i/>
                <w:iCs/>
              </w:rPr>
              <w:t xml:space="preserve">)</w:t>
            </w:r>
          </w:p>
        </w:tc>
        <w:tc>
          <w:tcPr/>
          <w:p>
            <w:pPr>
              <w:pStyle w:val="Compact"/>
              <w:jc w:val="right"/>
            </w:pPr>
            <w:r>
              <w:t xml:space="preserve">R1M–R3.5M</w:t>
            </w:r>
          </w:p>
        </w:tc>
        <w:tc>
          <w:tcPr/>
          <w:p>
            <w:pPr>
              <w:pStyle w:val="Compact"/>
              <w:jc w:val="right"/>
            </w:pPr>
            <w:r>
              <w:t xml:space="preserve">Pilot R0.8M/yr; national R2.5M/yr</w:t>
            </w:r>
          </w:p>
        </w:tc>
        <w:tc>
          <w:tcPr/>
          <w:p>
            <w:pPr>
              <w:pStyle w:val="Compact"/>
              <w:jc w:val="right"/>
            </w:pPr>
            <w:r>
              <w:t xml:space="preserve">R1.8M–R6.0M</w:t>
            </w:r>
          </w:p>
        </w:tc>
        <w:tc>
          <w:tcPr/>
          <w:p>
            <w:pPr>
              <w:pStyle w:val="Compact"/>
              <w:jc w:val="center"/>
            </w:pPr>
            <w:r>
              <w:t xml:space="preserve">0.25–0.55 (working: 0.40)</w:t>
            </w:r>
          </w:p>
        </w:tc>
        <w:tc>
          <w:tcPr/>
          <w:p>
            <w:pPr>
              <w:pStyle w:val="Compact"/>
              <w:jc w:val="center"/>
            </w:pPr>
            <w:r>
              <w:t xml:space="preserve">+12 to +43 pp</w:t>
            </w:r>
          </w:p>
        </w:tc>
        <w:tc>
          <w:tcPr/>
          <w:p>
            <w:pPr>
              <w:pStyle w:val="Compact"/>
              <w:jc w:val="right"/>
            </w:pPr>
            <w:r>
              <w:t xml:space="preserve">R64,000–R58,824 / pp</w:t>
            </w:r>
          </w:p>
        </w:tc>
        <w:tc>
          <w:tcPr/>
          <w:p>
            <w:pPr>
              <w:pStyle w:val="Compact"/>
              <w:jc w:val="left"/>
            </w:pPr>
            <w:r>
              <w:t xml:space="preserve">12 mo pilot → national</w:t>
            </w:r>
          </w:p>
        </w:tc>
        <w:tc>
          <w:tcPr/>
          <w:p>
            <w:pPr>
              <w:pStyle w:val="Compact"/>
              <w:jc w:val="left"/>
            </w:pPr>
            <w:hyperlink r:id="rId63">
              <w:r>
                <w:rPr>
                  <w:rStyle w:val="VerbatimChar"/>
                </w:rPr>
                <w:t xml:space="preserve">d_S1b_event_community_mid</w:t>
              </w:r>
            </w:hyperlink>
          </w:p>
        </w:tc>
      </w:tr>
      <w:tr>
        <w:tc>
          <w:tcPr/>
          <w:p>
            <w:pPr>
              <w:pStyle w:val="Compact"/>
              <w:jc w:val="left"/>
            </w:pPr>
            <w:r>
              <w:t xml:space="preserve">Option 4 — NMC CIF + agricultural extension</w:t>
            </w:r>
            <w:r>
              <w:t xml:space="preserve"> </w:t>
            </w:r>
            <w:r>
              <w:rPr>
                <w:i/>
                <w:iCs/>
              </w:rPr>
              <w:t xml:space="preserve">(bridge to coordination)</w:t>
            </w:r>
          </w:p>
        </w:tc>
        <w:tc>
          <w:tcPr/>
          <w:p>
            <w:pPr>
              <w:pStyle w:val="Compact"/>
              <w:jc w:val="right"/>
            </w:pPr>
            <w:r>
              <w:t xml:space="preserve">R45,000</w:t>
            </w:r>
          </w:p>
        </w:tc>
        <w:tc>
          <w:tcPr/>
          <w:p>
            <w:pPr>
              <w:pStyle w:val="Compact"/>
              <w:jc w:val="right"/>
            </w:pPr>
            <w:r>
              <w:t xml:space="preserve">R35,000/yr</w:t>
            </w:r>
          </w:p>
        </w:tc>
        <w:tc>
          <w:tcPr/>
          <w:p>
            <w:pPr>
              <w:pStyle w:val="Compact"/>
              <w:jc w:val="right"/>
            </w:pPr>
            <w:r>
              <w:t xml:space="preserve">R80,000</w:t>
            </w:r>
          </w:p>
        </w:tc>
        <w:tc>
          <w:tcPr/>
          <w:p>
            <w:pPr>
              <w:pStyle w:val="Compact"/>
              <w:jc w:val="center"/>
            </w:pPr>
            <w:r>
              <w:t xml:space="preserve">n/a (not a coverage uplift)</w:t>
            </w:r>
          </w:p>
        </w:tc>
        <w:tc>
          <w:tcPr/>
          <w:p>
            <w:pPr>
              <w:pStyle w:val="Compact"/>
              <w:jc w:val="center"/>
            </w:pPr>
            <w:r>
              <w:t xml:space="preserve">enables source-removal hand-off</w:t>
            </w:r>
          </w:p>
        </w:tc>
        <w:tc>
          <w:tcPr/>
          <w:p>
            <w:pPr>
              <w:pStyle w:val="Compact"/>
              <w:jc w:val="right"/>
            </w:pPr>
            <w:r>
              <w:t xml:space="preserve">n/a</w:t>
            </w:r>
          </w:p>
        </w:tc>
        <w:tc>
          <w:tcPr/>
          <w:p>
            <w:pPr>
              <w:pStyle w:val="Compact"/>
              <w:jc w:val="left"/>
            </w:pPr>
            <w:r>
              <w:t xml:space="preserve">4–8 wks</w:t>
            </w:r>
          </w:p>
        </w:tc>
        <w:tc>
          <w:tcPr/>
          <w:p>
            <w:pPr>
              <w:pStyle w:val="Compact"/>
              <w:jc w:val="left"/>
            </w:pPr>
            <w:r>
              <w:t xml:space="preserve">NDoH 2023 CIF guideline</w:t>
            </w:r>
          </w:p>
        </w:tc>
      </w:tr>
      <w:tr>
        <w:tc>
          <w:tcPr/>
          <w:p>
            <w:pPr>
              <w:pStyle w:val="Compact"/>
              <w:jc w:val="left"/>
            </w:pPr>
            <w:r>
              <w:t xml:space="preserve">Option 5 — Sentinel toxicology</w:t>
            </w:r>
            <w:r>
              <w:t xml:space="preserve"> </w:t>
            </w:r>
            <w:r>
              <w:rPr>
                <w:i/>
                <w:iCs/>
              </w:rPr>
              <w:t xml:space="preserve">(agent attribution — distinct purpose, research-funded; CSV:</w:t>
            </w:r>
            <w:r>
              <w:rPr>
                <w:i/>
                <w:iCs/>
              </w:rPr>
              <w:t xml:space="preserve"> </w:t>
            </w:r>
            <w:r>
              <w:rPr>
                <w:rStyle w:val="VerbatimChar"/>
                <w:i/>
                <w:iCs/>
              </w:rPr>
              <w:t xml:space="preserve">c_option6_*</w:t>
            </w:r>
            <w:r>
              <w:rPr>
                <w:i/>
                <w:iCs/>
              </w:rPr>
              <w:t xml:space="preserve">)</w:t>
            </w:r>
          </w:p>
        </w:tc>
        <w:tc>
          <w:tcPr/>
          <w:p>
            <w:pPr>
              <w:pStyle w:val="Compact"/>
              <w:jc w:val="right"/>
            </w:pPr>
            <w:r>
              <w:t xml:space="preserve">— (incl. in yr 1)</w:t>
            </w:r>
          </w:p>
        </w:tc>
        <w:tc>
          <w:tcPr/>
          <w:p>
            <w:pPr>
              <w:pStyle w:val="Compact"/>
              <w:jc w:val="right"/>
            </w:pPr>
            <w:r>
              <w:t xml:space="preserve">R3.6M/yr (5-site)</w:t>
            </w:r>
          </w:p>
        </w:tc>
        <w:tc>
          <w:tcPr/>
          <w:p>
            <w:pPr>
              <w:pStyle w:val="Compact"/>
              <w:jc w:val="right"/>
            </w:pPr>
            <w:r>
              <w:t xml:space="preserve">R1.2M (1-site pilot)</w:t>
            </w:r>
          </w:p>
        </w:tc>
        <w:tc>
          <w:tcPr/>
          <w:p>
            <w:pPr>
              <w:pStyle w:val="Compact"/>
              <w:jc w:val="center"/>
            </w:pPr>
            <w:r>
              <w:t xml:space="preserve">n/a (not a coverage uplift)</w:t>
            </w:r>
          </w:p>
        </w:tc>
        <w:tc>
          <w:tcPr/>
          <w:p>
            <w:pPr>
              <w:pStyle w:val="Compact"/>
              <w:jc w:val="center"/>
            </w:pPr>
            <w:r>
              <w:t xml:space="preserve">feeds product-banning evidence base</w:t>
            </w:r>
          </w:p>
        </w:tc>
        <w:tc>
          <w:tcPr/>
          <w:p>
            <w:pPr>
              <w:pStyle w:val="Compact"/>
              <w:jc w:val="right"/>
            </w:pPr>
            <w:r>
              <w:t xml:space="preserve">n/a</w:t>
            </w:r>
          </w:p>
        </w:tc>
        <w:tc>
          <w:tcPr/>
          <w:p>
            <w:pPr>
              <w:pStyle w:val="Compact"/>
              <w:jc w:val="left"/>
            </w:pPr>
            <w:r>
              <w:t xml:space="preserve">6–12 mo pilot</w:t>
            </w:r>
          </w:p>
        </w:tc>
        <w:tc>
          <w:tcPr/>
          <w:p>
            <w:pPr>
              <w:pStyle w:val="Compact"/>
              <w:jc w:val="left"/>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Audit trail — mini-budget backing the R137,000/yr Surveillance MVP operating cost</w:t>
            </w:r>
          </w:p>
        </w:tc>
      </w:tr>
      <w:tr>
        <w:trPr>
          <w:cantSplit/>
        </w:trPr>
        <w:tc>
          <w:tcPr>
            <w:tcMar>
              <w:top w:w="108" w:type="dxa"/>
              <w:bottom w:w="108" w:type="dxa"/>
            </w:tcMar>
          </w:tcPr>
          <w:p>
            <w:pPr>
              <w:pStyle w:val="BodyText"/>
            </w:pPr>
            <w:pPr>
              <w:spacing w:before="16"/>
            </w:pPr>
            <w:r>
              <w:rPr>
                <w:rStyle w:val="VerbatimChar"/>
              </w:rPr>
              <w:t xml:space="preserve">c_surv_MVP_op</w:t>
            </w:r>
            <w:r>
              <w:t xml:space="preserve"> </w:t>
            </w:r>
            <w:r>
              <w:t xml:space="preserve">= R137,000/yr is a</w:t>
            </w:r>
            <w:r>
              <w:t xml:space="preserve"> </w:t>
            </w:r>
            <w:r>
              <w:rPr>
                <w:b/>
                <w:bCs/>
              </w:rPr>
              <w:t xml:space="preserve">deterministic sum</w:t>
            </w:r>
            <w:r>
              <w:t xml:space="preserve"> </w:t>
            </w:r>
            <w:r>
              <w:t xml:space="preserve">of two independent components. No distributional assumption is placed on the total; uncertainty propagates through the component gamma distributions in any PSA.</w:t>
            </w:r>
          </w:p>
          <w:tbl>
            <w:tblPr>
              <w:tblStyle w:val="Table"/>
              <w:tblW w:type="pct" w:w="5000"/>
              <w:tblLayout w:type="fixed"/>
              <w:tblLook w:firstRow="1" w:lastRow="0" w:firstColumn="0" w:lastColumn="0" w:noHBand="0" w:noVBand="0" w:val="0020"/>
            </w:tblPr>
            <w:tblGrid>
              <w:gridCol w:w="1815"/>
              <w:gridCol w:w="2310"/>
              <w:gridCol w:w="1815"/>
              <w:gridCol w:w="1980"/>
            </w:tblGrid>
            <w:tr>
              <w:trPr>
                <w:tblHeader w:val="on"/>
              </w:trPr>
              <w:tc>
                <w:tcPr/>
                <w:p>
                  <w:pPr>
                    <w:pStyle w:val="Compact"/>
                    <w:jc w:val="left"/>
                  </w:pPr>
                  <w:r>
                    <w:t xml:space="preserve">Component</w:t>
                  </w:r>
                </w:p>
              </w:tc>
              <w:tc>
                <w:tcPr/>
                <w:p>
                  <w:pPr>
                    <w:pStyle w:val="Compact"/>
                    <w:jc w:val="left"/>
                  </w:pPr>
                  <w:r>
                    <w:t xml:space="preserve">CSV parameter</w:t>
                  </w:r>
                </w:p>
              </w:tc>
              <w:tc>
                <w:tcPr/>
                <w:p>
                  <w:pPr>
                    <w:pStyle w:val="Compact"/>
                    <w:jc w:val="right"/>
                  </w:pPr>
                  <w:r>
                    <w:t xml:space="preserve">Annual (R)</w:t>
                  </w:r>
                </w:p>
              </w:tc>
              <w:tc>
                <w:tcPr/>
                <w:p>
                  <w:pPr>
                    <w:pStyle w:val="Compact"/>
                    <w:jc w:val="left"/>
                  </w:pPr>
                  <w:r>
                    <w:t xml:space="preserve">Mini-budget</w:t>
                  </w:r>
                </w:p>
              </w:tc>
            </w:tr>
            <w:tr>
              <w:tc>
                <w:tcPr/>
                <w:p>
                  <w:pPr>
                    <w:pStyle w:val="Compact"/>
                    <w:jc w:val="left"/>
                  </w:pPr>
                  <w:r>
                    <w:t xml:space="preserve">Option 2 — PIH dashboard + MVD (+ AfriTox harmonisation)</w:t>
                  </w:r>
                </w:p>
              </w:tc>
              <w:tc>
                <w:tcPr/>
                <w:p>
                  <w:pPr>
                    <w:pStyle w:val="Compact"/>
                    <w:jc w:val="left"/>
                  </w:pPr>
                  <w:r>
                    <w:rPr>
                      <w:rStyle w:val="VerbatimChar"/>
                    </w:rPr>
                    <w:t xml:space="preserve">c_S1_PIH_MVD_op</w:t>
                  </w:r>
                </w:p>
              </w:tc>
              <w:tc>
                <w:tcPr/>
                <w:p>
                  <w:pPr>
                    <w:pStyle w:val="Compact"/>
                    <w:jc w:val="right"/>
                  </w:pPr>
                  <w:r>
                    <w:t xml:space="preserve">82,000</w:t>
                  </w:r>
                </w:p>
              </w:tc>
              <w:tc>
                <w:tcPr/>
                <w:p>
                  <w:pPr>
                    <w:pStyle w:val="Compact"/>
                    <w:jc w:val="left"/>
                  </w:pPr>
                  <w:hyperlink w:anchor="sec-opt2-mini-budget">
                    <w:r>
                      <w:rPr>
                        <w:rStyle w:val="Hyperlink"/>
                      </w:rPr>
                      <w:t xml:space="preserve">Option 2 audit trail</w:t>
                    </w:r>
                  </w:hyperlink>
                </w:p>
              </w:tc>
            </w:tr>
            <w:tr>
              <w:tc>
                <w:tcPr/>
                <w:p>
                  <w:pPr>
                    <w:pStyle w:val="Compact"/>
                    <w:jc w:val="left"/>
                  </w:pPr>
                  <w:r>
                    <w:t xml:space="preserve">Option 1 — BChE auto-notification</w:t>
                  </w:r>
                </w:p>
              </w:tc>
              <w:tc>
                <w:tcPr/>
                <w:p>
                  <w:pPr>
                    <w:pStyle w:val="Compact"/>
                    <w:jc w:val="left"/>
                  </w:pPr>
                  <w:r>
                    <w:rPr>
                      <w:rStyle w:val="VerbatimChar"/>
                    </w:rPr>
                    <w:t xml:space="preserve">c_S2_BChE_autonotify_op</w:t>
                  </w:r>
                </w:p>
              </w:tc>
              <w:tc>
                <w:tcPr/>
                <w:p>
                  <w:pPr>
                    <w:pStyle w:val="Compact"/>
                    <w:jc w:val="right"/>
                  </w:pPr>
                  <w:r>
                    <w:t xml:space="preserve">55,000</w:t>
                  </w:r>
                </w:p>
              </w:tc>
              <w:tc>
                <w:tcPr/>
                <w:p>
                  <w:pPr>
                    <w:pStyle w:val="Compact"/>
                    <w:jc w:val="left"/>
                  </w:pPr>
                  <w:hyperlink w:anchor="sec-opt1-mini-budget">
                    <w:r>
                      <w:rPr>
                        <w:rStyle w:val="Hyperlink"/>
                      </w:rPr>
                      <w:t xml:space="preserve">Option 1 audit trail</w:t>
                    </w:r>
                  </w:hyperlink>
                </w:p>
              </w:tc>
            </w:tr>
            <w:tr>
              <w:tc>
                <w:tcPr/>
                <w:p>
                  <w:pPr>
                    <w:pStyle w:val="Compact"/>
                    <w:jc w:val="left"/>
                  </w:pPr>
                  <w:r>
                    <w:rPr>
                      <w:b/>
                      <w:bCs/>
                    </w:rPr>
                    <w:t xml:space="preserve">Surveillance MVP total</w:t>
                  </w:r>
                </w:p>
              </w:tc>
              <w:tc>
                <w:tcPr/>
                <w:p>
                  <w:pPr>
                    <w:pStyle w:val="Compact"/>
                    <w:jc w:val="left"/>
                  </w:pPr>
                  <w:r>
                    <w:rPr>
                      <w:rStyle w:val="VerbatimChar"/>
                    </w:rPr>
                    <w:t xml:space="preserve">c_surv_MVP_op</w:t>
                  </w:r>
                </w:p>
              </w:tc>
              <w:tc>
                <w:tcPr/>
                <w:p>
                  <w:pPr>
                    <w:pStyle w:val="Compact"/>
                    <w:jc w:val="right"/>
                  </w:pPr>
                  <w:r>
                    <w:rPr>
                      <w:b/>
                      <w:bCs/>
                    </w:rPr>
                    <w:t xml:space="preserve">137,000</w:t>
                  </w:r>
                </w:p>
              </w:tc>
              <w:tc>
                <w:tcPr/>
                <w:p>
                  <w:pPr>
                    <w:pStyle w:val="Compact"/>
                  </w:pPr>
                </w:p>
              </w:tc>
            </w:tr>
          </w:tbl>
          <w:p>
            <w:pPr>
              <w:pStyle w:val="BodyText"/>
            </w:pPr>
            <w:r>
              <w:rPr>
                <w:b/>
                <w:bCs/>
              </w:rPr>
              <w:t xml:space="preserve">No double-counting.</w:t>
            </w:r>
            <w:r>
              <w:t xml:space="preserve"> </w:t>
            </w:r>
            <w:r>
              <w:t xml:space="preserve">Option 1 (NHLS HL7 middleware, LIS IT maintenance, NHLS scientist QA, NICD alert triage) and Option 2 (PIH cloud hosting, MVD ETL pipeline, AfriTox harmonisation, QA, licences/SMS) sit on entirely separate operational pathways. The two NICD analyst allocations sum to ~0.05 FTE (Option 2: ~0.035 FTE; Option 1: ~0.015 FTE) — within the 0.2 FTE post already costed in the §7 Tab 1 NMC baseline.</w:t>
            </w:r>
            <w:r>
              <w:t xml:space="preserve"> </w:t>
            </w:r>
            <w:r>
              <w:rPr>
                <w:b/>
                <w:bCs/>
              </w:rPr>
              <w:t xml:space="preserve">The MVP does not require new headcount.</w:t>
            </w:r>
          </w:p>
          <w:p>
            <w:pPr>
              <w:pStyle w:val="BodyText"/>
            </w:pPr>
            <w:pPr>
              <w:spacing w:after="16"/>
            </w:pPr>
            <w:r>
              <w:rPr>
                <w:b/>
                <w:bCs/>
              </w:rPr>
              <w:t xml:space="preserve">Setup.</w:t>
            </w:r>
            <w:r>
              <w:t xml:space="preserve"> </w:t>
            </w:r>
            <w:r>
              <w:rPr>
                <w:rStyle w:val="VerbatimChar"/>
              </w:rPr>
              <w:t xml:space="preserve">c_surv_MVP_setup</w:t>
            </w:r>
            <w:r>
              <w:t xml:space="preserve"> </w:t>
            </w:r>
            <w:r>
              <w:t xml:space="preserve">= R240,000 (one-off) =</w:t>
            </w:r>
            <w:r>
              <w:t xml:space="preserve"> </w:t>
            </w:r>
            <w:r>
              <w:rPr>
                <w:rStyle w:val="VerbatimChar"/>
              </w:rPr>
              <w:t xml:space="preserve">c_S1_PIH_MVD_setup</w:t>
            </w:r>
            <w:r>
              <w:t xml:space="preserve"> </w:t>
            </w:r>
            <w:r>
              <w:t xml:space="preserve">(R40,000) +</w:t>
            </w:r>
            <w:r>
              <w:t xml:space="preserve"> </w:t>
            </w:r>
            <w:r>
              <w:rPr>
                <w:rStyle w:val="VerbatimChar"/>
              </w:rPr>
              <w:t xml:space="preserve">c_S2_BChE_autonotify_setup</w:t>
            </w:r>
            <w:r>
              <w:t xml:space="preserve"> </w:t>
            </w:r>
            <w:r>
              <w:t xml:space="preserve">(R200,000), the Option 1 LIS HL7 reconfiguration dominating. S0 is already operational; its setup is not double-counted here.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note.png" id="6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Audit: parameter names for costing each policy option</w:t>
            </w:r>
          </w:p>
        </w:tc>
      </w:tr>
      <w:tr>
        <w:trPr>
          <w:cantSplit/>
        </w:trPr>
        <w:tc>
          <w:tcPr>
            <w:tcMar>
              <w:top w:w="108" w:type="dxa"/>
              <w:bottom w:w="108" w:type="dxa"/>
            </w:tcMar>
          </w:tcPr>
          <w:p>
            <w:pPr>
              <w:pStyle w:val="BodyText"/>
            </w:pPr>
            <w:pPr>
              <w:spacing w:before="16"/>
            </w:pPr>
            <w:r>
              <w:t xml:space="preserve">Every annual and setup cost in this brief is linked to a row in</w:t>
            </w:r>
            <w:r>
              <w:t xml:space="preserve"> </w:t>
            </w:r>
            <w:hyperlink r:id="rId14">
              <w:r>
                <w:rPr>
                  <w:rStyle w:val="VerbatimChar"/>
                </w:rPr>
                <w:t xml:space="preserve">amua_import_parameters_v4.csv</w:t>
              </w:r>
            </w:hyperlink>
            <w:r>
              <w:t xml:space="preserve">:</w:t>
            </w:r>
          </w:p>
          <w:tbl>
            <w:tblPr>
              <w:tblStyle w:val="Table"/>
              <w:tblW w:type="pct" w:w="5000"/>
              <w:tblLayout w:type="fixed"/>
              <w:tblLook w:firstRow="1" w:lastRow="0" w:firstColumn="0" w:lastColumn="0" w:noHBand="0" w:noVBand="0" w:val="0020"/>
            </w:tblPr>
            <w:tblGrid>
              <w:gridCol w:w="1173"/>
              <w:gridCol w:w="3080"/>
              <w:gridCol w:w="3666"/>
            </w:tblGrid>
            <w:tr>
              <w:trPr>
                <w:tblHeader w:val="on"/>
              </w:trPr>
              <w:tc>
                <w:tcPr/>
                <w:p>
                  <w:pPr>
                    <w:pStyle w:val="Compact"/>
                    <w:jc w:val="left"/>
                  </w:pPr>
                  <w:r>
                    <w:t xml:space="preserve">Option</w:t>
                  </w:r>
                </w:p>
              </w:tc>
              <w:tc>
                <w:tcPr/>
                <w:p>
                  <w:pPr>
                    <w:pStyle w:val="Compact"/>
                    <w:jc w:val="left"/>
                  </w:pPr>
                  <w:r>
                    <w:t xml:space="preserve">Setup cost parameter</w:t>
                  </w:r>
                </w:p>
              </w:tc>
              <w:tc>
                <w:tcPr/>
                <w:p>
                  <w:pPr>
                    <w:pStyle w:val="Compact"/>
                    <w:jc w:val="left"/>
                  </w:pPr>
                  <w:r>
                    <w:t xml:space="preserve">Operating cost parameter</w:t>
                  </w:r>
                </w:p>
              </w:tc>
            </w:tr>
            <w:tr>
              <w:tc>
                <w:tcPr/>
                <w:p>
                  <w:pPr>
                    <w:pStyle w:val="Compact"/>
                    <w:jc w:val="left"/>
                  </w:pPr>
                  <w:r>
                    <w:t xml:space="preserve">Option 2 — PIH dashboard + MVD (+ AfriTox harmonisation)</w:t>
                  </w:r>
                </w:p>
              </w:tc>
              <w:tc>
                <w:tcPr/>
                <w:p>
                  <w:pPr>
                    <w:pStyle w:val="Compact"/>
                    <w:jc w:val="left"/>
                  </w:pPr>
                  <w:r>
                    <w:rPr>
                      <w:rStyle w:val="VerbatimChar"/>
                    </w:rPr>
                    <w:t xml:space="preserve">c_S1_PIH_MVD_setup</w:t>
                  </w:r>
                </w:p>
              </w:tc>
              <w:tc>
                <w:tcPr/>
                <w:p>
                  <w:pPr>
                    <w:pStyle w:val="Compact"/>
                    <w:jc w:val="left"/>
                  </w:pPr>
                  <w:r>
                    <w:rPr>
                      <w:rStyle w:val="VerbatimChar"/>
                    </w:rPr>
                    <w:t xml:space="preserve">c_S1_PIH_MVD_op</w:t>
                  </w:r>
                </w:p>
              </w:tc>
            </w:tr>
            <w:tr>
              <w:tc>
                <w:tcPr/>
                <w:p>
                  <w:pPr>
                    <w:pStyle w:val="Compact"/>
                    <w:jc w:val="left"/>
                  </w:pPr>
                  <w:r>
                    <w:t xml:space="preserve">Option 1 — BChE auto-notification</w:t>
                  </w:r>
                </w:p>
              </w:tc>
              <w:tc>
                <w:tcPr/>
                <w:p>
                  <w:pPr>
                    <w:pStyle w:val="Compact"/>
                    <w:jc w:val="left"/>
                  </w:pPr>
                  <w:r>
                    <w:rPr>
                      <w:rStyle w:val="VerbatimChar"/>
                    </w:rPr>
                    <w:t xml:space="preserve">c_S2_BChE_autonotify_setup</w:t>
                  </w:r>
                </w:p>
              </w:tc>
              <w:tc>
                <w:tcPr/>
                <w:p>
                  <w:pPr>
                    <w:pStyle w:val="Compact"/>
                    <w:jc w:val="left"/>
                  </w:pPr>
                  <w:r>
                    <w:rPr>
                      <w:rStyle w:val="VerbatimChar"/>
                    </w:rPr>
                    <w:t xml:space="preserve">c_S2_BChE_autonotify_op</w:t>
                  </w:r>
                </w:p>
              </w:tc>
            </w:tr>
            <w:tr>
              <w:tc>
                <w:tcPr/>
                <w:p>
                  <w:pPr>
                    <w:pStyle w:val="Compact"/>
                    <w:jc w:val="left"/>
                  </w:pPr>
                  <w:r>
                    <w:t xml:space="preserve">Surveillance MVP (Option 1 + Option 2)</w:t>
                  </w:r>
                </w:p>
              </w:tc>
              <w:tc>
                <w:tcPr/>
                <w:p>
                  <w:pPr>
                    <w:pStyle w:val="Compact"/>
                    <w:jc w:val="left"/>
                  </w:pPr>
                  <w:r>
                    <w:rPr>
                      <w:rStyle w:val="VerbatimChar"/>
                    </w:rPr>
                    <w:t xml:space="preserve">c_surv_MVP_setup</w:t>
                  </w:r>
                </w:p>
              </w:tc>
              <w:tc>
                <w:tcPr/>
                <w:p>
                  <w:pPr>
                    <w:pStyle w:val="Compact"/>
                    <w:jc w:val="left"/>
                  </w:pPr>
                  <w:r>
                    <w:rPr>
                      <w:rStyle w:val="VerbatimChar"/>
                    </w:rPr>
                    <w:t xml:space="preserve">c_surv_MVP_op</w:t>
                  </w:r>
                </w:p>
              </w:tc>
            </w:tr>
            <w:tr>
              <w:tc>
                <w:tcPr/>
                <w:p>
                  <w:pPr>
                    <w:pStyle w:val="Compact"/>
                    <w:jc w:val="left"/>
                  </w:pPr>
                  <w:r>
                    <w:t xml:space="preserve">Option 3 — community layer</w:t>
                  </w:r>
                  <w:r>
                    <w:t xml:space="preserve"> </w:t>
                  </w:r>
                  <w:r>
                    <w:rPr>
                      <w:i/>
                      <w:iCs/>
                    </w:rPr>
                    <w:t xml:space="preserve">(sensitivity: lo / mid / hi)</w:t>
                  </w:r>
                </w:p>
              </w:tc>
              <w:tc>
                <w:tcPr/>
                <w:p>
                  <w:pPr>
                    <w:pStyle w:val="Compact"/>
                    <w:jc w:val="left"/>
                  </w:pPr>
                  <w:r>
                    <w:rPr>
                      <w:rStyle w:val="VerbatimChar"/>
                    </w:rPr>
                    <w:t xml:space="preserve">c_S1b_setup_mid</w:t>
                  </w:r>
                  <w:r>
                    <w:t xml:space="preserve"> </w:t>
                  </w:r>
                  <w:r>
                    <w:t xml:space="preserve">(lo/hi also exist)</w:t>
                  </w:r>
                </w:p>
              </w:tc>
              <w:tc>
                <w:tcPr/>
                <w:p>
                  <w:pPr>
                    <w:pStyle w:val="Compact"/>
                    <w:jc w:val="left"/>
                  </w:pPr>
                  <w:r>
                    <w:rPr>
                      <w:rStyle w:val="VerbatimChar"/>
                    </w:rPr>
                    <w:t xml:space="preserve">c_S1b_op_mid</w:t>
                  </w:r>
                  <w:r>
                    <w:t xml:space="preserve"> </w:t>
                  </w:r>
                  <w:r>
                    <w:t xml:space="preserve">(lo/hi also exist)</w:t>
                  </w:r>
                </w:p>
              </w:tc>
            </w:tr>
            <w:tr>
              <w:tc>
                <w:tcPr/>
                <w:p>
                  <w:pPr>
                    <w:pStyle w:val="Compact"/>
                    <w:jc w:val="left"/>
                  </w:pPr>
                  <w:r>
                    <w:t xml:space="preserve">S0 — NHLS-NMC IT feed (operational, in baseline)</w:t>
                  </w:r>
                </w:p>
              </w:tc>
              <w:tc>
                <w:tcPr/>
                <w:p>
                  <w:pPr>
                    <w:pStyle w:val="Compact"/>
                    <w:jc w:val="left"/>
                  </w:pPr>
                  <w:r>
                    <w:rPr>
                      <w:rStyle w:val="VerbatimChar"/>
                    </w:rPr>
                    <w:t xml:space="preserve">c_S0_NHLS_NMC_feed_setup</w:t>
                  </w:r>
                </w:p>
              </w:tc>
              <w:tc>
                <w:tcPr/>
                <w:p>
                  <w:pPr>
                    <w:pStyle w:val="Compact"/>
                    <w:jc w:val="left"/>
                  </w:pPr>
                  <w:r>
                    <w:rPr>
                      <w:rStyle w:val="VerbatimChar"/>
                    </w:rPr>
                    <w:t xml:space="preserve">c_S0_NHLS_NMC_feed_op</w:t>
                  </w:r>
                </w:p>
              </w:tc>
            </w:tr>
            <w:tr>
              <w:tc>
                <w:tcPr/>
                <w:p>
                  <w:pPr>
                    <w:pStyle w:val="Compact"/>
                    <w:jc w:val="left"/>
                  </w:pPr>
                  <w:r>
                    <w:t xml:space="preserve">Status quo (NICD program)</w:t>
                  </w:r>
                </w:p>
              </w:tc>
              <w:tc>
                <w:tcPr/>
                <w:p>
                  <w:pPr>
                    <w:pStyle w:val="Compact"/>
                    <w:jc w:val="left"/>
                  </w:pPr>
                  <w:r>
                    <w:t xml:space="preserve">—</w:t>
                  </w:r>
                </w:p>
              </w:tc>
              <w:tc>
                <w:tcPr/>
                <w:p>
                  <w:pPr>
                    <w:pStyle w:val="Compact"/>
                    <w:jc w:val="left"/>
                  </w:pPr>
                  <w:r>
                    <w:rPr>
                      <w:rStyle w:val="VerbatimChar"/>
                    </w:rPr>
                    <w:t xml:space="preserve">c_status_quo_program</w:t>
                  </w:r>
                </w:p>
              </w:tc>
            </w:tr>
          </w:tbl>
          <w:p>
            <w:pPr>
              <w:pStyle w:val="BodyText"/>
            </w:pPr>
            <w:pPr>
              <w:spacing w:after="16"/>
            </w:pPr>
            <w:r>
              <w:t xml:space="preserve">Parameter codes (</w:t>
            </w:r>
            <w:r>
              <w:rPr>
                <w:rStyle w:val="VerbatimChar"/>
              </w:rPr>
              <w:t xml:space="preserve">c_S1_*</w:t>
            </w:r>
            <w:r>
              <w:t xml:space="preserve">,</w:t>
            </w:r>
            <w:r>
              <w:t xml:space="preserve"> </w:t>
            </w:r>
            <w:r>
              <w:rPr>
                <w:rStyle w:val="VerbatimChar"/>
              </w:rPr>
              <w:t xml:space="preserve">c_S2_*</w:t>
            </w:r>
            <w:r>
              <w:t xml:space="preserve">,</w:t>
            </w:r>
            <w:r>
              <w:t xml:space="preserve"> </w:t>
            </w:r>
            <w:r>
              <w:rPr>
                <w:rStyle w:val="VerbatimChar"/>
              </w:rPr>
              <w:t xml:space="preserve">c_S1b_*</w:t>
            </w:r>
            <w:r>
              <w:t xml:space="preserve">,</w:t>
            </w:r>
            <w:r>
              <w:t xml:space="preserve"> </w:t>
            </w:r>
            <w:r>
              <w:rPr>
                <w:rStyle w:val="VerbatimChar"/>
              </w:rPr>
              <w:t xml:space="preserve">c_option6_*</w:t>
            </w:r>
            <w:r>
              <w:t xml:space="preserve">) pre-date this brief’s narrative reorder — see the cross-walk at the top of §5. Each option’s mini-budget audit trail unpacks the figures into unit-cost and personnel-time components:</w:t>
            </w:r>
            <w:r>
              <w:t xml:space="preserve"> </w:t>
            </w:r>
            <w:hyperlink w:anchor="sec-s0-mini-budget">
              <w:r>
                <w:rPr>
                  <w:rStyle w:val="Hyperlink"/>
                </w:rPr>
                <w:t xml:space="preserve">S0</w:t>
              </w:r>
            </w:hyperlink>
            <w:r>
              <w:t xml:space="preserve"> </w:t>
            </w:r>
            <w:r>
              <w:t xml:space="preserve">·</w:t>
            </w:r>
            <w:r>
              <w:t xml:space="preserve"> </w:t>
            </w:r>
            <w:hyperlink w:anchor="sec-opt1-mini-budget">
              <w:r>
                <w:rPr>
                  <w:rStyle w:val="Hyperlink"/>
                </w:rPr>
                <w:t xml:space="preserve">Option 1: BChE</w:t>
              </w:r>
            </w:hyperlink>
            <w:r>
              <w:t xml:space="preserve"> </w:t>
            </w:r>
            <w:r>
              <w:t xml:space="preserve">·</w:t>
            </w:r>
            <w:r>
              <w:t xml:space="preserve"> </w:t>
            </w:r>
            <w:hyperlink w:anchor="sec-opt2-mini-budget">
              <w:r>
                <w:rPr>
                  <w:rStyle w:val="Hyperlink"/>
                </w:rPr>
                <w:t xml:space="preserve">Option 2: PIH MVD</w:t>
              </w:r>
            </w:hyperlink>
            <w:r>
              <w:t xml:space="preserve"> </w:t>
            </w:r>
            <w:r>
              <w:t xml:space="preserve">·</w:t>
            </w:r>
            <w:r>
              <w:t xml:space="preserve"> </w:t>
            </w:r>
            <w:hyperlink w:anchor="sec-mvp-mini-budget">
              <w:r>
                <w:rPr>
                  <w:rStyle w:val="Hyperlink"/>
                </w:rPr>
                <w:t xml:space="preserve">MVP (1+2)</w:t>
              </w:r>
            </w:hyperlink>
            <w:r>
              <w:t xml:space="preserve"> </w:t>
            </w:r>
            <w:r>
              <w:t xml:space="preserve">·</w:t>
            </w:r>
            <w:r>
              <w:t xml:space="preserve"> </w:t>
            </w:r>
            <w:hyperlink w:anchor="sec-opt3-mini-budget">
              <w:r>
                <w:rPr>
                  <w:rStyle w:val="Hyperlink"/>
                </w:rPr>
                <w:t xml:space="preserve">Option 3: Community</w:t>
              </w:r>
            </w:hyperlink>
            <w:r>
              <w:t xml:space="preserve"> </w:t>
            </w:r>
            <w:r>
              <w:t xml:space="preserve">·</w:t>
            </w:r>
            <w:r>
              <w:t xml:space="preserve"> </w:t>
            </w:r>
            <w:hyperlink w:anchor="sec-opt5-mini-budget">
              <w:r>
                <w:rPr>
                  <w:rStyle w:val="Hyperlink"/>
                </w:rPr>
                <w:t xml:space="preserve">Option 5: Sentinel</w:t>
              </w:r>
            </w:hyperlink>
            <w:r>
              <w:t xml:space="preserve">. All anchors are DPSA salary scales, NHLS Patterson grades, SITA contracting benchmarks, and AWS af-south-1 pricing — the same anchors as the §7 status-quo build-up. To update a cost: edit the CSV cell and re-render.</w:t>
            </w:r>
          </w:p>
          <w:p/>
        </w:tc>
      </w:tr>
    </w:tbl>
    <w:bookmarkEnd w:id="68"/>
    <w:bookmarkEnd w:id="69"/>
    <w:bookmarkStart w:id="80" w:name="sec-decision-tree"/>
    <w:p>
      <w:pPr>
        <w:pStyle w:val="Heading2"/>
      </w:pPr>
      <w:r>
        <w:t xml:space="preserve">6. Decision tree — from surveillance investment to detection uplift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Audit trail — how every P_detect value in this brief was derived</w:t>
            </w:r>
          </w:p>
        </w:tc>
      </w:tr>
      <w:tr>
        <w:trPr>
          <w:cantSplit/>
        </w:trPr>
        <w:tc>
          <w:tcPr>
            <w:tcMar>
              <w:top w:w="108" w:type="dxa"/>
              <w:bottom w:w="108" w:type="dxa"/>
            </w:tcMar>
          </w:tcPr>
          <w:p>
            <w:pPr>
              <w:pStyle w:val="BodyText"/>
            </w:pPr>
            <w:pPr>
              <w:spacing w:before="16"/>
            </w:pPr>
            <w:r>
              <w:t xml:space="preserve">All active P_detect values are</w:t>
            </w:r>
            <w:r>
              <w:t xml:space="preserve"> </w:t>
            </w:r>
            <w:r>
              <w:rPr>
                <w:b/>
                <w:bCs/>
              </w:rPr>
              <w:t xml:space="preserve">derived, not elicited</w:t>
            </w:r>
            <w:r>
              <w:t xml:space="preserve">, on a single per-case scale. The arithmetic is auditable from three published anchors.</w:t>
            </w:r>
          </w:p>
          <w:bookmarkStart w:id="72" w:name="X03487d5412902b5040c5917e8655eaa112ec4b7"/>
          <w:p>
            <w:pPr>
              <w:pStyle w:val="Heading3"/>
            </w:pPr>
            <w:r>
              <w:t xml:space="preserve">Step 1 — the implied true annual burden (denominator)</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t xml:space="preserve">Anchor</w:t>
                  </w:r>
                </w:p>
              </w:tc>
              <w:tc>
                <w:tcPr/>
                <w:p>
                  <w:pPr>
                    <w:pStyle w:val="Compact"/>
                    <w:jc w:val="right"/>
                  </w:pPr>
                  <w:r>
                    <w:t xml:space="preserve">Value</w:t>
                  </w:r>
                </w:p>
              </w:tc>
              <w:tc>
                <w:tcPr/>
                <w:p>
                  <w:pPr>
                    <w:pStyle w:val="Compact"/>
                  </w:pPr>
                  <w:r>
                    <w:t xml:space="preserve">Source</w:t>
                  </w:r>
                </w:p>
              </w:tc>
            </w:tr>
            <w:tr>
              <w:tc>
                <w:tcPr/>
                <w:p>
                  <w:pPr>
                    <w:pStyle w:val="Compact"/>
                  </w:pPr>
                  <w:r>
                    <w:t xml:space="preserve">Annual NMC pesticide notifications</w:t>
                  </w:r>
                </w:p>
              </w:tc>
              <w:tc>
                <w:tcPr/>
                <w:p>
                  <w:pPr>
                    <w:pStyle w:val="Compact"/>
                    <w:jc w:val="right"/>
                  </w:pPr>
                  <w:r>
                    <w:t xml:space="preserve">1,013</w:t>
                  </w:r>
                </w:p>
              </w:tc>
              <w:tc>
                <w:tcPr/>
                <w:p>
                  <w:pPr>
                    <w:pStyle w:val="Compact"/>
                  </w:pPr>
                  <w:r>
                    <w:rPr>
                      <w:rStyle w:val="VerbatimChar"/>
                    </w:rPr>
                    <w:t xml:space="preserve">n_nmc_annual</w:t>
                  </w:r>
                  <w:r>
                    <w:t xml:space="preserve"> </w:t>
                  </w:r>
                  <w:r>
                    <w:t xml:space="preserve">— NICD NMC Annual Report 2023</w:t>
                  </w:r>
                </w:p>
              </w:tc>
            </w:tr>
            <w:tr>
              <w:tc>
                <w:tcPr/>
                <w:p>
                  <w:pPr>
                    <w:pStyle w:val="Compact"/>
                  </w:pPr>
                  <w:r>
                    <w:t xml:space="preserve">NMC-hospitalised case-fatality rate</w:t>
                  </w:r>
                </w:p>
              </w:tc>
              <w:tc>
                <w:tcPr/>
                <w:p>
                  <w:pPr>
                    <w:pStyle w:val="Compact"/>
                    <w:jc w:val="right"/>
                  </w:pPr>
                  <w:r>
                    <w:t xml:space="preserve">12.5 %</w:t>
                  </w:r>
                </w:p>
              </w:tc>
              <w:tc>
                <w:tcPr/>
                <w:p>
                  <w:pPr>
                    <w:pStyle w:val="Compact"/>
                  </w:pPr>
                  <w:r>
                    <w:rPr>
                      <w:rStyle w:val="VerbatimChar"/>
                    </w:rPr>
                    <w:t xml:space="preserve">cfr_headline_mid</w:t>
                  </w:r>
                  <w:r>
                    <w:t xml:space="preserve"> </w:t>
                  </w:r>
                  <w:r>
                    <w:t xml:space="preserve">(range 10–15 %) — Free State 2018-19 + NMC observed</w:t>
                  </w:r>
                </w:p>
              </w:tc>
            </w:tr>
            <w:tr>
              <w:tc>
                <w:tcPr/>
                <w:p>
                  <w:pPr>
                    <w:pStyle w:val="Compact"/>
                  </w:pPr>
                  <w:r>
                    <w:t xml:space="preserve">StatsSA MACOD pesticide-poisoning deaths/yr</w:t>
                  </w:r>
                </w:p>
              </w:tc>
              <w:tc>
                <w:tcPr/>
                <w:p>
                  <w:pPr>
                    <w:pStyle w:val="Compact"/>
                    <w:jc w:val="right"/>
                  </w:pPr>
                  <w:r>
                    <w:t xml:space="preserve">1,014</w:t>
                  </w:r>
                </w:p>
              </w:tc>
              <w:tc>
                <w:tcPr/>
                <w:p>
                  <w:pPr>
                    <w:pStyle w:val="Compact"/>
                  </w:pPr>
                  <w:r>
                    <w:rPr>
                      <w:rStyle w:val="VerbatimChar"/>
                    </w:rPr>
                    <w:t xml:space="preserve">n_deaths_statssa_macod</w:t>
                  </w:r>
                  <w:r>
                    <w:t xml:space="preserve"> </w:t>
                  </w:r>
                  <w:r>
                    <w:t xml:space="preserve">— StatsSA Causes of Death, 2023: Table 4.12: Accidental poisoning by and exposure to noxious substance (X40-X49)</w:t>
                  </w:r>
                </w:p>
              </w:tc>
            </w:tr>
          </w:tbl>
          <w:p>
            <w:pPr>
              <w:pStyle w:val="BodyText"/>
            </w:pPr>
            <w:r>
              <w:t xml:space="preserve">If notified cases have CFR ≈ 12.5 %, then the</w:t>
            </w:r>
            <w:r>
              <w:t xml:space="preserve"> </w:t>
            </w:r>
            <w:r>
              <w:rPr>
                <w:i/>
                <w:iCs/>
              </w:rPr>
              <w:t xml:space="preserve">full</w:t>
            </w:r>
            <w:r>
              <w:t xml:space="preserve"> </w:t>
            </w:r>
            <w:r>
              <w:t xml:space="preserve">true burden satisfies</w:t>
            </w:r>
            <w:r>
              <w:t xml:space="preserve"> </w:t>
            </w:r>
            <m:oMath>
              <m:r>
                <m:rPr>
                  <m:nor/>
                  <m:sty m:val="p"/>
                </m:rPr>
                <m:t>true cases</m:t>
              </m:r>
              <m:r>
                <m:rPr>
                  <m:sty m:val="p"/>
                </m:rPr>
                <m:t>×</m:t>
              </m:r>
              <m:r>
                <m:rPr>
                  <m:nor/>
                  <m:sty m:val="p"/>
                </m:rPr>
                <m:t>CFR</m:t>
              </m:r>
              <m:r>
                <m:rPr>
                  <m:sty m:val="p"/>
                </m:rPr>
                <m:t>=</m:t>
              </m:r>
              <m:r>
                <m:rPr>
                  <m:nor/>
                  <m:sty m:val="p"/>
                </m:rPr>
                <m:t>deaths</m:t>
              </m:r>
            </m:oMath>
            <w:r>
              <w:t xml:space="preserve">, so</w:t>
            </w:r>
          </w:p>
          <w:p>
            <w:pPr>
              <w:pStyle w:val="BodyText"/>
            </w:pPr>
            <m:oMathPara>
              <m:oMathParaPr>
                <m:jc m:val="center"/>
              </m:oMathParaPr>
              <m:oMath>
                <m:sSub>
                  <m:e>
                    <m:r>
                      <m:t>N</m:t>
                    </m:r>
                  </m:e>
                  <m:sub>
                    <m:r>
                      <m:rPr>
                        <m:nor/>
                        <m:sty m:val="p"/>
                      </m:rPr>
                      <m:t>true</m:t>
                    </m:r>
                  </m:sub>
                </m:sSub>
                <m:r>
                  <m:t> </m:t>
                </m:r>
                <m:r>
                  <m:rPr>
                    <m:sty m:val="p"/>
                  </m:rPr>
                  <m:t>=</m:t>
                </m:r>
                <m:r>
                  <m:t> </m:t>
                </m:r>
                <m:f>
                  <m:fPr>
                    <m:type m:val="bar"/>
                  </m:fPr>
                  <m:num>
                    <m:r>
                      <m:t>1</m:t>
                    </m:r>
                    <m:r>
                      <m:rPr>
                        <m:sty m:val="p"/>
                      </m:rPr>
                      <m:t>,</m:t>
                    </m:r>
                    <m:r>
                      <m:t>014</m:t>
                    </m:r>
                  </m:num>
                  <m:den>
                    <m:r>
                      <m:t>0.125</m:t>
                    </m:r>
                  </m:den>
                </m:f>
                <m:r>
                  <m:t> </m:t>
                </m:r>
                <m:r>
                  <m:rPr>
                    <m:sty m:val="p"/>
                  </m:rPr>
                  <m:t>=</m:t>
                </m:r>
                <m:r>
                  <m:t> </m:t>
                </m:r>
                <m:r>
                  <m:rPr>
                    <m:sty m:val="b"/>
                  </m:rPr>
                  <m:t>8</m:t>
                </m:r>
                <m:r>
                  <m:rPr>
                    <m:sty m:val="b"/>
                  </m:rPr>
                  <m:t>,</m:t>
                </m:r>
                <m:r>
                  <m:rPr>
                    <m:sty m:val="b"/>
                  </m:rPr>
                  <m:t>112</m:t>
                </m:r>
                <m:r>
                  <m:t> </m:t>
                </m:r>
                <m:r>
                  <m:rPr>
                    <m:nor/>
                    <m:sty m:val="p"/>
                  </m:rPr>
                  <m:t>cases/year</m:t>
                </m:r>
                <m:r>
                  <m:t> </m:t>
                </m:r>
                <m:r>
                  <m:rPr>
                    <m:sty m:val="p"/>
                  </m:rPr>
                  <m:t>(</m:t>
                </m:r>
                <m:r>
                  <m:rPr>
                    <m:nor/>
                    <m:scr m:val="monospace"/>
                    <m:sty m:val="p"/>
                  </m:rPr>
                  <m:t>n_true_burden_from_statssa_mid</m:t>
                </m:r>
                <m:r>
                  <m:rPr>
                    <m:sty m:val="p"/>
                  </m:rPr>
                  <m:t>)</m:t>
                </m:r>
              </m:oMath>
            </m:oMathPara>
          </w:p>
          <w:p>
            <w:pPr>
              <w:pStyle w:val="FirstParagraph"/>
            </w:pPr>
            <w:r>
              <w:t xml:space="preserve">This is the</w:t>
            </w:r>
            <w:r>
              <w:t xml:space="preserve"> </w:t>
            </w:r>
            <w:r>
              <w:rPr>
                <w:b/>
                <w:bCs/>
              </w:rPr>
              <w:t xml:space="preserve">single denominator</w:t>
            </w:r>
            <w:r>
              <w:t xml:space="preserve"> </w:t>
            </w:r>
            <w:r>
              <w:t xml:space="preserve">used for every per-case P_detect below.</w:t>
            </w:r>
          </w:p>
          <w:bookmarkEnd w:id="72"/>
          <w:bookmarkStart w:id="73" w:name="X9c30cfb423acf348984238b4b96f80e3c180968"/>
          <w:p>
            <w:pPr>
              <w:pStyle w:val="Heading3"/>
            </w:pPr>
            <w:r>
              <w:t xml:space="preserve">Step 2 — the per-stream numerators (2023 actuals)</w:t>
            </w:r>
          </w:p>
          <w:tbl>
            <w:tblPr>
              <w:tblStyle w:val="Table"/>
              <w:tblW w:type="pct" w:w="5000"/>
              <w:tblLayout w:type="fixed"/>
              <w:tblLook w:firstRow="1" w:lastRow="0" w:firstColumn="0" w:lastColumn="0" w:noHBand="0" w:noVBand="0" w:val="0020"/>
            </w:tblPr>
            <w:tblGrid>
              <w:gridCol w:w="1760"/>
              <w:gridCol w:w="2640"/>
              <w:gridCol w:w="1760"/>
              <w:gridCol w:w="1760"/>
            </w:tblGrid>
            <w:tr>
              <w:trPr>
                <w:tblHeader w:val="on"/>
              </w:trPr>
              <w:tc>
                <w:tcPr/>
                <w:p>
                  <w:pPr>
                    <w:pStyle w:val="Compact"/>
                  </w:pPr>
                  <w:r>
                    <w:t xml:space="preserve">Stream</w:t>
                  </w:r>
                </w:p>
              </w:tc>
              <w:tc>
                <w:tcPr/>
                <w:p>
                  <w:pPr>
                    <w:pStyle w:val="Compact"/>
                    <w:jc w:val="right"/>
                  </w:pPr>
                  <w:r>
                    <w:t xml:space="preserve">Annual count</w:t>
                  </w:r>
                </w:p>
              </w:tc>
              <w:tc>
                <w:tcPr/>
                <w:p>
                  <w:pPr>
                    <w:pStyle w:val="Compact"/>
                  </w:pPr>
                  <w:r>
                    <w:t xml:space="preserve">CSV row</w:t>
                  </w:r>
                </w:p>
              </w:tc>
              <w:tc>
                <w:tcPr/>
                <w:p>
                  <w:pPr>
                    <w:pStyle w:val="Compact"/>
                  </w:pPr>
                  <w:r>
                    <w:t xml:space="preserve">Source</w:t>
                  </w:r>
                </w:p>
              </w:tc>
            </w:tr>
            <w:tr>
              <w:tc>
                <w:tcPr/>
                <w:p>
                  <w:pPr>
                    <w:pStyle w:val="Compact"/>
                  </w:pPr>
                  <w:r>
                    <w:t xml:space="preserve">NMC notifications</w:t>
                  </w:r>
                </w:p>
              </w:tc>
              <w:tc>
                <w:tcPr/>
                <w:p>
                  <w:pPr>
                    <w:pStyle w:val="Compact"/>
                    <w:jc w:val="right"/>
                  </w:pPr>
                  <w:r>
                    <w:t xml:space="preserve">1,013</w:t>
                  </w:r>
                </w:p>
              </w:tc>
              <w:tc>
                <w:tcPr/>
                <w:p>
                  <w:pPr>
                    <w:pStyle w:val="Compact"/>
                  </w:pPr>
                  <w:r>
                    <w:rPr>
                      <w:rStyle w:val="VerbatimChar"/>
                    </w:rPr>
                    <w:t xml:space="preserve">n_nmc_annual</w:t>
                  </w:r>
                </w:p>
              </w:tc>
              <w:tc>
                <w:tcPr/>
                <w:p>
                  <w:pPr>
                    <w:pStyle w:val="Compact"/>
                  </w:pPr>
                  <w:r>
                    <w:t xml:space="preserve">NICD NMC Annual Report 2023</w:t>
                  </w:r>
                </w:p>
              </w:tc>
            </w:tr>
            <w:tr>
              <w:tc>
                <w:tcPr/>
                <w:p>
                  <w:pPr>
                    <w:pStyle w:val="Compact"/>
                  </w:pPr>
                  <w:r>
                    <w:t xml:space="preserve">NHLS severe BChE inhibitions (&lt;10 % of normal enzyme activity)</w:t>
                  </w:r>
                </w:p>
              </w:tc>
              <w:tc>
                <w:tcPr/>
                <w:p>
                  <w:pPr>
                    <w:pStyle w:val="Compact"/>
                    <w:jc w:val="right"/>
                  </w:pPr>
                  <w:r>
                    <w:t xml:space="preserve">1,779</w:t>
                  </w:r>
                </w:p>
              </w:tc>
              <w:tc>
                <w:tcPr/>
                <w:p>
                  <w:pPr>
                    <w:pStyle w:val="Compact"/>
                  </w:pPr>
                  <w:r>
                    <w:rPr>
                      <w:rStyle w:val="VerbatimChar"/>
                    </w:rPr>
                    <w:t xml:space="preserve">n_nhls_severe_annual</w:t>
                  </w:r>
                </w:p>
              </w:tc>
              <w:tc>
                <w:tcPr/>
                <w:p>
                  <w:pPr>
                    <w:pStyle w:val="Compact"/>
                  </w:pPr>
                  <w:r>
                    <w:t xml:space="preserve">NHLS LIS 2023 (of 10,626 total tests)</w:t>
                  </w:r>
                </w:p>
              </w:tc>
            </w:tr>
            <w:tr>
              <w:tc>
                <w:tcPr/>
                <w:p>
                  <w:pPr>
                    <w:pStyle w:val="Compact"/>
                  </w:pPr>
                  <w:r>
                    <w:t xml:space="preserve">PIH clinician-initiated calls</w:t>
                  </w:r>
                </w:p>
              </w:tc>
              <w:tc>
                <w:tcPr/>
                <w:p>
                  <w:pPr>
                    <w:pStyle w:val="Compact"/>
                    <w:jc w:val="right"/>
                  </w:pPr>
                  <w:r>
                    <w:t xml:space="preserve">1,158</w:t>
                  </w:r>
                </w:p>
              </w:tc>
              <w:tc>
                <w:tcPr/>
                <w:p>
                  <w:pPr>
                    <w:pStyle w:val="Compact"/>
                  </w:pPr>
                  <w:r>
                    <w:rPr>
                      <w:rStyle w:val="VerbatimChar"/>
                    </w:rPr>
                    <w:t xml:space="preserve">n_pih_annual</w:t>
                  </w:r>
                </w:p>
              </w:tc>
              <w:tc>
                <w:tcPr/>
                <w:p>
                  <w:pPr>
                    <w:pStyle w:val="Compact"/>
                  </w:pPr>
                  <w:r>
                    <w:t xml:space="preserve">PIH (Tygerberg) 2023</w:t>
                  </w:r>
                </w:p>
              </w:tc>
            </w:tr>
          </w:tbl>
          <w:p>
            <w:pPr>
              <w:pStyle w:val="BodyText"/>
            </w:pPr>
            <w:r>
              <w:t xml:space="preserve">The three streams are treated as</w:t>
            </w:r>
            <w:r>
              <w:t xml:space="preserve"> </w:t>
            </w:r>
            <w:r>
              <w:rPr>
                <w:b/>
                <w:bCs/>
              </w:rPr>
              <w:t xml:space="preserve">mutually exclusive</w:t>
            </w:r>
            <w:r>
              <w:t xml:space="preserve"> </w:t>
            </w:r>
            <w:r>
              <w:t xml:space="preserve">in the base case (severe BChE ≠ NMC-notified ≠ PIH-called); the overlap-correction sensitivity is parameterised separately in the hub.</w:t>
            </w:r>
          </w:p>
          <w:bookmarkEnd w:id="73"/>
          <w:bookmarkStart w:id="74" w:name="step-3-p_detect-for-each-option"/>
          <w:p>
            <w:pPr>
              <w:pStyle w:val="Heading3"/>
            </w:pPr>
            <w:r>
              <w:t xml:space="preserve">Step 3 — P_detect for each option</w:t>
            </w:r>
          </w:p>
          <w:p>
            <w:pPr>
              <w:pStyle w:val="FirstParagraph"/>
            </w:pPr>
            <w:r>
              <w:t xml:space="preserve">Each option adds one or more streams to the NMC base. The numerator is the sum of streams reaching the surveillance system; the denominator is always 8,112.</w:t>
            </w:r>
          </w:p>
          <w:tbl>
            <w:tblPr>
              <w:tblStyle w:val="Table"/>
              <w:tblW w:type="pct" w:w="5000"/>
              <w:tblLayout w:type="fixed"/>
              <w:tblLook w:firstRow="1" w:lastRow="0" w:firstColumn="0" w:lastColumn="0" w:noHBand="0" w:noVBand="0" w:val="0020"/>
            </w:tblPr>
            <w:tblGrid>
              <w:gridCol w:w="1320"/>
              <w:gridCol w:w="1320"/>
              <w:gridCol w:w="1980"/>
              <w:gridCol w:w="1980"/>
              <w:gridCol w:w="1320"/>
            </w:tblGrid>
            <w:tr>
              <w:trPr>
                <w:tblHeader w:val="on"/>
              </w:trPr>
              <w:tc>
                <w:tcPr/>
                <w:p>
                  <w:pPr>
                    <w:pStyle w:val="Compact"/>
                  </w:pPr>
                  <w:r>
                    <w:t xml:space="preserve">Option</w:t>
                  </w:r>
                </w:p>
              </w:tc>
              <w:tc>
                <w:tcPr/>
                <w:p>
                  <w:pPr>
                    <w:pStyle w:val="Compact"/>
                  </w:pPr>
                  <w:r>
                    <w:t xml:space="preserve">Streams summed</w:t>
                  </w:r>
                </w:p>
              </w:tc>
              <w:tc>
                <w:tcPr/>
                <w:p>
                  <w:pPr>
                    <w:pStyle w:val="Compact"/>
                    <w:jc w:val="right"/>
                  </w:pPr>
                  <w:r>
                    <w:t xml:space="preserve">Arithmetic</w:t>
                  </w:r>
                </w:p>
              </w:tc>
              <w:tc>
                <w:tcPr/>
                <w:p>
                  <w:pPr>
                    <w:pStyle w:val="Compact"/>
                    <w:jc w:val="right"/>
                  </w:pPr>
                  <w:r>
                    <w:t xml:space="preserve">P_detect</w:t>
                  </w:r>
                </w:p>
              </w:tc>
              <w:tc>
                <w:tcPr/>
                <w:p>
                  <w:pPr>
                    <w:pStyle w:val="Compact"/>
                  </w:pPr>
                  <w:r>
                    <w:t xml:space="preserve">CSV row</w:t>
                  </w:r>
                </w:p>
              </w:tc>
            </w:tr>
            <w:tr>
              <w:tc>
                <w:tcPr/>
                <w:p>
                  <w:pPr>
                    <w:pStyle w:val="Compact"/>
                  </w:pPr>
                  <w:r>
                    <w:t xml:space="preserve">Status quo</w:t>
                  </w:r>
                </w:p>
              </w:tc>
              <w:tc>
                <w:tcPr/>
                <w:p>
                  <w:pPr>
                    <w:pStyle w:val="Compact"/>
                  </w:pPr>
                  <w:r>
                    <w:t xml:space="preserve">NMC only</w:t>
                  </w:r>
                </w:p>
              </w:tc>
              <w:tc>
                <w:tcPr/>
                <w:p>
                  <w:pPr>
                    <w:pStyle w:val="Compact"/>
                    <w:jc w:val="right"/>
                  </w:pPr>
                  <m:oMath>
                    <m:r>
                      <m:t>1</m:t>
                    </m:r>
                    <m:r>
                      <m:rPr>
                        <m:sty m:val="p"/>
                      </m:rPr>
                      <m:t>,</m:t>
                    </m:r>
                    <m:r>
                      <m:t>013</m:t>
                    </m:r>
                    <m:r>
                      <m:rPr>
                        <m:sty m:val="p"/>
                      </m:rPr>
                      <m:t>/</m:t>
                    </m:r>
                    <m:r>
                      <m:t>8</m:t>
                    </m:r>
                    <m:r>
                      <m:rPr>
                        <m:sty m:val="p"/>
                      </m:rPr>
                      <m:t>,</m:t>
                    </m:r>
                    <m:r>
                      <m:t>112</m:t>
                    </m:r>
                  </m:oMath>
                </w:p>
              </w:tc>
              <w:tc>
                <w:tcPr/>
                <w:p>
                  <w:pPr>
                    <w:pStyle w:val="Compact"/>
                    <w:jc w:val="right"/>
                  </w:pPr>
                  <w:r>
                    <w:rPr>
                      <w:b/>
                      <w:bCs/>
                    </w:rPr>
                    <w:t xml:space="preserve">0.125</w:t>
                  </w:r>
                </w:p>
              </w:tc>
              <w:tc>
                <w:tcPr/>
                <w:p>
                  <w:pPr>
                    <w:pStyle w:val="Compact"/>
                  </w:pPr>
                  <w:r>
                    <w:rPr>
                      <w:rStyle w:val="VerbatimChar"/>
                    </w:rPr>
                    <w:t xml:space="preserve">d_status_quo</w:t>
                  </w:r>
                </w:p>
              </w:tc>
            </w:tr>
            <w:tr>
              <w:tc>
                <w:tcPr/>
                <w:p>
                  <w:pPr>
                    <w:pStyle w:val="Compact"/>
                  </w:pPr>
                  <w:r>
                    <w:t xml:space="preserve">Option 2 — PIH MVD + dashboard</w:t>
                  </w:r>
                </w:p>
              </w:tc>
              <w:tc>
                <w:tcPr/>
                <w:p>
                  <w:pPr>
                    <w:pStyle w:val="Compact"/>
                  </w:pPr>
                  <w:r>
                    <w:t xml:space="preserve">NMC + PIH</w:t>
                  </w:r>
                </w:p>
              </w:tc>
              <w:tc>
                <w:tcPr/>
                <w:p>
                  <w:pPr>
                    <w:pStyle w:val="Compact"/>
                    <w:jc w:val="right"/>
                  </w:pPr>
                  <m:oMath>
                    <m:r>
                      <m:rPr>
                        <m:sty m:val="p"/>
                      </m:rPr>
                      <m:t>(</m:t>
                    </m:r>
                    <m:r>
                      <m:t>1</m:t>
                    </m:r>
                    <m:r>
                      <m:rPr>
                        <m:sty m:val="p"/>
                      </m:rPr>
                      <m:t>,</m:t>
                    </m:r>
                    <m:r>
                      <m:t>013</m:t>
                    </m:r>
                    <m:r>
                      <m:rPr>
                        <m:sty m:val="p"/>
                      </m:rPr>
                      <m:t>+</m:t>
                    </m:r>
                    <m:r>
                      <m:t>1</m:t>
                    </m:r>
                    <m:r>
                      <m:rPr>
                        <m:sty m:val="p"/>
                      </m:rPr>
                      <m:t>,</m:t>
                    </m:r>
                    <m:r>
                      <m:t>158</m:t>
                    </m:r>
                    <m:r>
                      <m:rPr>
                        <m:sty m:val="p"/>
                      </m:rPr>
                      <m:t>)</m:t>
                    </m:r>
                    <m:r>
                      <m:rPr>
                        <m:sty m:val="p"/>
                      </m:rPr>
                      <m:t>/</m:t>
                    </m:r>
                    <m:r>
                      <m:t>8</m:t>
                    </m:r>
                    <m:r>
                      <m:rPr>
                        <m:sty m:val="p"/>
                      </m:rPr>
                      <m:t>,</m:t>
                    </m:r>
                    <m:r>
                      <m:t>112</m:t>
                    </m:r>
                    <m:r>
                      <m:rPr>
                        <m:sty m:val="p"/>
                      </m:rPr>
                      <m:t>=</m:t>
                    </m:r>
                    <m:r>
                      <m:t>2</m:t>
                    </m:r>
                    <m:r>
                      <m:rPr>
                        <m:sty m:val="p"/>
                      </m:rPr>
                      <m:t>,</m:t>
                    </m:r>
                    <m:r>
                      <m:t>171</m:t>
                    </m:r>
                    <m:r>
                      <m:rPr>
                        <m:sty m:val="p"/>
                      </m:rPr>
                      <m:t>/</m:t>
                    </m:r>
                    <m:r>
                      <m:t>8</m:t>
                    </m:r>
                    <m:r>
                      <m:rPr>
                        <m:sty m:val="p"/>
                      </m:rPr>
                      <m:t>,</m:t>
                    </m:r>
                    <m:r>
                      <m:t>112</m:t>
                    </m:r>
                  </m:oMath>
                </w:p>
              </w:tc>
              <w:tc>
                <w:tcPr/>
                <w:p>
                  <w:pPr>
                    <w:pStyle w:val="Compact"/>
                    <w:jc w:val="right"/>
                  </w:pPr>
                  <w:r>
                    <w:rPr>
                      <w:b/>
                      <w:bCs/>
                    </w:rPr>
                    <w:t xml:space="preserve">0.268</w:t>
                  </w:r>
                </w:p>
              </w:tc>
              <w:tc>
                <w:tcPr/>
                <w:p>
                  <w:pPr>
                    <w:pStyle w:val="Compact"/>
                  </w:pPr>
                  <w:r>
                    <w:rPr>
                      <w:rStyle w:val="VerbatimChar"/>
                    </w:rPr>
                    <w:t xml:space="preserve">d_S1_PIH_MVD</w:t>
                  </w:r>
                </w:p>
              </w:tc>
            </w:tr>
            <w:tr>
              <w:tc>
                <w:tcPr/>
                <w:p>
                  <w:pPr>
                    <w:pStyle w:val="Compact"/>
                  </w:pPr>
                  <w:r>
                    <w:t xml:space="preserve">Option 1 — BChE auto-notify</w:t>
                  </w:r>
                </w:p>
              </w:tc>
              <w:tc>
                <w:tcPr/>
                <w:p>
                  <w:pPr>
                    <w:pStyle w:val="Compact"/>
                  </w:pPr>
                  <w:r>
                    <w:t xml:space="preserve">NMC + NHLS severe</w:t>
                  </w:r>
                </w:p>
              </w:tc>
              <w:tc>
                <w:tcPr/>
                <w:p>
                  <w:pPr>
                    <w:pStyle w:val="Compact"/>
                    <w:jc w:val="right"/>
                  </w:pPr>
                  <m:oMath>
                    <m:r>
                      <m:rPr>
                        <m:sty m:val="p"/>
                      </m:rPr>
                      <m:t>(</m:t>
                    </m:r>
                    <m:r>
                      <m:t>1</m:t>
                    </m:r>
                    <m:r>
                      <m:rPr>
                        <m:sty m:val="p"/>
                      </m:rPr>
                      <m:t>,</m:t>
                    </m:r>
                    <m:r>
                      <m:t>013</m:t>
                    </m:r>
                    <m:r>
                      <m:rPr>
                        <m:sty m:val="p"/>
                      </m:rPr>
                      <m:t>+</m:t>
                    </m:r>
                    <m:r>
                      <m:t>1</m:t>
                    </m:r>
                    <m:r>
                      <m:rPr>
                        <m:sty m:val="p"/>
                      </m:rPr>
                      <m:t>,</m:t>
                    </m:r>
                    <m:r>
                      <m:t>779</m:t>
                    </m:r>
                    <m:r>
                      <m:rPr>
                        <m:sty m:val="p"/>
                      </m:rPr>
                      <m:t>)</m:t>
                    </m:r>
                    <m:r>
                      <m:rPr>
                        <m:sty m:val="p"/>
                      </m:rPr>
                      <m:t>/</m:t>
                    </m:r>
                    <m:r>
                      <m:t>8</m:t>
                    </m:r>
                    <m:r>
                      <m:rPr>
                        <m:sty m:val="p"/>
                      </m:rPr>
                      <m:t>,</m:t>
                    </m:r>
                    <m:r>
                      <m:t>112</m:t>
                    </m:r>
                    <m:r>
                      <m:rPr>
                        <m:sty m:val="p"/>
                      </m:rPr>
                      <m:t>=</m:t>
                    </m:r>
                    <m:r>
                      <m:t>2</m:t>
                    </m:r>
                    <m:r>
                      <m:rPr>
                        <m:sty m:val="p"/>
                      </m:rPr>
                      <m:t>,</m:t>
                    </m:r>
                    <m:r>
                      <m:t>792</m:t>
                    </m:r>
                    <m:r>
                      <m:rPr>
                        <m:sty m:val="p"/>
                      </m:rPr>
                      <m:t>/</m:t>
                    </m:r>
                    <m:r>
                      <m:t>8</m:t>
                    </m:r>
                    <m:r>
                      <m:rPr>
                        <m:sty m:val="p"/>
                      </m:rPr>
                      <m:t>,</m:t>
                    </m:r>
                    <m:r>
                      <m:t>112</m:t>
                    </m:r>
                  </m:oMath>
                </w:p>
              </w:tc>
              <w:tc>
                <w:tcPr/>
                <w:p>
                  <w:pPr>
                    <w:pStyle w:val="Compact"/>
                    <w:jc w:val="right"/>
                  </w:pPr>
                  <w:r>
                    <w:rPr>
                      <w:b/>
                      <w:bCs/>
                    </w:rPr>
                    <w:t xml:space="preserve">0.344</w:t>
                  </w:r>
                </w:p>
              </w:tc>
              <w:tc>
                <w:tcPr/>
                <w:p>
                  <w:pPr>
                    <w:pStyle w:val="Compact"/>
                  </w:pPr>
                  <w:r>
                    <w:rPr>
                      <w:rStyle w:val="VerbatimChar"/>
                    </w:rPr>
                    <w:t xml:space="preserve">d_S2_BChE_autonotify</w:t>
                  </w:r>
                </w:p>
              </w:tc>
            </w:tr>
            <w:tr>
              <w:tc>
                <w:tcPr/>
                <w:p>
                  <w:pPr>
                    <w:pStyle w:val="Compact"/>
                  </w:pPr>
                  <w:r>
                    <w:rPr>
                      <w:b/>
                      <w:bCs/>
                    </w:rPr>
                    <w:t xml:space="preserve">Surveillance MVP (Option 1 + Option 2)</w:t>
                  </w:r>
                </w:p>
              </w:tc>
              <w:tc>
                <w:tcPr/>
                <w:p>
                  <w:pPr>
                    <w:pStyle w:val="Compact"/>
                  </w:pPr>
                  <w:r>
                    <w:t xml:space="preserve">NMC + NHLS severe + PIH</w:t>
                  </w:r>
                </w:p>
              </w:tc>
              <w:tc>
                <w:tcPr/>
                <w:p>
                  <w:pPr>
                    <w:pStyle w:val="Compact"/>
                    <w:jc w:val="right"/>
                  </w:pPr>
                  <m:oMath>
                    <m:r>
                      <m:rPr>
                        <m:sty m:val="p"/>
                      </m:rPr>
                      <m:t>(</m:t>
                    </m:r>
                    <m:r>
                      <m:t>1</m:t>
                    </m:r>
                    <m:r>
                      <m:rPr>
                        <m:sty m:val="p"/>
                      </m:rPr>
                      <m:t>,</m:t>
                    </m:r>
                    <m:r>
                      <m:t>013</m:t>
                    </m:r>
                    <m:r>
                      <m:rPr>
                        <m:sty m:val="p"/>
                      </m:rPr>
                      <m:t>+</m:t>
                    </m:r>
                    <m:r>
                      <m:t>1</m:t>
                    </m:r>
                    <m:r>
                      <m:rPr>
                        <m:sty m:val="p"/>
                      </m:rPr>
                      <m:t>,</m:t>
                    </m:r>
                    <m:r>
                      <m:t>779</m:t>
                    </m:r>
                    <m:r>
                      <m:rPr>
                        <m:sty m:val="p"/>
                      </m:rPr>
                      <m:t>+</m:t>
                    </m:r>
                    <m:r>
                      <m:t>1</m:t>
                    </m:r>
                    <m:r>
                      <m:rPr>
                        <m:sty m:val="p"/>
                      </m:rPr>
                      <m:t>,</m:t>
                    </m:r>
                    <m:r>
                      <m:t>158</m:t>
                    </m:r>
                    <m:r>
                      <m:rPr>
                        <m:sty m:val="p"/>
                      </m:rPr>
                      <m:t>)</m:t>
                    </m:r>
                    <m:r>
                      <m:rPr>
                        <m:sty m:val="p"/>
                      </m:rPr>
                      <m:t>/</m:t>
                    </m:r>
                    <m:r>
                      <m:t>8</m:t>
                    </m:r>
                    <m:r>
                      <m:rPr>
                        <m:sty m:val="p"/>
                      </m:rPr>
                      <m:t>,</m:t>
                    </m:r>
                    <m:r>
                      <m:t>112</m:t>
                    </m:r>
                    <m:r>
                      <m:rPr>
                        <m:sty m:val="p"/>
                      </m:rPr>
                      <m:t>=</m:t>
                    </m:r>
                    <m:r>
                      <m:t>3</m:t>
                    </m:r>
                    <m:r>
                      <m:rPr>
                        <m:sty m:val="p"/>
                      </m:rPr>
                      <m:t>,</m:t>
                    </m:r>
                    <m:r>
                      <m:t>950</m:t>
                    </m:r>
                    <m:r>
                      <m:rPr>
                        <m:sty m:val="p"/>
                      </m:rPr>
                      <m:t>/</m:t>
                    </m:r>
                    <m:r>
                      <m:t>8</m:t>
                    </m:r>
                    <m:r>
                      <m:rPr>
                        <m:sty m:val="p"/>
                      </m:rPr>
                      <m:t>,</m:t>
                    </m:r>
                    <m:r>
                      <m:t>112</m:t>
                    </m:r>
                  </m:oMath>
                </w:p>
              </w:tc>
              <w:tc>
                <w:tcPr/>
                <w:p>
                  <w:pPr>
                    <w:pStyle w:val="Compact"/>
                    <w:jc w:val="right"/>
                  </w:pPr>
                  <w:r>
                    <w:rPr>
                      <w:b/>
                      <w:bCs/>
                    </w:rPr>
                    <w:t xml:space="preserve">0.487</w:t>
                  </w:r>
                </w:p>
              </w:tc>
              <w:tc>
                <w:tcPr/>
                <w:p>
                  <w:pPr>
                    <w:pStyle w:val="Compact"/>
                  </w:pPr>
                  <w:r>
                    <w:rPr>
                      <w:rStyle w:val="VerbatimChar"/>
                    </w:rPr>
                    <w:t xml:space="preserve">d_surveillance_mvp</w:t>
                  </w:r>
                </w:p>
              </w:tc>
            </w:tr>
          </w:tbl>
          <w:bookmarkEnd w:id="74"/>
          <w:bookmarkStart w:id="75" w:name="Xce303e2008cd91b4865557a8df43071b0da60f0"/>
          <w:p>
            <w:pPr>
              <w:pStyle w:val="Heading3"/>
            </w:pPr>
            <w:r>
              <w:t xml:space="preserve">Step 4 — CFR sensitivity bracket on the status-quo anchor</w:t>
            </w:r>
          </w:p>
          <w:p>
            <w:pPr>
              <w:pStyle w:val="FirstParagraph"/>
            </w:pPr>
            <w:r>
              <w:t xml:space="preserve">The denominator scales inversely with the CFR assumed for NMC-notified cases (CSV:</w:t>
            </w:r>
            <w:r>
              <w:t xml:space="preserve"> </w:t>
            </w:r>
            <w:r>
              <w:rPr>
                <w:rStyle w:val="VerbatimChar"/>
              </w:rPr>
              <w:t xml:space="preserve">d_status_quo_lo</w:t>
            </w:r>
            <w:r>
              <w:t xml:space="preserve">,</w:t>
            </w:r>
            <w:r>
              <w:t xml:space="preserve"> </w:t>
            </w:r>
            <w:r>
              <w:rPr>
                <w:rStyle w:val="VerbatimChar"/>
              </w:rPr>
              <w:t xml:space="preserve">d_status_quo_hi</w:t>
            </w:r>
            <w:r>
              <w:t xml:space="preserve">):</w:t>
            </w:r>
          </w:p>
          <w:p>
            <w:pPr>
              <w:pStyle w:val="Compact"/>
              <w:numPr>
                <w:ilvl w:val="0"/>
                <w:numId w:val="1008"/>
              </w:numPr>
            </w:pPr>
            <w:r>
              <w:t xml:space="preserve">Lower bound (CFR = 0.10):</w:t>
            </w:r>
            <w:r>
              <w:t xml:space="preserve"> </w:t>
            </w:r>
            <m:oMath>
              <m:sSubSup>
                <m:e>
                  <m:r>
                    <m:t>P</m:t>
                  </m:r>
                </m:e>
                <m:sub>
                  <m:r>
                    <m:rPr>
                      <m:nor/>
                      <m:sty m:val="p"/>
                    </m:rPr>
                    <m:t>detect</m:t>
                  </m:r>
                </m:sub>
                <m:sup>
                  <m:r>
                    <m:t>S</m:t>
                  </m:r>
                  <m:r>
                    <m:t>Q</m:t>
                  </m:r>
                </m:sup>
              </m:sSubSup>
              <m:r>
                <m:rPr>
                  <m:sty m:val="p"/>
                </m:rPr>
                <m:t>=</m:t>
              </m:r>
              <m:r>
                <m:t>1</m:t>
              </m:r>
              <m:r>
                <m:rPr>
                  <m:sty m:val="p"/>
                </m:rPr>
                <m:t>,</m:t>
              </m:r>
              <m:r>
                <m:t>013</m:t>
              </m:r>
              <m:r>
                <m:rPr>
                  <m:sty m:val="p"/>
                </m:rPr>
                <m:t>×</m:t>
              </m:r>
              <m:r>
                <m:t>0.10</m:t>
              </m:r>
              <m:r>
                <m:rPr>
                  <m:sty m:val="p"/>
                </m:rPr>
                <m:t>/</m:t>
              </m:r>
              <m:r>
                <m:t>1</m:t>
              </m:r>
              <m:r>
                <m:rPr>
                  <m:sty m:val="p"/>
                </m:rPr>
                <m:t>,</m:t>
              </m:r>
              <m:r>
                <m:t>014</m:t>
              </m:r>
              <m:r>
                <m:rPr>
                  <m:sty m:val="p"/>
                </m:rPr>
                <m:t>=</m:t>
              </m:r>
              <m:r>
                <m:t>0.039</m:t>
              </m:r>
            </m:oMath>
            <w:r>
              <w:t xml:space="preserve"> </w:t>
            </w:r>
            <w:r>
              <w:t xml:space="preserve">(implied burden 10,140)</w:t>
            </w:r>
          </w:p>
          <w:p>
            <w:pPr>
              <w:pStyle w:val="Compact"/>
              <w:numPr>
                <w:ilvl w:val="0"/>
                <w:numId w:val="1008"/>
              </w:numPr>
            </w:pPr>
            <w:r>
              <w:t xml:space="preserve">Mid (CFR = 0.125):</w:t>
            </w:r>
            <w:r>
              <w:t xml:space="preserve"> </w:t>
            </w:r>
            <m:oMath>
              <m:sSubSup>
                <m:e>
                  <m:r>
                    <m:t>P</m:t>
                  </m:r>
                </m:e>
                <m:sub>
                  <m:r>
                    <m:rPr>
                      <m:nor/>
                      <m:sty m:val="p"/>
                    </m:rPr>
                    <m:t>detect</m:t>
                  </m:r>
                </m:sub>
                <m:sup>
                  <m:r>
                    <m:t>S</m:t>
                  </m:r>
                  <m:r>
                    <m:t>Q</m:t>
                  </m:r>
                </m:sup>
              </m:sSubSup>
              <m:r>
                <m:rPr>
                  <m:sty m:val="p"/>
                </m:rPr>
                <m:t>=</m:t>
              </m:r>
              <m:r>
                <m:t>0.125</m:t>
              </m:r>
            </m:oMath>
            <w:r>
              <w:t xml:space="preserve"> </w:t>
            </w:r>
            <w:r>
              <w:t xml:space="preserve">(implied burden 8,112)</w:t>
            </w:r>
          </w:p>
          <w:p>
            <w:pPr>
              <w:pStyle w:val="Compact"/>
              <w:numPr>
                <w:ilvl w:val="0"/>
                <w:numId w:val="1008"/>
              </w:numPr>
            </w:pPr>
            <w:r>
              <w:t xml:space="preserve">Upper (CFR = 0.15):</w:t>
            </w:r>
            <w:r>
              <w:t xml:space="preserve"> </w:t>
            </w:r>
            <m:oMath>
              <m:sSubSup>
                <m:e>
                  <m:r>
                    <m:t>P</m:t>
                  </m:r>
                </m:e>
                <m:sub>
                  <m:r>
                    <m:rPr>
                      <m:nor/>
                      <m:sty m:val="p"/>
                    </m:rPr>
                    <m:t>detect</m:t>
                  </m:r>
                </m:sub>
                <m:sup>
                  <m:r>
                    <m:t>S</m:t>
                  </m:r>
                  <m:r>
                    <m:t>Q</m:t>
                  </m:r>
                </m:sup>
              </m:sSubSup>
              <m:r>
                <m:rPr>
                  <m:sty m:val="p"/>
                </m:rPr>
                <m:t>=</m:t>
              </m:r>
              <m:r>
                <m:t>1</m:t>
              </m:r>
              <m:r>
                <m:rPr>
                  <m:sty m:val="p"/>
                </m:rPr>
                <m:t>,</m:t>
              </m:r>
              <m:r>
                <m:t>013</m:t>
              </m:r>
              <m:r>
                <m:rPr>
                  <m:sty m:val="p"/>
                </m:rPr>
                <m:t>×</m:t>
              </m:r>
              <m:r>
                <m:t>0.15</m:t>
              </m:r>
              <m:r>
                <m:rPr>
                  <m:sty m:val="p"/>
                </m:rPr>
                <m:t>/</m:t>
              </m:r>
              <m:r>
                <m:t>1</m:t>
              </m:r>
              <m:r>
                <m:rPr>
                  <m:sty m:val="p"/>
                </m:rPr>
                <m:t>,</m:t>
              </m:r>
              <m:r>
                <m:t>014</m:t>
              </m:r>
              <m:r>
                <m:rPr>
                  <m:sty m:val="p"/>
                </m:rPr>
                <m:t>=</m:t>
              </m:r>
              <m:r>
                <m:t>0.058</m:t>
              </m:r>
            </m:oMath>
            <w:r>
              <w:t xml:space="preserve"> </w:t>
            </w:r>
            <w:r>
              <w:t xml:space="preserve">(implied burden 6,760)</w:t>
            </w:r>
          </w:p>
          <w:p>
            <w:pPr>
              <w:pStyle w:val="FirstParagraph"/>
            </w:pPr>
            <w:r>
              <w:t xml:space="preserve">The same CFR bracket applies proportionally to Option 1, Option 2 and the MVP — e.g. the MVP varies from 0.406 (CFR 0.15) to 0.609 (CFR 0.10).</w:t>
            </w:r>
          </w:p>
          <w:bookmarkEnd w:id="75"/>
          <w:bookmarkStart w:id="76" w:name="X6f48454a899568d6074e6df77a696271e8f510e"/>
          <w:p>
            <w:pPr>
              <w:pStyle w:val="Heading3"/>
            </w:pPr>
            <w:r>
              <w:t xml:space="preserve">Step 5 — why this replaces the v1 value of 0.45</w:t>
            </w:r>
          </w:p>
          <w:p>
            <w:pPr>
              <w:pStyle w:val="FirstParagraph"/>
            </w:pPr>
            <w:pPr>
              <w:spacing w:after="16"/>
            </w:pPr>
            <w:r>
              <w:t xml:space="preserve">The legacy v1 figure was an expert-elicited estimate on a different scale, derived from a model of spatial event sensitivity rather than per-case detection. That quantity answered a different question and is not comparable to a per-case detection probability. This brief now uses the</w:t>
            </w:r>
            <w:r>
              <w:t xml:space="preserve"> </w:t>
            </w:r>
            <w:r>
              <w:rPr>
                <w:b/>
                <w:bCs/>
              </w:rPr>
              <w:t xml:space="preserve">per-case</w:t>
            </w:r>
            <w:r>
              <w:t xml:space="preserve"> </w:t>
            </w:r>
            <w:r>
              <w:t xml:space="preserve">framing throughout — every value above is directly auditable from NICD + NHLS + PIH + StatsSA published figures and the canonical</w:t>
            </w:r>
            <w:r>
              <w:t xml:space="preserve"> </w:t>
            </w:r>
            <w:hyperlink r:id="rId14">
              <w:r>
                <w:rPr>
                  <w:rStyle w:val="VerbatimChar"/>
                </w:rPr>
                <w:t xml:space="preserve">amua_import_parameters_v4.csv</w:t>
              </w:r>
            </w:hyperlink>
            <w:r>
              <w:t xml:space="preserve">.</w:t>
            </w:r>
          </w:p>
          <w:p/>
        </w:tc>
      </w:tr>
    </w:tbl>
    <w:bookmarkEnd w:id="76"/>
    <w:p>
      <w:pPr>
        <w:pStyle w:val="BodyText"/>
      </w:pPr>
    </w:p>
    <w:p>
      <w:pPr>
        <w:pStyle w:val="BodyText"/>
      </w:pPr>
      <w:r>
        <w:drawing>
          <wp:inline>
            <wp:extent cx="5334000" cy="2240844"/>
            <wp:effectExtent b="0" l="0" r="0" t="0"/>
            <wp:docPr descr="" title="" id="78" name="Picture"/>
            <a:graphic>
              <a:graphicData uri="http://schemas.openxmlformats.org/drawingml/2006/picture">
                <pic:pic>
                  <pic:nvPicPr>
                    <pic:cNvPr descr="surveillance_policy_files/figure-docx/mermaid-figure-2.png" id="79" name="Picture"/>
                    <pic:cNvPicPr>
                      <a:picLocks noChangeArrowheads="1" noChangeAspect="1"/>
                    </pic:cNvPicPr>
                  </pic:nvPicPr>
                  <pic:blipFill>
                    <a:blip r:embed="rId77"/>
                    <a:stretch>
                      <a:fillRect/>
                    </a:stretch>
                  </pic:blipFill>
                  <pic:spPr bwMode="auto">
                    <a:xfrm>
                      <a:off x="0" y="0"/>
                      <a:ext cx="5334000" cy="2240844"/>
                    </a:xfrm>
                    <a:prstGeom prst="rect">
                      <a:avLst/>
                    </a:prstGeom>
                    <a:noFill/>
                    <a:ln w="9525">
                      <a:noFill/>
                      <a:headEnd/>
                      <a:tailEnd/>
                    </a:ln>
                  </pic:spPr>
                </pic:pic>
              </a:graphicData>
            </a:graphic>
          </wp:inline>
        </w:drawing>
      </w:r>
    </w:p>
    <w:p>
      <w:pPr>
        <w:pStyle w:val="BodyText"/>
      </w:pPr>
      <w:r>
        <w:t xml:space="preserve"> </w:t>
      </w:r>
      <w:r>
        <w:t xml:space="preserve">Surveillance investment decision tree — per-case detection uplift only. Each option raises P_detect, the share of true annual cases (~8,112 StatsSA-anchored mid-burden) that enter the surveillance system. The absolute burden impact of these uplifts depends on response-side parameters covered in the coordination and terbufos briefs. Option 5 (sentinel toxicology) is shown separately because it is an agent-attribution investment, not a coverage uplift. All numerical values pulled from amua_import_parameters_v4.csv at render time.</w:t>
      </w:r>
      <w:r>
        <w:t xml:space="preserve"> </w:t>
      </w:r>
    </w:p>
    <w:p>
      <w:pPr>
        <w:pStyle w:val="BodyText"/>
      </w:pPr>
      <w:r>
        <w:t xml:space="preserve">The tree reports</w:t>
      </w:r>
      <w:r>
        <w:t xml:space="preserve"> </w:t>
      </w:r>
      <w:r>
        <w:rPr>
          <w:b/>
          <w:bCs/>
        </w:rPr>
        <w:t xml:space="preserve">per-case detection uplift in percentage points</w:t>
      </w:r>
      <w:r>
        <w:t xml:space="preserve">. The status-quo node is a</w:t>
      </w:r>
      <w:r>
        <w:t xml:space="preserve"> </w:t>
      </w:r>
      <w:r>
        <w:rPr>
          <w:b/>
          <w:bCs/>
        </w:rPr>
        <w:t xml:space="preserve">measurement</w:t>
      </w:r>
      <w:r>
        <w:t xml:space="preserve"> </w:t>
      </w:r>
      <w:r>
        <w:t xml:space="preserve">of the current detection gap (1,013 NMC notifications ÷ ~8,112 implied true cases), not a baseline from which deaths are counted as averted — surveillance has no response attached. Four detection inputs (</w:t>
      </w:r>
      <w:r>
        <w:rPr>
          <w:rStyle w:val="VerbatimChar"/>
        </w:rPr>
        <w:t xml:space="preserve">d_status_quo</w:t>
      </w:r>
      <w:r>
        <w:t xml:space="preserve">,</w:t>
      </w:r>
      <w:r>
        <w:t xml:space="preserve"> </w:t>
      </w:r>
      <w:r>
        <w:rPr>
          <w:rStyle w:val="VerbatimChar"/>
        </w:rPr>
        <w:t xml:space="preserve">d_S2_BChE_autonotify</w:t>
      </w:r>
      <w:r>
        <w:t xml:space="preserve">,</w:t>
      </w:r>
      <w:r>
        <w:t xml:space="preserve"> </w:t>
      </w:r>
      <w:r>
        <w:rPr>
          <w:rStyle w:val="VerbatimChar"/>
        </w:rPr>
        <w:t xml:space="preserve">d_S1_PIH_MVD</w:t>
      </w:r>
      <w:r>
        <w:t xml:space="preserve">,</w:t>
      </w:r>
      <w:r>
        <w:t xml:space="preserve"> </w:t>
      </w:r>
      <w:r>
        <w:rPr>
          <w:rStyle w:val="VerbatimChar"/>
        </w:rPr>
        <w:t xml:space="preserve">d_surveillance_mvp</w:t>
      </w:r>
      <w:r>
        <w:t xml:space="preserve">) and three operating-cost rows (</w:t>
      </w:r>
      <w:r>
        <w:rPr>
          <w:rStyle w:val="VerbatimChar"/>
        </w:rPr>
        <w:t xml:space="preserve">c_S1_PIH_MVD_op</w:t>
      </w:r>
      <w:r>
        <w:t xml:space="preserve">,</w:t>
      </w:r>
      <w:r>
        <w:t xml:space="preserve"> </w:t>
      </w:r>
      <w:r>
        <w:rPr>
          <w:rStyle w:val="VerbatimChar"/>
        </w:rPr>
        <w:t xml:space="preserve">c_S2_BChE_autonotify_op</w:t>
      </w:r>
      <w:r>
        <w:t xml:space="preserve">,</w:t>
      </w:r>
      <w:r>
        <w:t xml:space="preserve"> </w:t>
      </w:r>
      <w:r>
        <w:rPr>
          <w:rStyle w:val="VerbatimChar"/>
        </w:rPr>
        <w:t xml:space="preserve">c_surv_MVP_op</w:t>
      </w:r>
      <w:r>
        <w:t xml:space="preserve">) live in</w:t>
      </w:r>
      <w:r>
        <w:t xml:space="preserve"> </w:t>
      </w:r>
      <w:hyperlink r:id="rId14">
        <w:r>
          <w:rPr>
            <w:rStyle w:val="VerbatimChar"/>
          </w:rPr>
          <w:t xml:space="preserve">amua_import_parameters_v4.csv</w:t>
        </w:r>
      </w:hyperlink>
      <w:r>
        <w:t xml:space="preserve"> </w:t>
      </w:r>
      <w:r>
        <w:t xml:space="preserve">— edit the CSV and re-render. Option 5 sits outside this tree: it is an agent-attribution investment whose value is parameterised in the</w:t>
      </w:r>
      <w:r>
        <w:t xml:space="preserve"> </w:t>
      </w:r>
      <w:hyperlink r:id="rId10">
        <w:r>
          <w:rPr>
            <w:rStyle w:val="Hyperlink"/>
          </w:rPr>
          <w:t xml:space="preserve">Terbufos brief</w:t>
        </w:r>
      </w:hyperlink>
      <w:r>
        <w:t xml:space="preserve"> </w:t>
      </w:r>
      <w:r>
        <w:t xml:space="preserve">and the</w:t>
      </w:r>
      <w:r>
        <w:t xml:space="preserve"> </w:t>
      </w:r>
      <w:hyperlink r:id="rId59">
        <w:r>
          <w:rPr>
            <w:rStyle w:val="Hyperlink"/>
          </w:rPr>
          <w:t xml:space="preserve">sentinel toxicology appendix</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rPr>
                <w:b/>
                <w:bCs/>
              </w:rPr>
              <w:t xml:space="preserve">Option 3 (Phase 2 community layer) is not modelled in this decision tree.</w:t>
            </w:r>
            <w:r>
              <w:t xml:space="preserve"> </w:t>
            </w:r>
            <w:r>
              <w:t xml:space="preserve">The MVP arm represents the ceiling achievable by linking existing administrative streams. Option 3 would require a new arm with P_detect drawn from</w:t>
            </w:r>
            <w:r>
              <w:t xml:space="preserve"> </w:t>
            </w:r>
            <w:r>
              <w:rPr>
                <w:rStyle w:val="VerbatimChar"/>
              </w:rPr>
              <w:t xml:space="preserve">d_S1b_event_community_mid</w:t>
            </w:r>
            <w:r>
              <w:t xml:space="preserve"> </w:t>
            </w:r>
            <w:r>
              <w:t xml:space="preserve">= 0.40 (range 0.25–0.55) and annual operating cost drawn from</w:t>
            </w:r>
            <w:r>
              <w:t xml:space="preserve"> </w:t>
            </w:r>
            <w:r>
              <w:rPr>
                <w:rStyle w:val="VerbatimChar"/>
              </w:rPr>
              <w:t xml:space="preserve">c_S1b_op_mid</w:t>
            </w:r>
            <w:r>
              <w:t xml:space="preserve"> </w:t>
            </w:r>
            <w:r>
              <w:t xml:space="preserve">= 1,500,000. It is excluded from the current tree because it is a Phase 2 option commissioned conditional on MVP pilot results, not a parallel near-term decision; and because its coordination cost depends on the net false-positive rate after two-tier triage (</w:t>
            </w:r>
            <w:r>
              <w:rPr>
                <w:rStyle w:val="VerbatimChar"/>
              </w:rPr>
              <w:t xml:space="preserve">p_fp_S1b_mid</w:t>
            </w:r>
            <w:r>
              <w:t xml:space="preserve"> </w:t>
            </w:r>
            <w:r>
              <w:t xml:space="preserve">= 0.35 gross; ~8–12% net) modelled in the</w:t>
            </w:r>
            <w:r>
              <w:t xml:space="preserve"> </w:t>
            </w:r>
            <w:hyperlink r:id="rId9">
              <w:r>
                <w:rPr>
                  <w:rStyle w:val="Hyperlink"/>
                </w:rPr>
                <w:t xml:space="preserve">Coordination brief</w:t>
              </w:r>
            </w:hyperlink>
            <w:r>
              <w:t xml:space="preserve">.</w:t>
            </w:r>
          </w:p>
        </w:tc>
      </w:tr>
    </w:tbl>
    <w:p>
      <w:pPr>
        <w:pStyle w:val="BodyText"/>
      </w:pPr>
      <w:r>
        <w:rPr>
          <w:b/>
          <w:bCs/>
        </w:rPr>
        <w:t xml:space="preserve">For burden impact, see the next brief.</w:t>
      </w:r>
      <w:r>
        <w:t xml:space="preserve"> </w:t>
      </w:r>
      <w:r>
        <w:t xml:space="preserve">These P_detect figures feed the</w:t>
      </w:r>
      <w:r>
        <w:t xml:space="preserve"> </w:t>
      </w:r>
      <w:hyperlink r:id="rId9">
        <w:r>
          <w:rPr>
            <w:rStyle w:val="Hyperlink"/>
          </w:rPr>
          <w:t xml:space="preserve">Coordination brief</w:t>
        </w:r>
      </w:hyperlink>
      <w:r>
        <w:t xml:space="preserve"> </w:t>
      </w:r>
      <w:r>
        <w:t xml:space="preserve">decision tree, where response efficacy η converts detection into cases averted, and the</w:t>
      </w:r>
      <w:r>
        <w:t xml:space="preserve"> </w:t>
      </w:r>
      <w:hyperlink r:id="rId10">
        <w:r>
          <w:rPr>
            <w:rStyle w:val="Hyperlink"/>
          </w:rPr>
          <w:t xml:space="preserve">Terbufos brief</w:t>
        </w:r>
      </w:hyperlink>
      <w:r>
        <w:t xml:space="preserve">, where regulatory restriction converts cases into deaths averted.</w:t>
      </w:r>
    </w:p>
    <w:bookmarkEnd w:id="80"/>
    <w:bookmarkStart w:id="86" w:name="sec-costing"/>
    <w:p>
      <w:pPr>
        <w:pStyle w:val="Heading2"/>
      </w:pPr>
      <w:r>
        <w:t xml:space="preserve">7. Status-quo costing — what surveillance costs today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How to read &amp; edit this section</w:t>
            </w:r>
          </w:p>
        </w:tc>
      </w:tr>
      <w:tr>
        <w:trPr>
          <w:cantSplit/>
        </w:trPr>
        <w:tc>
          <w:tcPr>
            <w:tcMar>
              <w:top w:w="108" w:type="dxa"/>
              <w:bottom w:w="108" w:type="dxa"/>
            </w:tcMar>
          </w:tcPr>
          <w:p>
            <w:pPr>
              <w:pStyle w:val="BodyText"/>
            </w:pPr>
            <w:pPr>
              <w:spacing w:before="16"/>
            </w:pPr>
            <w:r>
              <w:t xml:space="preserve">The tables below are the</w:t>
            </w:r>
            <w:r>
              <w:t xml:space="preserve"> </w:t>
            </w:r>
            <w:r>
              <w:rPr>
                <w:b/>
                <w:bCs/>
              </w:rPr>
              <w:t xml:space="preserve">average-cost economic build-up of running surveillance for pesticide poisoning today</w:t>
            </w:r>
            <w:r>
              <w:t xml:space="preserve"> </w:t>
            </w:r>
            <w:r>
              <w:t xml:space="preserve">(status quo, 2024–25 ZAR). They are sourced from an editable workbook —</w:t>
            </w:r>
            <w:r>
              <w:t xml:space="preserve"> </w:t>
            </w:r>
            <w:hyperlink r:id="rId49">
              <w:r>
                <w:rPr>
                  <w:rStyle w:val="VerbatimChar"/>
                </w:rPr>
                <w:t xml:space="preserve">data/surveillance_costing.xlsx</w:t>
              </w:r>
            </w:hyperlink>
            <w:r>
              <w:t xml:space="preserve"> </w:t>
            </w:r>
            <w:r>
              <w:t xml:space="preserve">— with three sheets:</w:t>
            </w:r>
          </w:p>
          <w:p>
            <w:pPr>
              <w:pStyle w:val="Compact"/>
              <w:numPr>
                <w:ilvl w:val="0"/>
                <w:numId w:val="1009"/>
              </w:numPr>
            </w:pPr>
            <w:r>
              <w:rPr>
                <w:rStyle w:val="VerbatimChar"/>
                <w:b/>
                <w:bCs/>
              </w:rPr>
              <w:t xml:space="preserve">personnel</w:t>
            </w:r>
            <w:r>
              <w:t xml:space="preserve"> </w:t>
            </w:r>
            <w:r>
              <w:t xml:space="preserve">— staff time (CTE × FTE %) by stream</w:t>
            </w:r>
          </w:p>
          <w:p>
            <w:pPr>
              <w:pStyle w:val="Compact"/>
              <w:numPr>
                <w:ilvl w:val="0"/>
                <w:numId w:val="1009"/>
              </w:numPr>
            </w:pPr>
            <w:r>
              <w:rPr>
                <w:rStyle w:val="VerbatimChar"/>
                <w:b/>
                <w:bCs/>
              </w:rPr>
              <w:t xml:space="preserve">system</w:t>
            </w:r>
            <w:r>
              <w:t xml:space="preserve"> </w:t>
            </w:r>
            <w:r>
              <w:t xml:space="preserve">— infrastructure, hosting, SMS, reagents by stream</w:t>
            </w:r>
          </w:p>
          <w:p>
            <w:pPr>
              <w:pStyle w:val="Compact"/>
              <w:numPr>
                <w:ilvl w:val="0"/>
                <w:numId w:val="1009"/>
              </w:numPr>
            </w:pPr>
            <w:r>
              <w:rPr>
                <w:rStyle w:val="VerbatimChar"/>
                <w:b/>
                <w:bCs/>
              </w:rPr>
              <w:t xml:space="preserve">allocation</w:t>
            </w:r>
            <w:r>
              <w:t xml:space="preserve"> </w:t>
            </w:r>
            <w:r>
              <w:t xml:space="preserve">— what share of each stream’s total volume is pesticide-related (e.g. ~100 pesticide notifications/month out of ~10,000 total NMC notifications ≈</w:t>
            </w:r>
            <w:r>
              <w:t xml:space="preserve"> </w:t>
            </w:r>
            <w:r>
              <w:rPr>
                <w:b/>
                <w:bCs/>
              </w:rPr>
              <w:t xml:space="preserve">0.84 %</w:t>
            </w:r>
            <w:r>
              <w:t xml:space="preserve"> </w:t>
            </w:r>
            <w:r>
              <w:t xml:space="preserve">of NMC platform OPEX is attributable to pesticide work)</w:t>
            </w:r>
          </w:p>
          <w:p>
            <w:pPr>
              <w:pStyle w:val="FirstParagraph"/>
            </w:pPr>
            <w:pPr>
              <w:spacing w:after="16"/>
            </w:pPr>
            <w:r>
              <w:t xml:space="preserve">To revise a unit cost or FTE,</w:t>
            </w:r>
            <w:r>
              <w:t xml:space="preserve"> </w:t>
            </w:r>
            <w:r>
              <w:rPr>
                <w:b/>
                <w:bCs/>
              </w:rPr>
              <w:t xml:space="preserve">edit a cell in the .xlsx and re-render</w:t>
            </w:r>
            <w:r>
              <w:t xml:space="preserve"> </w:t>
            </w:r>
            <w:r>
              <w:t xml:space="preserve">— every number below updates. The CSV (</w:t>
            </w:r>
            <w:r>
              <w:rPr>
                <w:rStyle w:val="VerbatimChar"/>
              </w:rPr>
              <w:t xml:space="preserve">amua_import_parameters_v4.csv</w:t>
            </w:r>
            <w:r>
              <w:t xml:space="preserve">) remains the source of truth for</w:t>
            </w:r>
            <w:r>
              <w:t xml:space="preserve"> </w:t>
            </w:r>
            <w:r>
              <w:rPr>
                <w:i/>
                <w:iCs/>
              </w:rPr>
              <w:t xml:space="preserve">model</w:t>
            </w:r>
            <w:r>
              <w:t xml:space="preserve"> </w:t>
            </w:r>
            <w:r>
              <w:t xml:space="preserve">parameters and</w:t>
            </w:r>
            <w:r>
              <w:t xml:space="preserve"> </w:t>
            </w:r>
            <w:r>
              <w:rPr>
                <w:i/>
                <w:iCs/>
              </w:rPr>
              <w:t xml:space="preserve">marginal</w:t>
            </w:r>
            <w:r>
              <w:t xml:space="preserve"> </w:t>
            </w:r>
            <w:r>
              <w:t xml:space="preserve">policy-option costs (Option 1 / Option 2 / MVP). Salary anchors come from the DPSA scales (L10–11), NHLS Patterson grades (D/E), DoH OSD scales (MO, pharmacy), NICD recruitment notices and SITA contracting benchmarks; system anchors come from NHLS State Tender RT-262, AWS af-south-1 pricing, Clickatell/BulkSMS SA, and the NICD ICT budget — full citations are in each row’s</w:t>
            </w:r>
            <w:r>
              <w:t xml:space="preserve"> </w:t>
            </w:r>
            <w:r>
              <w:rPr>
                <w:rStyle w:val="VerbatimChar"/>
              </w:rPr>
              <w:t xml:space="preserve">source</w:t>
            </w:r>
            <w:r>
              <w:t xml:space="preserve"> </w:t>
            </w:r>
            <w:r>
              <w:t xml:space="preserve">column.</w:t>
            </w:r>
          </w:p>
          <w:p/>
        </w:tc>
      </w:tr>
    </w:tbl>
    <w:p>
      <w:pPr>
        <w:pStyle w:val="Heading3"/>
      </w:pPr>
      <w:r>
        <w:t xml:space="preserve">1. Personnel</w:t>
      </w:r>
    </w:p>
    <w:p>
      <w:pPr>
        <w:pStyle w:val="FirstParagraph"/>
      </w:pPr>
      <w:r>
        <w:t xml:space="preserve">Annual cost-to-employer × FTE share attributable to pesticide surveillance, by stream.</w:t>
      </w:r>
    </w:p>
    <w:tbl>
      <w:tblPr>
        <w:tblStyle w:val="Table"/>
        <w:tblW w:type="pct" w:w="5000"/>
        <w:tblLayout w:type="fixed"/>
        <w:tblLook w:firstRow="0" w:lastRow="0" w:firstColumn="0" w:lastColumn="0" w:noHBand="0" w:noVBand="0" w:val="0000"/>
      </w:tblPr>
      <w:tblGrid>
        <w:gridCol w:w="7920"/>
      </w:tblGrid>
      <w:tr>
        <w:tc>
          <w:tcPr/>
          <w:bookmarkStart w:id="81" w:name="tbl-cost-personnel"/>
          <w:p>
            <w:pPr>
              <w:jc w:val="center"/>
            </w:pPr>
            <w:pPr>
              <w:jc w:val="left"/>
              <w:spacing w:before="200"/>
              <w:pStyle w:val="ImageCaption"/>
            </w:pPr>
            <w:r>
              <w:t xml:space="preserve">Table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Annual CTE (R)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FTE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Allocated cost (R/yr)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Rationale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Source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Cross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NICD data engineer (notification feeds)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Maintains NHLS-&gt;NMC IT feed (now operational) and BChE auto-notify rules.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SITA / state IT contracting 2024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NICD biostatistician (signal detection)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Spatial-temporal monitoring of pesticide signals across streams.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DPSA L11-12 scale 2024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NMC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NICD epidemiologist (analyst)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FTE reviewing/cleaning the ~12k annual NMC notifications; pesticide is ~1% of intake.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DPSA L10-11 scale 2024 + NICD recruitment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Provincial communicable-disease coord.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Triage of pesticide-flagged notifications across 9 provinces (cumulative 0.05 FTE).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DoH provincial OSD scale 2024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Clinician notification time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min/notification x ~1,013 notifications/yr ~ 169 hr ~ 1.8% of one MO's year.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DoH MO Grade 1-3 OSD 2024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PIH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Poisons information specialist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624,000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is ~80% of PIH call volume (12000 of ~16000 clinician-initiated calls).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DoH pharmacy OSD 2024; PIH 2023 report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PIH clinical toxicologist (oversight)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Senior medical review of complex pesticide consults.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Stellenbosch FoMHS appointment letters</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 personnel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993,500</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bl>
          <w:bookmarkEnd w:id="81"/>
        </w:tc>
      </w:tr>
    </w:tbl>
    <w:p>
      <w:pPr>
        <w:pStyle w:val="Heading3"/>
      </w:pPr>
      <w:r>
        <w:t xml:space="preserve">2. System</w:t>
      </w:r>
    </w:p>
    <w:p>
      <w:pPr>
        <w:pStyle w:val="FirstParagraph"/>
      </w:pPr>
      <w:r>
        <w:t xml:space="preserve">Infrastructure, hosting, SMS, reagents and licences — unit cost × annual volume, then allocated to the pesticide share of stream activity where applicable.</w:t>
      </w:r>
    </w:p>
    <w:tbl>
      <w:tblPr>
        <w:tblStyle w:val="Table"/>
        <w:tblW w:type="pct" w:w="5000"/>
        <w:tblLayout w:type="fixed"/>
        <w:tblLook w:firstRow="0" w:lastRow="0" w:firstColumn="0" w:lastColumn="0" w:noHBand="0" w:noVBand="0" w:val="0000"/>
      </w:tblPr>
      <w:tblGrid>
        <w:gridCol w:w="7920"/>
      </w:tblGrid>
      <w:tr>
        <w:tc>
          <w:tcPr/>
          <w:bookmarkStart w:id="82" w:name="tbl-cost-system"/>
          <w:p>
            <w:pPr>
              <w:jc w:val="center"/>
            </w:pPr>
            <w:pPr>
              <w:jc w:val="left"/>
              <w:spacing w:before="200"/>
              <w:pStyle w:val="ImageCaption"/>
            </w:pPr>
            <w:r>
              <w:t xml:space="preserve">Table 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Unit cost (R)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Units/yr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Raw cost (R/yr)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Pesticide share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Allocated cost (R/yr)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Rationale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Source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8"/>
                </w:tcPr>
                <w:p>
                  <w:pPr>
                    <w:spacing w:before="0" w:after="60"/>
                    <w:keepNext/>
                  </w:pPr>
                  <w:r>
                    <w:rPr>
                      <w:rFonts w:ascii="Calibri" w:hAnsi="Calibri"/>
                      <w:sz w:val="20"/>
                    </w:rPr>
                    <w:t xml:space="default">BChE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Butyrylcholinesterase reagent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958,678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958,678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Per-assay reagent (NHLS State Tender RT-262 unit price).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NHLS State Tender RT-262 (2023)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Sample courier / cold chain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265,650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Per-specimen transport across NHLS network.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NHLS logistics tariff 2024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LIS rule engine middleware (HL7 router)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Mirth Connect hosting + maintenance.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NHLS LIS team estimate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8"/>
                </w:tcPr>
                <w:p>
                  <w:pPr>
                    <w:spacing w:before="0" w:after="60"/>
                    <w:keepNext/>
                  </w:pPr>
                  <w:r>
                    <w:rPr>
                      <w:rFonts w:ascii="Calibri" w:hAnsi="Calibri"/>
                      <w:sz w:val="20"/>
                    </w:rPr>
                    <w:t xml:space="default">Cross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Data warehouse / ETL (NICD)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Snowflake / Azure Synapse share for cross-stream linkage.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NICD data platform budget 2024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8"/>
                </w:tcPr>
                <w:p>
                  <w:pPr>
                    <w:spacing w:before="0" w:after="60"/>
                    <w:keepNext/>
                  </w:pPr>
                  <w:r>
                    <w:rPr>
                      <w:rFonts w:ascii="Calibri" w:hAnsi="Calibri"/>
                      <w:sz w:val="20"/>
                    </w:rPr>
                    <w:t xml:space="default">NMC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Dashboard hosting (Power BI Premium share)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pages on national NMC dashboard (estimate).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Microsoft ZA enterprise agreement 2024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Outbound SMS to EHPs (notification alerts)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poisoning case *10 SMSs = 1000/year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Clickatell / BulkSMS ZA 2024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NMC platform hosting + maintenance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Annual platform OPEX (NICD ICT budget line, pesticide share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NICD ICT budget 2024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8"/>
                </w:tcPr>
                <w:p>
                  <w:pPr>
                    <w:spacing w:before="0" w:after="60"/>
                    <w:keepNext/>
                  </w:pPr>
                  <w:r>
                    <w:rPr>
                      <w:rFonts w:ascii="Calibri" w:hAnsi="Calibri"/>
                      <w:sz w:val="20"/>
                    </w:rPr>
                    <w:t xml:space="default">PIH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AfriTox database licence (annual)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Poison agent reference database; pesticide is ~15% of queries.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PIH AfriTox renewal invoice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Dashboard hosting (Tygerberg cloud VM)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AWS af-south-1 small VM + storage + backup.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AWS af-south-1 pricing 2024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Telephony (toll-free 0861-555-777)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Toll-free line annual cost (pesticide share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Telkom toll-free annual 2024</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 system (pesticide-allocated)</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1,839,706</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bl>
          <w:bookmarkEnd w:id="82"/>
        </w:tc>
      </w:tr>
    </w:tbl>
    <w:p>
      <w:pPr>
        <w:pStyle w:val="Heading3"/>
      </w:pPr>
      <w:r>
        <w:t xml:space="preserve">3. Allocation factors</w:t>
      </w:r>
    </w:p>
    <w:p>
      <w:pPr>
        <w:pStyle w:val="FirstParagraph"/>
      </w:pPr>
      <w:r>
        <w:t xml:space="preserve">Why these proportions matter: platform-level OPEX (NMC hosting, PIH telephony, AfriTox licence) covers</w:t>
      </w:r>
      <w:r>
        <w:t xml:space="preserve"> </w:t>
      </w:r>
      <w:r>
        <w:rPr>
          <w:i/>
          <w:iCs/>
        </w:rPr>
        <w:t xml:space="preserve">all</w:t>
      </w:r>
      <w:r>
        <w:t xml:space="preserve"> </w:t>
      </w:r>
      <w:r>
        <w:t xml:space="preserve">notifiable / call activity, of which pesticide poisoning is only a slice. The denominator drives the allocated cost.</w:t>
      </w:r>
    </w:p>
    <w:tbl>
      <w:tblPr>
        <w:tblStyle w:val="Table"/>
        <w:tblW w:type="pct" w:w="5000"/>
        <w:tblLayout w:type="fixed"/>
        <w:tblLook w:firstRow="0" w:lastRow="0" w:firstColumn="0" w:lastColumn="0" w:noHBand="0" w:noVBand="0" w:val="0000"/>
      </w:tblPr>
      <w:tblGrid>
        <w:gridCol w:w="7920"/>
      </w:tblGrid>
      <w:tr>
        <w:tc>
          <w:tcPr/>
          <w:bookmarkStart w:id="83" w:name="tbl-cost-allocation"/>
          <w:p>
            <w:pPr>
              <w:jc w:val="center"/>
            </w:pPr>
            <w:pPr>
              <w:jc w:val="left"/>
              <w:spacing w:before="200"/>
              <w:pStyle w:val="ImageCaption"/>
            </w:pPr>
            <w:r>
              <w:t xml:space="preserve">Table 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Pesticide (n/yr)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 (n/yr)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Share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Rationale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Source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NMC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Notifications: pesticide / all notifiable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pesticide notifications/month vs ~10,000/month all notifiable conditions.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NICD NMC Annual Report 2023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PIH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Calls: pesticide / clinician-initiated 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is ~15% of PIH clinician-initiated call volume.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PIH Annual Report 2023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BChE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BChE tests: pesticide-suspected / all BChE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BChE testing is essentially pesticide-specific; allocation ~100%.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NHLS LIS 2023</w:t>
                  </w:r>
                </w:p>
              </w:tc>
            </w:tr>
          </w:tbl>
          <w:bookmarkEnd w:id="83"/>
        </w:tc>
      </w:tr>
    </w:tbl>
    <w:p>
      <w:pPr>
        <w:pStyle w:val="Heading3"/>
      </w:pPr>
      <w:r>
        <w:t xml:space="preserve">4. Status-quo total</w:t>
      </w:r>
    </w:p>
    <w:p>
      <w:pPr>
        <w:pStyle w:val="FirstParagraph"/>
      </w:pPr>
      <w:r>
        <w:t xml:space="preserve">Status-quo annual cost of running pesticide-poisoning surveillance across the three streams, summed from the personnel and system sheets.</w:t>
      </w:r>
    </w:p>
    <w:tbl>
      <w:tblPr>
        <w:tblStyle w:val="Table"/>
        <w:tblW w:type="pct" w:w="5000"/>
        <w:tblLayout w:type="fixed"/>
        <w:tblLook w:firstRow="0" w:lastRow="0" w:firstColumn="0" w:lastColumn="0" w:noHBand="0" w:noVBand="0" w:val="0000"/>
      </w:tblPr>
      <w:tblGrid>
        <w:gridCol w:w="7920"/>
      </w:tblGrid>
      <w:tr>
        <w:tc>
          <w:tcPr/>
          <w:bookmarkStart w:id="84" w:name="tbl-cost-total"/>
          <w:p>
            <w:pPr>
              <w:jc w:val="center"/>
            </w:pPr>
            <w:pPr>
              <w:jc w:val="left"/>
              <w:spacing w:before="200"/>
              <w:pStyle w:val="ImageCaption"/>
            </w:pPr>
            <w:r>
              <w:t xml:space="preserve">Table 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Personnel (R/yr)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System (R/yr)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Total (R/yr)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BChE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1,404,328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1,404,328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689,000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861,866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NMC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209,512</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Status-quo 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993,500</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1,839,706</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2,833,206</w:t>
                  </w:r>
                </w:p>
              </w:tc>
            </w:tr>
          </w:tbl>
          <w:bookmarkEnd w:id="84"/>
        </w:tc>
      </w:tr>
    </w:tbl>
    <w:p>
      <w:pPr>
        <w:pStyle w:val="Heading3"/>
      </w:pPr>
      <w:r>
        <w:t xml:space="preserve">5. Marginal cost of policy options</w:t>
      </w:r>
    </w:p>
    <w:p>
      <w:pPr>
        <w:pStyle w:val="FirstParagraph"/>
      </w:pPr>
      <w:r>
        <w:t xml:space="preserve">For comparison: the</w:t>
      </w:r>
      <w:r>
        <w:t xml:space="preserve"> </w:t>
      </w:r>
      <w:r>
        <w:rPr>
          <w:b/>
          <w:bCs/>
        </w:rPr>
        <w:t xml:space="preserve">additional</w:t>
      </w:r>
      <w:r>
        <w:t xml:space="preserve"> </w:t>
      </w:r>
      <w:r>
        <w:t xml:space="preserve">annual operating cost of each surveillance investment, pulled directly from</w:t>
      </w:r>
      <w:r>
        <w:t xml:space="preserve"> </w:t>
      </w:r>
      <w:hyperlink r:id="rId14">
        <w:r>
          <w:rPr>
            <w:rStyle w:val="VerbatimChar"/>
          </w:rPr>
          <w:t xml:space="preserve">amua_import_parameters_v4.csv</w:t>
        </w:r>
      </w:hyperlink>
      <w:r>
        <w:t xml:space="preserve"> </w:t>
      </w:r>
      <w:r>
        <w:t xml:space="preserve">(these are the same numbers driving the decision tree in §6).</w:t>
      </w:r>
    </w:p>
    <w:tbl>
      <w:tblPr>
        <w:tblStyle w:val="Table"/>
        <w:tblW w:type="pct" w:w="5000"/>
        <w:tblLayout w:type="fixed"/>
        <w:tblLook w:firstRow="0" w:lastRow="0" w:firstColumn="0" w:lastColumn="0" w:noHBand="0" w:noVBand="0" w:val="0000"/>
      </w:tblPr>
      <w:tblGrid>
        <w:gridCol w:w="7920"/>
      </w:tblGrid>
      <w:tr>
        <w:tc>
          <w:tcPr/>
          <w:bookmarkStart w:id="85" w:name="tbl-cost-marginal"/>
          <w:p>
            <w:pPr>
              <w:jc w:val="center"/>
            </w:pPr>
            <w:pPr>
              <w:jc w:val="left"/>
              <w:spacing w:before="200"/>
              <w:pStyle w:val="ImageCaption"/>
            </w:pPr>
            <w:r>
              <w:t xml:space="preserve">Table 5</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Setup (R, one-off)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Operating (R/yr)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CSV: setup</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CSV: operating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Option 2 — PIH dashboard + MVD (+ AfriTox harmonisation)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c_S1_PIH_MVD_setup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c_S1_PIH_MVD_op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Option 1 — BChE auto-notification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c_S2_BChE_autonotify_setup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c_S2_BChE_autonotify_op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Surveillance MVP (Option 1 + Option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c_surv_MVP_setup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c_surv_MVP_op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 — NHLS-NMC IT feed (now operational)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c_S0_NHLS_NMC_feed_setup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c_S0_NHLS_NMC_feed_op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Option 3 — community layer (sensitivity, lo)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c_S1b_setup_lo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c_S1b_op_lo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Option 3 — community layer (sensitivity, mid)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c_S1b_setup_mid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c_S1b_op_mid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Option 3 — community layer (sensitivity, 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c_S1b_setup_hi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c_S1b_op_hi</w:t>
                  </w:r>
                </w:p>
              </w:tc>
            </w:tr>
          </w:tbl>
          <w:bookmarkEnd w:id="85"/>
        </w:tc>
      </w:tr>
    </w:tbl>
    <w:p>
      <w:pPr>
        <w:pStyle w:val="BodyText"/>
      </w:pPr>
      <w:r>
        <w:rPr>
          <w:b/>
          <w:bCs/>
        </w:rPr>
        <w:t xml:space="preserve">Headline read.</w:t>
      </w:r>
      <w:r>
        <w:t xml:space="preserve"> </w:t>
      </w:r>
      <w:r>
        <w:t xml:space="preserve">The status-quo surveillance system already costs roughly</w:t>
      </w:r>
      <w:r>
        <w:t xml:space="preserve"> </w:t>
      </w:r>
      <w:r>
        <w:rPr>
          <w:b/>
          <w:bCs/>
        </w:rPr>
        <w:t xml:space="preserve">R2,833,206/yr</w:t>
      </w:r>
      <w:r>
        <w:t xml:space="preserve"> </w:t>
      </w:r>
      <w:r>
        <w:t xml:space="preserve">in personnel + pesticide-allocated system spend across NMC, PIH, and NHLS BChE — borne almost entirely by NDoH, NHLS, and Stellenbosch FoMHS rather than appearing as a line item. Against that base, the</w:t>
      </w:r>
      <w:r>
        <w:t xml:space="preserve"> </w:t>
      </w:r>
      <w:r>
        <w:rPr>
          <w:b/>
          <w:bCs/>
        </w:rPr>
        <w:t xml:space="preserve">Surveillance MVP (Option 1 + Option 2) adds only R137,000/yr</w:t>
      </w:r>
      <w:r>
        <w:t xml:space="preserve"> </w:t>
      </w:r>
      <w:r>
        <w:t xml:space="preserve">— a</w:t>
      </w:r>
      <w:r>
        <w:t xml:space="preserve"> </w:t>
      </w:r>
      <w:r>
        <w:rPr>
          <w:b/>
          <w:bCs/>
        </w:rPr>
        <w:t xml:space="preserve">4.8% uplift on current spend</w:t>
      </w:r>
      <w:r>
        <w:t xml:space="preserve"> </w:t>
      </w:r>
      <w:r>
        <w:t xml:space="preserve">for a</w:t>
      </w:r>
      <w:r>
        <w:t xml:space="preserve"> </w:t>
      </w:r>
      <w:r>
        <w:rPr>
          <w:b/>
          <w:bCs/>
        </w:rPr>
        <w:t xml:space="preserve">+36.2 pp</w:t>
      </w:r>
      <w:r>
        <w:t xml:space="preserve"> </w:t>
      </w:r>
      <w:r>
        <w:t xml:space="preserve">jump in P_detect.</w:t>
      </w:r>
    </w:p>
    <w:bookmarkEnd w:id="86"/>
    <w:bookmarkStart w:id="87" w:name="implementation-considerations"/>
    <w:p>
      <w:pPr>
        <w:pStyle w:val="Heading2"/>
      </w:pPr>
      <w:r>
        <w:t xml:space="preserve">8. Implementation considerations</w:t>
      </w:r>
    </w:p>
    <w:tbl>
      <w:tblPr>
        <w:tblStyle w:val="Table"/>
        <w:tblW w:type="pct" w:w="5000"/>
        <w:tblLayout w:type="fixed"/>
        <w:tblLook w:firstRow="1" w:lastRow="0" w:firstColumn="0" w:lastColumn="0" w:noHBand="0" w:noVBand="0" w:val="0020"/>
      </w:tblPr>
      <w:tblGrid>
        <w:gridCol w:w="1675"/>
        <w:gridCol w:w="1980"/>
        <w:gridCol w:w="1980"/>
        <w:gridCol w:w="2284"/>
      </w:tblGrid>
      <w:tr>
        <w:trPr>
          <w:tblHeader w:val="on"/>
        </w:trPr>
        <w:tc>
          <w:tcPr/>
          <w:p>
            <w:pPr>
              <w:pStyle w:val="Compact"/>
              <w:jc w:val="left"/>
            </w:pPr>
            <w:r>
              <w:t xml:space="preserve">Component</w:t>
            </w:r>
          </w:p>
        </w:tc>
        <w:tc>
          <w:tcPr/>
          <w:p>
            <w:pPr>
              <w:pStyle w:val="Compact"/>
              <w:jc w:val="left"/>
            </w:pPr>
            <w:r>
              <w:t xml:space="preserve">Lead agency</w:t>
            </w:r>
          </w:p>
        </w:tc>
        <w:tc>
          <w:tcPr/>
          <w:p>
            <w:pPr>
              <w:pStyle w:val="Compact"/>
              <w:jc w:val="right"/>
            </w:pPr>
            <w:r>
              <w:t xml:space="preserve">Year-1 cost</w:t>
            </w:r>
          </w:p>
        </w:tc>
        <w:tc>
          <w:tcPr/>
          <w:p>
            <w:pPr>
              <w:pStyle w:val="Compact"/>
              <w:jc w:val="left"/>
            </w:pPr>
            <w:r>
              <w:t xml:space="preserve">Critical path</w:t>
            </w:r>
          </w:p>
        </w:tc>
      </w:tr>
      <w:tr>
        <w:tc>
          <w:tcPr/>
          <w:p>
            <w:pPr>
              <w:pStyle w:val="Compact"/>
              <w:jc w:val="left"/>
            </w:pPr>
            <w:r>
              <w:t xml:space="preserve">Option 2 — PIH dashboard</w:t>
            </w:r>
          </w:p>
        </w:tc>
        <w:tc>
          <w:tcPr/>
          <w:p>
            <w:pPr>
              <w:pStyle w:val="Compact"/>
              <w:jc w:val="left"/>
            </w:pPr>
            <w:r>
              <w:t xml:space="preserve">PIH (Tygerberg) + NICD</w:t>
            </w:r>
          </w:p>
        </w:tc>
        <w:tc>
          <w:tcPr/>
          <w:p>
            <w:pPr>
              <w:pStyle w:val="Compact"/>
              <w:jc w:val="right"/>
            </w:pPr>
            <w:r>
              <w:t xml:space="preserve">82,000</w:t>
            </w:r>
          </w:p>
        </w:tc>
        <w:tc>
          <w:tcPr/>
          <w:p>
            <w:pPr>
              <w:pStyle w:val="Compact"/>
              <w:jc w:val="left"/>
            </w:pPr>
            <w:r>
              <w:t xml:space="preserve">Daily extract + hosting; MVD workshop</w:t>
            </w:r>
          </w:p>
        </w:tc>
      </w:tr>
      <w:tr>
        <w:tc>
          <w:tcPr/>
          <w:p>
            <w:pPr>
              <w:pStyle w:val="Compact"/>
              <w:jc w:val="left"/>
            </w:pPr>
            <w:r>
              <w:t xml:space="preserve">Option 1 — BChE auto-notify</w:t>
            </w:r>
          </w:p>
        </w:tc>
        <w:tc>
          <w:tcPr/>
          <w:p>
            <w:pPr>
              <w:pStyle w:val="Compact"/>
              <w:jc w:val="left"/>
            </w:pPr>
            <w:r>
              <w:t xml:space="preserve">NHLS LIS team</w:t>
            </w:r>
          </w:p>
        </w:tc>
        <w:tc>
          <w:tcPr/>
          <w:p>
            <w:pPr>
              <w:pStyle w:val="Compact"/>
              <w:jc w:val="right"/>
            </w:pPr>
            <w:r>
              <w:t xml:space="preserve">55,000</w:t>
            </w:r>
          </w:p>
        </w:tc>
        <w:tc>
          <w:tcPr/>
          <w:p>
            <w:pPr>
              <w:pStyle w:val="Compact"/>
              <w:jc w:val="left"/>
            </w:pPr>
            <w:r>
              <w:t xml:space="preserve">LIS rule configuration; QA review</w:t>
            </w:r>
          </w:p>
        </w:tc>
      </w:tr>
      <w:tr>
        <w:tc>
          <w:tcPr/>
          <w:p>
            <w:pPr>
              <w:pStyle w:val="Compact"/>
              <w:jc w:val="left"/>
            </w:pPr>
            <w:r>
              <w:t xml:space="preserve">Option 5 — Sentinel toxicology</w:t>
            </w:r>
          </w:p>
        </w:tc>
        <w:tc>
          <w:tcPr/>
          <w:p>
            <w:pPr>
              <w:pStyle w:val="Compact"/>
              <w:jc w:val="left"/>
            </w:pPr>
            <w:r>
              <w:t xml:space="preserve">NHLS clinical chemistry + sentinel hospital</w:t>
            </w:r>
          </w:p>
        </w:tc>
        <w:tc>
          <w:tcPr/>
          <w:p>
            <w:pPr>
              <w:pStyle w:val="Compact"/>
              <w:jc w:val="right"/>
            </w:pPr>
            <w:r>
              <w:t xml:space="preserve">R1,200,000 pilot</w:t>
            </w:r>
          </w:p>
        </w:tc>
        <w:tc>
          <w:tcPr/>
          <w:p>
            <w:pPr>
              <w:pStyle w:val="Compact"/>
              <w:jc w:val="left"/>
            </w:pPr>
            <w:r>
              <w:t xml:space="preserve">Lab method validation; sample logistics</w:t>
            </w:r>
          </w:p>
        </w:tc>
      </w:tr>
      <w:tr>
        <w:tc>
          <w:tcPr/>
          <w:p>
            <w:pPr>
              <w:pStyle w:val="Compact"/>
              <w:jc w:val="left"/>
            </w:pPr>
            <w:r>
              <w:t xml:space="preserve">Option 3 — Community layer (Phase 2)</w:t>
            </w:r>
            <w:r>
              <w:t xml:space="preserve"> </w:t>
            </w:r>
            <w:r>
              <w:rPr>
                <w:i/>
                <w:iCs/>
              </w:rPr>
              <w:t xml:space="preserve">(pilot: FS + Gauteng; commission after Month 6 MVP review)</w:t>
            </w:r>
          </w:p>
        </w:tc>
        <w:tc>
          <w:tcPr/>
          <w:p>
            <w:pPr>
              <w:pStyle w:val="Compact"/>
              <w:jc w:val="left"/>
            </w:pPr>
            <w:r>
              <w:t xml:space="preserve">NICD + provincial DoH EHPs</w:t>
            </w:r>
          </w:p>
        </w:tc>
        <w:tc>
          <w:tcPr/>
          <w:p>
            <w:pPr>
              <w:pStyle w:val="Compact"/>
              <w:jc w:val="right"/>
            </w:pPr>
            <w:r>
              <w:t xml:space="preserve">Pilot: R1M setup + R0.8M/yr; national: R3.5M setup + R2.5M/yr</w:t>
            </w:r>
          </w:p>
        </w:tc>
        <w:tc>
          <w:tcPr/>
          <w:p>
            <w:pPr>
              <w:pStyle w:val="Compact"/>
              <w:jc w:val="left"/>
            </w:pPr>
            <w:r>
              <w:t xml:space="preserve">CHW two-tier triage training, mobile checklist app, EHP call-back protocol, QA pipeline</w:t>
            </w:r>
          </w:p>
        </w:tc>
      </w:tr>
    </w:tbl>
    <w:p>
      <w:pPr>
        <w:pStyle w:val="BodyText"/>
      </w:pPr>
      <w:r>
        <w:rPr>
          <w:b/>
          <w:bCs/>
        </w:rPr>
        <w:t xml:space="preserve">Privacy &amp; legal.</w:t>
      </w:r>
      <w:r>
        <w:t xml:space="preserve"> </w:t>
      </w:r>
      <w:r>
        <w:t xml:space="preserve">The PIH-to-NMC MVD feed transmits personal health information (age-band, sex, geography, clinical data) and must use a</w:t>
      </w:r>
      <w:r>
        <w:t xml:space="preserve"> </w:t>
      </w:r>
      <w:r>
        <w:rPr>
          <w:b/>
          <w:bCs/>
        </w:rPr>
        <w:t xml:space="preserve">secure, authenticated HTTPS/TLS API</w:t>
      </w:r>
      <w:r>
        <w:t xml:space="preserve"> </w:t>
      </w:r>
      <w:r>
        <w:t xml:space="preserve">— no plaintext or email transmission. De-identification before transmission is mandatory (age-band not exact age; province/district not street address; no name or phone number; see Appendix A2). The NHLS BChE auto-notify feed transmits result-level data with patient identifiers to NMC, consistent with the existing NMC notification pathway, and must use the same secure HL7-over-TLS channel. Both flows are POPIA-compliant under existing Section 90 NHA authority.</w:t>
      </w:r>
      <w:r>
        <w:t xml:space="preserve"> </w:t>
      </w:r>
      <w:r>
        <w:rPr>
          <w:b/>
          <w:bCs/>
        </w:rPr>
        <w:t xml:space="preserve">No new legislation required.</w:t>
      </w:r>
    </w:p>
    <w:p>
      <w:pPr>
        <w:pStyle w:val="BodyText"/>
      </w:pPr>
      <w:r>
        <w:rPr>
          <w:b/>
          <w:bCs/>
        </w:rPr>
        <w:t xml:space="preserve">Risks.</w:t>
      </w:r>
      <w:r>
        <w:t xml:space="preserve"> </w:t>
      </w:r>
      <w:r>
        <w:t xml:space="preserve">(i) Low BChE testing uptake by clinicians — Option 1 fires only on tests ordered. (ii) Data-quality drift if facility metadata is incomplete. (iii) Capacity bottleneck at provincial response level — the</w:t>
      </w:r>
      <w:r>
        <w:t xml:space="preserve"> </w:t>
      </w:r>
      <w:hyperlink r:id="rId9">
        <w:r>
          <w:rPr>
            <w:rStyle w:val="Hyperlink"/>
          </w:rPr>
          <w:t xml:space="preserve">Coordination brief</w:t>
        </w:r>
      </w:hyperlink>
      <w:r>
        <w:t xml:space="preserve"> </w:t>
      </w:r>
      <w:r>
        <w:t xml:space="preserve">addresses this.</w:t>
      </w:r>
    </w:p>
    <w:bookmarkEnd w:id="87"/>
    <w:bookmarkStart w:id="91" w:name="recommended-next-step"/>
    <w:p>
      <w:pPr>
        <w:pStyle w:val="Heading2"/>
      </w:pPr>
      <w:r>
        <w:t xml:space="preserve">9. Recommended next step</w:t>
      </w:r>
    </w:p>
    <w:p>
      <w:pPr>
        <w:pStyle w:val="FirstParagraph"/>
      </w:pPr>
      <w:r>
        <w:rPr>
          <w:b/>
          <w:bCs/>
        </w:rPr>
        <w:t xml:space="preserve">Adopt the Surveillance MVP (Option 1 + Option 2) and pilot in 3 provinces (Gauteng, Western Cape, KZN) for 6 months.</w:t>
      </w:r>
      <w:r>
        <w:t xml:space="preserve"> </w:t>
      </w:r>
      <w:r>
        <w:t xml:space="preserve">Approximate pilot budget:</w:t>
      </w:r>
      <w:r>
        <w:t xml:space="preserve"> </w:t>
      </w:r>
      <w:r>
        <w:rPr>
          <w:b/>
          <w:bCs/>
        </w:rPr>
        <w:t xml:space="preserve">~R137,000 operating</w:t>
      </w:r>
      <w:r>
        <w:t xml:space="preserve"> </w:t>
      </w:r>
      <w:r>
        <w:t xml:space="preserve">(NHLS–NMC IT feed is now operational). Lead agency: NICD as national coordinator.</w:t>
      </w:r>
    </w:p>
    <w:p>
      <w:pPr>
        <w:pStyle w:val="Compact"/>
        <w:numPr>
          <w:ilvl w:val="0"/>
          <w:numId w:val="1010"/>
        </w:numPr>
      </w:pPr>
      <w:r>
        <w:rPr>
          <w:b/>
          <w:bCs/>
        </w:rPr>
        <w:t xml:space="preserve">Weeks 1–2:</w:t>
      </w:r>
      <w:r>
        <w:t xml:space="preserve"> </w:t>
      </w:r>
      <w:r>
        <w:t xml:space="preserve">Option 2 PIH dashboard live; Option 1 BChE LIS configuration begins.</w:t>
      </w:r>
    </w:p>
    <w:p>
      <w:pPr>
        <w:pStyle w:val="Compact"/>
        <w:numPr>
          <w:ilvl w:val="0"/>
          <w:numId w:val="1010"/>
        </w:numPr>
      </w:pPr>
      <w:r>
        <w:rPr>
          <w:b/>
          <w:bCs/>
        </w:rPr>
        <w:t xml:space="preserve">Months 1–3:</w:t>
      </w:r>
      <w:r>
        <w:t xml:space="preserve"> </w:t>
      </w:r>
      <w:r>
        <w:t xml:space="preserve">Option 2 MVD workshop with PIH finalised; Option 1 BChE auto-notify QA review completed.</w:t>
      </w:r>
    </w:p>
    <w:p>
      <w:pPr>
        <w:pStyle w:val="Compact"/>
        <w:numPr>
          <w:ilvl w:val="0"/>
          <w:numId w:val="1010"/>
        </w:numPr>
      </w:pPr>
      <w:r>
        <w:rPr>
          <w:b/>
          <w:bCs/>
        </w:rPr>
        <w:t xml:space="preserve">Month 6:</w:t>
      </w:r>
      <w:r>
        <w:t xml:space="preserve"> </w:t>
      </w:r>
      <w:r>
        <w:t xml:space="preserve">Evaluate against (a) completeness of NHLS severe results in NMC and (b) signal-to-investigation latency.</w:t>
      </w:r>
    </w:p>
    <w:p>
      <w:pPr>
        <w:pStyle w:val="Compact"/>
        <w:numPr>
          <w:ilvl w:val="0"/>
          <w:numId w:val="1010"/>
        </w:numPr>
      </w:pPr>
      <w:r>
        <w:rPr>
          <w:b/>
          <w:bCs/>
        </w:rPr>
        <w:t xml:space="preserve">Month 9:</w:t>
      </w:r>
      <w:r>
        <w:t xml:space="preserve"> </w:t>
      </w:r>
      <w:r>
        <w:t xml:space="preserve">Add Option 5 sentinel toxicology site, funded from a separate research-surveillance stream.</w:t>
      </w:r>
    </w:p>
    <w:p>
      <w:pPr>
        <w:pStyle w:val="Compact"/>
        <w:numPr>
          <w:ilvl w:val="0"/>
          <w:numId w:val="1010"/>
        </w:numPr>
      </w:pPr>
      <w:r>
        <w:rPr>
          <w:b/>
          <w:bCs/>
        </w:rPr>
        <w:t xml:space="preserve">Month 12:</w:t>
      </w:r>
      <w:r>
        <w:t xml:space="preserve"> </w:t>
      </w:r>
      <w:r>
        <w:t xml:space="preserve">Review MVP geographic distribution. If ≥40% of severe cases originate in low-facility-access districts, commission the Option 3 Phase 2 pilot (Free State + Gauteng; ~R1M setup + R0.8M/yr operating).</w:t>
      </w:r>
    </w:p>
    <w:p>
      <w:pPr>
        <w:pStyle w:val="FirstParagraph"/>
      </w:pPr>
      <w:r>
        <w:t xml:space="preserve">The coordination side — how NICD, EHPs, DALRRD, and provincial response teams act on the improved signal — is in the</w:t>
      </w:r>
      <w:r>
        <w:t xml:space="preserve"> </w:t>
      </w:r>
      <w:hyperlink r:id="rId9">
        <w:r>
          <w:rPr>
            <w:rStyle w:val="Hyperlink"/>
          </w:rPr>
          <w:t xml:space="preserve">Coordination brief</w:t>
        </w:r>
      </w:hyperlink>
      <w:r>
        <w:t xml:space="preserve">. The product-specific regulatory action Option 5 makes possible is in the</w:t>
      </w:r>
      <w:r>
        <w:t xml:space="preserve"> </w:t>
      </w:r>
      <w:hyperlink r:id="rId10">
        <w:r>
          <w:rPr>
            <w:rStyle w:val="Hyperlink"/>
          </w:rPr>
          <w:t xml:space="preserve">Terbufos brief</w:t>
        </w:r>
      </w:hyperlink>
      <w:r>
        <w:t xml:space="preserve">.</w:t>
      </w:r>
    </w:p>
    <w:p>
      <w:r>
        <w:pict>
          <v:rect style="width:0;height:1.5pt" o:hralign="center" o:hrstd="t" o:hr="t"/>
        </w:pict>
      </w:r>
    </w:p>
    <w:p>
      <w:pPr>
        <w:pStyle w:val="FirstParagraph"/>
      </w:pPr>
      <w:r>
        <w:rPr>
          <w:b/>
          <w:bCs/>
        </w:rPr>
        <w:t xml:space="preserve">Companion briefs:</w:t>
      </w:r>
      <w:r>
        <w:t xml:space="preserve"> </w:t>
      </w:r>
      <w:hyperlink r:id="rId9">
        <w:r>
          <w:rPr>
            <w:rStyle w:val="Hyperlink"/>
          </w:rPr>
          <w:t xml:space="preserve">Coordination</w:t>
        </w:r>
      </w:hyperlink>
      <w:r>
        <w:t xml:space="preserve"> </w:t>
      </w:r>
      <w:r>
        <w:t xml:space="preserve">·</w:t>
      </w:r>
      <w:r>
        <w:t xml:space="preserve"> </w:t>
      </w:r>
      <w:hyperlink r:id="rId10">
        <w:r>
          <w:rPr>
            <w:rStyle w:val="Hyperlink"/>
          </w:rPr>
          <w:t xml:space="preserve">Terbufos restriction</w:t>
        </w:r>
      </w:hyperlink>
      <w:r>
        <w:t xml:space="preserve"> </w:t>
      </w:r>
      <w:r>
        <w:t xml:space="preserve">·</w:t>
      </w:r>
      <w:r>
        <w:t xml:space="preserve"> </w:t>
      </w:r>
      <w:hyperlink r:id="rId88">
        <w:r>
          <w:rPr>
            <w:rStyle w:val="Hyperlink"/>
          </w:rPr>
          <w:t xml:space="preserve">Decision Model</w:t>
        </w:r>
      </w:hyperlink>
      <w:r>
        <w:t xml:space="preserve"> </w:t>
      </w:r>
      <w:r>
        <w:t xml:space="preserve">·</w:t>
      </w:r>
      <w:r>
        <w:t xml:space="preserve"> </w:t>
      </w:r>
      <w:hyperlink r:id="rId89">
        <w:r>
          <w:rPr>
            <w:rStyle w:val="Hyperlink"/>
          </w:rPr>
          <w:t xml:space="preserve">Costing Analysis</w:t>
        </w:r>
      </w:hyperlink>
    </w:p>
    <w:p>
      <w:pPr>
        <w:pStyle w:val="BodyText"/>
      </w:pPr>
      <w:r>
        <w:rPr>
          <w:b/>
          <w:bCs/>
        </w:rPr>
        <w:t xml:space="preserve">Technical appendices:</w:t>
      </w:r>
      <w:r>
        <w:t xml:space="preserve"> </w:t>
      </w:r>
      <w:hyperlink r:id="rId90">
        <w:r>
          <w:rPr>
            <w:rStyle w:val="Hyperlink"/>
          </w:rPr>
          <w:t xml:space="preserve">A — Surveillance decision analysis</w:t>
        </w:r>
      </w:hyperlink>
      <w:r>
        <w:t xml:space="preserve"> </w:t>
      </w:r>
      <w:r>
        <w:t xml:space="preserve">·</w:t>
      </w:r>
      <w:r>
        <w:t xml:space="preserve"> </w:t>
      </w:r>
      <w:hyperlink r:id="rId59">
        <w:r>
          <w:rPr>
            <w:rStyle w:val="Hyperlink"/>
          </w:rPr>
          <w:t xml:space="preserve">D — Sentinel toxicology (Option 5 deep dive)</w:t>
        </w:r>
      </w:hyperlink>
    </w:p>
    <w:p>
      <w:pPr>
        <w:pStyle w:val="BodyText"/>
      </w:pPr>
      <w:r>
        <w:rPr>
          <w:b/>
          <w:bCs/>
        </w:rPr>
        <w:t xml:space="preserve">Appendices (this brief):</w:t>
      </w:r>
      <w:r>
        <w:t xml:space="preserve"> </w:t>
      </w:r>
      <w:hyperlink w:anchor="sec-mvd">
        <w:r>
          <w:rPr>
            <w:rStyle w:val="Hyperlink"/>
          </w:rPr>
          <w:t xml:space="preserve">Appendix A — MVD specifications (NMC + PIH)</w:t>
        </w:r>
      </w:hyperlink>
    </w:p>
    <w:p>
      <w:r>
        <w:pict>
          <v:rect style="width:0;height:1.5pt" o:hralign="center" o:hrstd="t" o:hr="t"/>
        </w:pict>
      </w:r>
    </w:p>
    <w:bookmarkEnd w:id="91"/>
    <w:bookmarkStart w:id="98" w:name="sec-mvd"/>
    <w:p>
      <w:pPr>
        <w:pStyle w:val="Heading2"/>
      </w:pPr>
      <w:r>
        <w:t xml:space="preserve">Appendix A — Minimum Viable Dataset (MVD) specifications</w:t>
      </w:r>
    </w:p>
    <w:bookmarkStart w:id="95" w:name="X997158727e2a28d545121f36edee0ade8a091e7"/>
    <w:p>
      <w:pPr>
        <w:pStyle w:val="Heading3"/>
      </w:pPr>
      <w:r>
        <w:t xml:space="preserve">A1. NMC MVD — required fields for PIH-to-NMC structured feed</w:t>
      </w:r>
    </w:p>
    <w:p>
      <w:pPr>
        <w:pStyle w:val="FirstParagraph"/>
      </w:pPr>
      <w:r>
        <w:t xml:space="preserve">The table below specifies the</w:t>
      </w:r>
      <w:r>
        <w:t xml:space="preserve"> </w:t>
      </w:r>
      <w:r>
        <w:rPr>
          <w:b/>
          <w:bCs/>
        </w:rPr>
        <w:t xml:space="preserve">Minimum Viable Dataset</w:t>
      </w:r>
      <w:r>
        <w:t xml:space="preserve"> </w:t>
      </w:r>
      <w:r>
        <w:t xml:space="preserve">for ingesting PIH clinician-initiated calls into the National Microbiology and Communicable Disease Notification (NMC) system as a structured surveillance stream. These fields must be captured at the point of PIH call (what the</w:t>
      </w:r>
      <w:r>
        <w:t xml:space="preserve"> </w:t>
      </w:r>
      <w:r>
        <w:rPr>
          <w:i/>
          <w:iCs/>
        </w:rPr>
        <w:t xml:space="preserve">caller reports</w:t>
      </w:r>
      <w:r>
        <w:t xml:space="preserve">) and confirmed/updated by the notifying clinician (what the clinician</w:t>
      </w:r>
      <w:r>
        <w:t xml:space="preserve"> </w:t>
      </w:r>
      <w:r>
        <w:rPr>
          <w:i/>
          <w:iCs/>
        </w:rPr>
        <w:t xml:space="preserve">confirms</w:t>
      </w:r>
      <w:r>
        <w:t xml:space="preserve">). The pesticide-type and circumstances classification is drawn from the existing NMC notification form; the MVD mandates their structured capture for every pesticide-poisoning case.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rPr>
                <w:b/>
                <w:bCs/>
              </w:rPr>
              <w:t xml:space="preserve">Agent-name capture is mandatory.</w:t>
            </w:r>
            <w:r>
              <w:t xml:space="preserve"> </w:t>
            </w:r>
            <w:r>
              <w:t xml:space="preserve">Both PIH and NMC must record the</w:t>
            </w:r>
            <w:r>
              <w:t xml:space="preserve"> </w:t>
            </w:r>
            <w:r>
              <w:rPr>
                <w:b/>
                <w:bCs/>
              </w:rPr>
              <w:t xml:space="preserve">AfriTox product name</w:t>
            </w:r>
            <w:r>
              <w:t xml:space="preserve"> </w:t>
            </w:r>
            <w:r>
              <w:t xml:space="preserve">for every case. NMC should add a structured agent drop-down (pesticide class → active ingredient → AfriTox product name) to the NDoH-hosted notification form to make this reciprocal with PIH. Cases with agent</w:t>
            </w:r>
            <w:r>
              <w:t xml:space="preserve"> </w:t>
            </w:r>
            <w:r>
              <w:t xml:space="preserve">“unknown”</w:t>
            </w:r>
            <w:r>
              <w:t xml:space="preserve"> </w:t>
            </w:r>
            <w:r>
              <w:t xml:space="preserve">are acceptable (do not exclude), but the field must be present.</w:t>
            </w:r>
          </w:p>
        </w:tc>
      </w:tr>
    </w:tbl>
    <w:p>
      <w:pPr>
        <w:pStyle w:val="BodyText"/>
      </w:pPr>
      <w:r>
        <w:rPr>
          <w:b/>
          <w:bCs/>
        </w:rPr>
        <w:t xml:space="preserve">Pesticide type (structured drop-down — mandatory)</w:t>
      </w:r>
    </w:p>
    <w:tbl>
      <w:tblPr>
        <w:tblStyle w:val="Table"/>
        <w:tblW w:type="pct" w:w="5000"/>
        <w:tblLayout w:type="fixed"/>
        <w:tblLook w:firstRow="0" w:lastRow="0" w:firstColumn="0" w:lastColumn="0" w:noHBand="0" w:noVBand="0" w:val="0000"/>
      </w:tblPr>
      <w:tblGrid>
        <w:gridCol w:w="7920"/>
      </w:tblGrid>
      <w:tr>
        <w:tc>
          <w:tcPr/>
          <w:bookmarkStart w:id="92" w:name="tbl-mvd-pesticide-type"/>
          <w:p>
            <w:pPr>
              <w:jc w:val="center"/>
            </w:pPr>
            <w:pPr>
              <w:jc w:val="left"/>
              <w:spacing w:before="200"/>
              <w:pStyle w:val="ImageCaption"/>
            </w:pPr>
            <w:r>
              <w:t xml:space="preserve">Table 6: NMC pesticide-type classification. Source: existing NMC notification form. AfriTox product-name lookup linked to each class at data entry.</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jc w:val="left"/>
                    <w:jc w:val="center"/>
                  </w:pPr>
                  <w:r>
                    <w:t xml:space="preserve">Code</w:t>
                  </w:r>
                </w:p>
              </w:tc>
              <w:tc>
                <w:tcPr/>
                <w:p>
                  <w:pPr>
                    <w:pStyle w:val="Compact"/>
                    <w:jc w:val="left"/>
                    <w:jc w:val="center"/>
                  </w:pPr>
                  <w:r>
                    <w:t xml:space="preserve">Pesticide type</w:t>
                  </w:r>
                </w:p>
              </w:tc>
              <w:tc>
                <w:tcPr/>
                <w:p>
                  <w:pPr>
                    <w:pStyle w:val="Compact"/>
                    <w:jc w:val="left"/>
                    <w:jc w:val="center"/>
                  </w:pPr>
                  <w:r>
                    <w:t xml:space="preserve">Example active ingredients</w:t>
                  </w:r>
                </w:p>
              </w:tc>
            </w:tr>
            <w:tr>
              <w:tc>
                <w:tcPr/>
                <w:p>
                  <w:pPr>
                    <w:pStyle w:val="Compact"/>
                    <w:jc w:val="left"/>
                    <w:jc w:val="center"/>
                  </w:pPr>
                  <w:r>
                    <w:t xml:space="preserve">OPC</w:t>
                  </w:r>
                </w:p>
              </w:tc>
              <w:tc>
                <w:tcPr/>
                <w:p>
                  <w:pPr>
                    <w:pStyle w:val="Compact"/>
                    <w:jc w:val="left"/>
                    <w:jc w:val="center"/>
                  </w:pPr>
                  <w:r>
                    <w:t xml:space="preserve">Organophosphates</w:t>
                  </w:r>
                </w:p>
              </w:tc>
              <w:tc>
                <w:tcPr/>
                <w:p>
                  <w:pPr>
                    <w:pStyle w:val="Compact"/>
                    <w:jc w:val="left"/>
                    <w:jc w:val="center"/>
                  </w:pPr>
                  <w:r>
                    <w:t xml:space="preserve">Chlorpyrifos, dimethoate, profenofos</w:t>
                  </w:r>
                </w:p>
              </w:tc>
            </w:tr>
            <w:tr>
              <w:tc>
                <w:tcPr/>
                <w:p>
                  <w:pPr>
                    <w:pStyle w:val="Compact"/>
                    <w:jc w:val="left"/>
                    <w:jc w:val="center"/>
                  </w:pPr>
                  <w:r>
                    <w:t xml:space="preserve">CAR</w:t>
                  </w:r>
                </w:p>
              </w:tc>
              <w:tc>
                <w:tcPr/>
                <w:p>
                  <w:pPr>
                    <w:pStyle w:val="Compact"/>
                    <w:jc w:val="left"/>
                    <w:jc w:val="center"/>
                  </w:pPr>
                  <w:r>
                    <w:t xml:space="preserve">Carbamates</w:t>
                  </w:r>
                </w:p>
              </w:tc>
              <w:tc>
                <w:tcPr/>
                <w:p>
                  <w:pPr>
                    <w:pStyle w:val="Compact"/>
                    <w:jc w:val="left"/>
                    <w:jc w:val="center"/>
                  </w:pPr>
                  <w:r>
                    <w:t xml:space="preserve">Aldicarb, methomyl, carbofuran</w:t>
                  </w:r>
                </w:p>
              </w:tc>
            </w:tr>
            <w:tr>
              <w:tc>
                <w:tcPr/>
                <w:p>
                  <w:pPr>
                    <w:pStyle w:val="Compact"/>
                    <w:jc w:val="left"/>
                    <w:jc w:val="center"/>
                  </w:pPr>
                  <w:r>
                    <w:t xml:space="preserve">PYR</w:t>
                  </w:r>
                </w:p>
              </w:tc>
              <w:tc>
                <w:tcPr/>
                <w:p>
                  <w:pPr>
                    <w:pStyle w:val="Compact"/>
                    <w:jc w:val="left"/>
                    <w:jc w:val="center"/>
                  </w:pPr>
                  <w:r>
                    <w:t xml:space="preserve">Pyrethroids</w:t>
                  </w:r>
                </w:p>
              </w:tc>
              <w:tc>
                <w:tcPr/>
                <w:p>
                  <w:pPr>
                    <w:pStyle w:val="Compact"/>
                    <w:jc w:val="left"/>
                    <w:jc w:val="center"/>
                  </w:pPr>
                  <w:r>
                    <w:t xml:space="preserve">Cypermethrin, deltamethrin, permethrin</w:t>
                  </w:r>
                </w:p>
              </w:tc>
            </w:tr>
            <w:tr>
              <w:tc>
                <w:tcPr/>
                <w:p>
                  <w:pPr>
                    <w:pStyle w:val="Compact"/>
                    <w:jc w:val="left"/>
                    <w:jc w:val="center"/>
                  </w:pPr>
                  <w:r>
                    <w:t xml:space="preserve">PAR</w:t>
                  </w:r>
                </w:p>
              </w:tc>
              <w:tc>
                <w:tcPr/>
                <w:p>
                  <w:pPr>
                    <w:pStyle w:val="Compact"/>
                    <w:jc w:val="left"/>
                    <w:jc w:val="center"/>
                  </w:pPr>
                  <w:r>
                    <w:t xml:space="preserve">Paraquat &amp; Diquat</w:t>
                  </w:r>
                </w:p>
              </w:tc>
              <w:tc>
                <w:tcPr/>
                <w:p>
                  <w:pPr>
                    <w:pStyle w:val="Compact"/>
                    <w:jc w:val="left"/>
                    <w:jc w:val="center"/>
                  </w:pPr>
                  <w:r>
                    <w:t xml:space="preserve">Paraquat dichloride, diquat dibromide</w:t>
                  </w:r>
                </w:p>
              </w:tc>
            </w:tr>
            <w:tr>
              <w:tc>
                <w:tcPr/>
                <w:p>
                  <w:pPr>
                    <w:pStyle w:val="Compact"/>
                    <w:jc w:val="left"/>
                    <w:jc w:val="center"/>
                  </w:pPr>
                  <w:r>
                    <w:t xml:space="preserve">PHO</w:t>
                  </w:r>
                </w:p>
              </w:tc>
              <w:tc>
                <w:tcPr/>
                <w:p>
                  <w:pPr>
                    <w:pStyle w:val="Compact"/>
                    <w:jc w:val="left"/>
                    <w:jc w:val="center"/>
                  </w:pPr>
                  <w:r>
                    <w:t xml:space="preserve">Phosphine &amp; Phosphides</w:t>
                  </w:r>
                </w:p>
              </w:tc>
              <w:tc>
                <w:tcPr/>
                <w:p>
                  <w:pPr>
                    <w:pStyle w:val="Compact"/>
                    <w:jc w:val="left"/>
                    <w:jc w:val="center"/>
                  </w:pPr>
                  <w:r>
                    <w:t xml:space="preserve">Aluminium phosphide, zinc phosphide</w:t>
                  </w:r>
                </w:p>
              </w:tc>
            </w:tr>
            <w:tr>
              <w:tc>
                <w:tcPr/>
                <w:p>
                  <w:pPr>
                    <w:pStyle w:val="Compact"/>
                    <w:jc w:val="left"/>
                    <w:jc w:val="center"/>
                  </w:pPr>
                  <w:r>
                    <w:t xml:space="preserve">NEO</w:t>
                  </w:r>
                </w:p>
              </w:tc>
              <w:tc>
                <w:tcPr/>
                <w:p>
                  <w:pPr>
                    <w:pStyle w:val="Compact"/>
                    <w:jc w:val="left"/>
                    <w:jc w:val="center"/>
                  </w:pPr>
                  <w:r>
                    <w:t xml:space="preserve">Neonicotinoid Insecticides</w:t>
                  </w:r>
                </w:p>
              </w:tc>
              <w:tc>
                <w:tcPr/>
                <w:p>
                  <w:pPr>
                    <w:pStyle w:val="Compact"/>
                    <w:jc w:val="left"/>
                    <w:jc w:val="center"/>
                  </w:pPr>
                  <w:r>
                    <w:t xml:space="preserve">Imidacloprid, thiamethoxam</w:t>
                  </w:r>
                </w:p>
              </w:tc>
            </w:tr>
            <w:tr>
              <w:tc>
                <w:tcPr/>
                <w:p>
                  <w:pPr>
                    <w:pStyle w:val="Compact"/>
                    <w:jc w:val="left"/>
                    <w:jc w:val="center"/>
                  </w:pPr>
                  <w:r>
                    <w:t xml:space="preserve">ORG</w:t>
                  </w:r>
                </w:p>
              </w:tc>
              <w:tc>
                <w:tcPr/>
                <w:p>
                  <w:pPr>
                    <w:pStyle w:val="Compact"/>
                    <w:jc w:val="left"/>
                    <w:jc w:val="center"/>
                  </w:pPr>
                  <w:r>
                    <w:t xml:space="preserve">Organochlorines</w:t>
                  </w:r>
                </w:p>
              </w:tc>
              <w:tc>
                <w:tcPr/>
                <w:p>
                  <w:pPr>
                    <w:pStyle w:val="Compact"/>
                    <w:jc w:val="left"/>
                    <w:jc w:val="center"/>
                  </w:pPr>
                  <w:r>
                    <w:t xml:space="preserve">DDT, endosulfan, lindane</w:t>
                  </w:r>
                </w:p>
              </w:tc>
            </w:tr>
            <w:tr>
              <w:tc>
                <w:tcPr/>
                <w:p>
                  <w:pPr>
                    <w:pStyle w:val="Compact"/>
                    <w:jc w:val="left"/>
                    <w:jc w:val="center"/>
                  </w:pPr>
                  <w:r>
                    <w:t xml:space="preserve">CPH</w:t>
                  </w:r>
                </w:p>
              </w:tc>
              <w:tc>
                <w:tcPr/>
                <w:p>
                  <w:pPr>
                    <w:pStyle w:val="Compact"/>
                    <w:jc w:val="left"/>
                    <w:jc w:val="center"/>
                  </w:pPr>
                  <w:r>
                    <w:t xml:space="preserve">Chlorophenoxy Herbicides</w:t>
                  </w:r>
                </w:p>
              </w:tc>
              <w:tc>
                <w:tcPr/>
                <w:p>
                  <w:pPr>
                    <w:pStyle w:val="Compact"/>
                    <w:jc w:val="left"/>
                    <w:jc w:val="center"/>
                  </w:pPr>
                  <w:r>
                    <w:t xml:space="preserve">2,4-D, MCPA, triclopyr</w:t>
                  </w:r>
                </w:p>
              </w:tc>
            </w:tr>
            <w:tr>
              <w:tc>
                <w:tcPr/>
                <w:p>
                  <w:pPr>
                    <w:pStyle w:val="Compact"/>
                    <w:jc w:val="left"/>
                    <w:jc w:val="center"/>
                  </w:pPr>
                  <w:r>
                    <w:t xml:space="preserve">GLY</w:t>
                  </w:r>
                </w:p>
              </w:tc>
              <w:tc>
                <w:tcPr/>
                <w:p>
                  <w:pPr>
                    <w:pStyle w:val="Compact"/>
                    <w:jc w:val="left"/>
                    <w:jc w:val="center"/>
                  </w:pPr>
                  <w:r>
                    <w:t xml:space="preserve">Glyphosates</w:t>
                  </w:r>
                </w:p>
              </w:tc>
              <w:tc>
                <w:tcPr/>
                <w:p>
                  <w:pPr>
                    <w:pStyle w:val="Compact"/>
                    <w:jc w:val="left"/>
                    <w:jc w:val="center"/>
                  </w:pPr>
                  <w:r>
                    <w:t xml:space="preserve">Glyphosate-IPA, glyphosate-ammonium</w:t>
                  </w:r>
                </w:p>
              </w:tc>
            </w:tr>
            <w:tr>
              <w:tc>
                <w:tcPr/>
                <w:p>
                  <w:pPr>
                    <w:pStyle w:val="Compact"/>
                    <w:jc w:val="left"/>
                    <w:jc w:val="center"/>
                  </w:pPr>
                  <w:r>
                    <w:t xml:space="preserve">COU</w:t>
                  </w:r>
                </w:p>
              </w:tc>
              <w:tc>
                <w:tcPr/>
                <w:p>
                  <w:pPr>
                    <w:pStyle w:val="Compact"/>
                    <w:jc w:val="left"/>
                    <w:jc w:val="center"/>
                  </w:pPr>
                  <w:r>
                    <w:t xml:space="preserve">Coumarin Rodenticides</w:t>
                  </w:r>
                </w:p>
              </w:tc>
              <w:tc>
                <w:tcPr/>
                <w:p>
                  <w:pPr>
                    <w:pStyle w:val="Compact"/>
                    <w:jc w:val="left"/>
                    <w:jc w:val="center"/>
                  </w:pPr>
                  <w:r>
                    <w:t xml:space="preserve">Brodifacoum, bromadiolone, chlorophacinone</w:t>
                  </w:r>
                </w:p>
              </w:tc>
            </w:tr>
            <w:tr>
              <w:tc>
                <w:tcPr/>
                <w:p>
                  <w:pPr>
                    <w:pStyle w:val="Compact"/>
                    <w:jc w:val="left"/>
                    <w:jc w:val="center"/>
                  </w:pPr>
                  <w:r>
                    <w:t xml:space="preserve">FOR</w:t>
                  </w:r>
                </w:p>
              </w:tc>
              <w:tc>
                <w:tcPr/>
                <w:p>
                  <w:pPr>
                    <w:pStyle w:val="Compact"/>
                    <w:jc w:val="left"/>
                    <w:jc w:val="center"/>
                  </w:pPr>
                  <w:r>
                    <w:t xml:space="preserve">Formamidines</w:t>
                  </w:r>
                </w:p>
              </w:tc>
              <w:tc>
                <w:tcPr/>
                <w:p>
                  <w:pPr>
                    <w:pStyle w:val="Compact"/>
                    <w:jc w:val="left"/>
                    <w:jc w:val="center"/>
                  </w:pPr>
                  <w:r>
                    <w:t xml:space="preserve">Amitraz, chlordimeform</w:t>
                  </w:r>
                </w:p>
              </w:tc>
            </w:tr>
            <w:tr>
              <w:tc>
                <w:tcPr/>
                <w:p>
                  <w:pPr>
                    <w:pStyle w:val="Compact"/>
                    <w:jc w:val="left"/>
                    <w:jc w:val="center"/>
                  </w:pPr>
                  <w:r>
                    <w:t xml:space="preserve">FUN</w:t>
                  </w:r>
                </w:p>
              </w:tc>
              <w:tc>
                <w:tcPr/>
                <w:p>
                  <w:pPr>
                    <w:pStyle w:val="Compact"/>
                    <w:jc w:val="left"/>
                    <w:jc w:val="center"/>
                  </w:pPr>
                  <w:r>
                    <w:t xml:space="preserve">Fungicides — Unspecified</w:t>
                  </w:r>
                </w:p>
              </w:tc>
              <w:tc>
                <w:tcPr/>
                <w:p>
                  <w:pPr>
                    <w:pStyle w:val="Compact"/>
                    <w:jc w:val="left"/>
                    <w:jc w:val="center"/>
                  </w:pPr>
                  <w:r>
                    <w:t xml:space="preserve">—</w:t>
                  </w:r>
                </w:p>
              </w:tc>
            </w:tr>
            <w:tr>
              <w:tc>
                <w:tcPr/>
                <w:p>
                  <w:pPr>
                    <w:pStyle w:val="Compact"/>
                    <w:jc w:val="left"/>
                    <w:jc w:val="center"/>
                  </w:pPr>
                  <w:r>
                    <w:t xml:space="preserve">HRB</w:t>
                  </w:r>
                </w:p>
              </w:tc>
              <w:tc>
                <w:tcPr/>
                <w:p>
                  <w:pPr>
                    <w:pStyle w:val="Compact"/>
                    <w:jc w:val="left"/>
                    <w:jc w:val="center"/>
                  </w:pPr>
                  <w:r>
                    <w:t xml:space="preserve">Herbicides — Unspecified</w:t>
                  </w:r>
                </w:p>
              </w:tc>
              <w:tc>
                <w:tcPr/>
                <w:p>
                  <w:pPr>
                    <w:pStyle w:val="Compact"/>
                    <w:jc w:val="left"/>
                    <w:jc w:val="center"/>
                  </w:pPr>
                  <w:r>
                    <w:t xml:space="preserve">—</w:t>
                  </w:r>
                </w:p>
              </w:tc>
            </w:tr>
            <w:tr>
              <w:tc>
                <w:tcPr/>
                <w:p>
                  <w:pPr>
                    <w:pStyle w:val="Compact"/>
                    <w:jc w:val="left"/>
                    <w:jc w:val="center"/>
                  </w:pPr>
                  <w:r>
                    <w:t xml:space="preserve">INS</w:t>
                  </w:r>
                </w:p>
              </w:tc>
              <w:tc>
                <w:tcPr/>
                <w:p>
                  <w:pPr>
                    <w:pStyle w:val="Compact"/>
                    <w:jc w:val="left"/>
                    <w:jc w:val="center"/>
                  </w:pPr>
                  <w:r>
                    <w:t xml:space="preserve">Insecticides — Unspecified</w:t>
                  </w:r>
                </w:p>
              </w:tc>
              <w:tc>
                <w:tcPr/>
                <w:p>
                  <w:pPr>
                    <w:pStyle w:val="Compact"/>
                    <w:jc w:val="left"/>
                    <w:jc w:val="center"/>
                  </w:pPr>
                  <w:r>
                    <w:t xml:space="preserve">—</w:t>
                  </w:r>
                </w:p>
              </w:tc>
            </w:tr>
            <w:tr>
              <w:tc>
                <w:tcPr/>
                <w:p>
                  <w:pPr>
                    <w:pStyle w:val="Compact"/>
                    <w:jc w:val="left"/>
                    <w:jc w:val="center"/>
                  </w:pPr>
                  <w:r>
                    <w:t xml:space="preserve">DEE</w:t>
                  </w:r>
                </w:p>
              </w:tc>
              <w:tc>
                <w:tcPr/>
                <w:p>
                  <w:pPr>
                    <w:pStyle w:val="Compact"/>
                    <w:jc w:val="left"/>
                    <w:jc w:val="center"/>
                  </w:pPr>
                  <w:r>
                    <w:t xml:space="preserve">Diethyl-m-toluamide (DEET)</w:t>
                  </w:r>
                </w:p>
              </w:tc>
              <w:tc>
                <w:tcPr/>
                <w:p>
                  <w:pPr>
                    <w:pStyle w:val="Compact"/>
                    <w:jc w:val="left"/>
                    <w:jc w:val="center"/>
                  </w:pPr>
                  <w:r>
                    <w:t xml:space="preserve">DEET</w:t>
                  </w:r>
                </w:p>
              </w:tc>
            </w:tr>
            <w:tr>
              <w:tc>
                <w:tcPr/>
                <w:p>
                  <w:pPr>
                    <w:pStyle w:val="Compact"/>
                    <w:jc w:val="left"/>
                    <w:jc w:val="center"/>
                  </w:pPr>
                  <w:r>
                    <w:t xml:space="preserve">AFX</w:t>
                  </w:r>
                </w:p>
              </w:tc>
              <w:tc>
                <w:tcPr/>
                <w:p>
                  <w:pPr>
                    <w:pStyle w:val="Compact"/>
                    <w:jc w:val="left"/>
                    <w:jc w:val="center"/>
                  </w:pPr>
                  <w:r>
                    <w:t xml:space="preserve">Aflatoxin</w:t>
                  </w:r>
                </w:p>
              </w:tc>
              <w:tc>
                <w:tcPr/>
                <w:p>
                  <w:pPr>
                    <w:pStyle w:val="Compact"/>
                    <w:jc w:val="left"/>
                    <w:jc w:val="center"/>
                  </w:pPr>
                  <w:r>
                    <w:t xml:space="preserve">Aflatoxin B1/B2/G1/G2</w:t>
                  </w:r>
                </w:p>
              </w:tc>
            </w:tr>
            <w:tr>
              <w:tc>
                <w:tcPr/>
                <w:p>
                  <w:pPr>
                    <w:pStyle w:val="Compact"/>
                    <w:jc w:val="left"/>
                    <w:jc w:val="center"/>
                  </w:pPr>
                  <w:r>
                    <w:t xml:space="preserve">NAP</w:t>
                  </w:r>
                </w:p>
              </w:tc>
              <w:tc>
                <w:tcPr/>
                <w:p>
                  <w:pPr>
                    <w:pStyle w:val="Compact"/>
                    <w:jc w:val="left"/>
                    <w:jc w:val="center"/>
                  </w:pPr>
                  <w:r>
                    <w:t xml:space="preserve">Naphthalene (marbles)</w:t>
                  </w:r>
                </w:p>
              </w:tc>
              <w:tc>
                <w:tcPr/>
                <w:p>
                  <w:pPr>
                    <w:pStyle w:val="Compact"/>
                    <w:jc w:val="left"/>
                    <w:jc w:val="center"/>
                  </w:pPr>
                  <w:r>
                    <w:t xml:space="preserve">Naphthalene</w:t>
                  </w:r>
                </w:p>
              </w:tc>
            </w:tr>
            <w:tr>
              <w:tc>
                <w:tcPr/>
                <w:p>
                  <w:pPr>
                    <w:pStyle w:val="Compact"/>
                    <w:jc w:val="left"/>
                    <w:jc w:val="center"/>
                  </w:pPr>
                  <w:r>
                    <w:t xml:space="preserve">OTH</w:t>
                  </w:r>
                </w:p>
              </w:tc>
              <w:tc>
                <w:tcPr/>
                <w:p>
                  <w:pPr>
                    <w:pStyle w:val="Compact"/>
                    <w:jc w:val="left"/>
                    <w:jc w:val="center"/>
                  </w:pPr>
                  <w:r>
                    <w:t xml:space="preserve">Other</w:t>
                  </w:r>
                </w:p>
              </w:tc>
              <w:tc>
                <w:tcPr/>
                <w:p>
                  <w:pPr>
                    <w:pStyle w:val="Compact"/>
                    <w:jc w:val="left"/>
                    <w:jc w:val="center"/>
                  </w:pPr>
                  <w:r>
                    <w:t xml:space="preserve">(free text required)</w:t>
                  </w:r>
                </w:p>
              </w:tc>
            </w:tr>
            <w:tr>
              <w:tc>
                <w:tcPr/>
                <w:p>
                  <w:pPr>
                    <w:pStyle w:val="Compact"/>
                    <w:jc w:val="left"/>
                    <w:jc w:val="center"/>
                  </w:pPr>
                  <w:r>
                    <w:t xml:space="preserve">UNK</w:t>
                  </w:r>
                </w:p>
              </w:tc>
              <w:tc>
                <w:tcPr/>
                <w:p>
                  <w:pPr>
                    <w:pStyle w:val="Compact"/>
                    <w:jc w:val="left"/>
                    <w:jc w:val="center"/>
                  </w:pPr>
                  <w:r>
                    <w:t xml:space="preserve">Unknown</w:t>
                  </w:r>
                </w:p>
              </w:tc>
              <w:tc>
                <w:tcPr/>
                <w:p>
                  <w:pPr>
                    <w:pStyle w:val="Compact"/>
                    <w:jc w:val="left"/>
                    <w:jc w:val="center"/>
                  </w:pPr>
                  <w:r>
                    <w:t xml:space="preserve">—</w:t>
                  </w:r>
                </w:p>
              </w:tc>
            </w:tr>
          </w:tbl>
          <w:bookmarkEnd w:id="92"/>
          <w:p/>
        </w:tc>
      </w:tr>
    </w:tbl>
    <w:p>
      <w:pPr>
        <w:pStyle w:val="BodyText"/>
      </w:pPr>
      <w:r>
        <w:rPr>
          <w:b/>
          <w:bCs/>
        </w:rPr>
        <w:t xml:space="preserve">Circumstances / intent (structured drop-down — mandatory)</w:t>
      </w:r>
    </w:p>
    <w:tbl>
      <w:tblPr>
        <w:tblStyle w:val="Table"/>
        <w:tblW w:type="pct" w:w="5000"/>
        <w:tblLayout w:type="fixed"/>
        <w:tblLook w:firstRow="0" w:lastRow="0" w:firstColumn="0" w:lastColumn="0" w:noHBand="0" w:noVBand="0" w:val="0000"/>
      </w:tblPr>
      <w:tblGrid>
        <w:gridCol w:w="7920"/>
      </w:tblGrid>
      <w:tr>
        <w:tc>
          <w:tcPr/>
          <w:bookmarkStart w:id="93" w:name="tbl-mvd-circumstances"/>
          <w:p>
            <w:pPr>
              <w:jc w:val="center"/>
            </w:pPr>
            <w:pPr>
              <w:jc w:val="left"/>
              <w:spacing w:before="200"/>
              <w:pStyle w:val="ImageCaption"/>
            </w:pPr>
            <w:r>
              <w:t xml:space="preserve">Table 7: NMC circumstances/intent classification. Source: existing NMC notification form. Must be captured at both PIH call (caller-reported) and NMC notification (clinician-confirmed); these may differ and both values should be retained.</w:t>
            </w:r>
          </w:p>
          <w:tbl>
            <w:tblPr>
              <w:tblStyle w:val="Table"/>
              <w:tblW w:type="pct" w:w="5000"/>
              <w:tblLayout w:type="fixed"/>
              <w:tblLook w:firstRow="1" w:lastRow="0" w:firstColumn="0" w:lastColumn="0" w:noHBand="0" w:noVBand="0" w:val="0020"/>
            </w:tblPr>
            <w:tblGrid>
              <w:gridCol w:w="1131"/>
              <w:gridCol w:w="2451"/>
              <w:gridCol w:w="4337"/>
            </w:tblGrid>
            <w:tr>
              <w:trPr>
                <w:tblHeader w:val="on"/>
              </w:trPr>
              <w:tc>
                <w:tcPr/>
                <w:p>
                  <w:pPr>
                    <w:pStyle w:val="Compact"/>
                    <w:jc w:val="left"/>
                    <w:jc w:val="center"/>
                  </w:pPr>
                  <w:r>
                    <w:t xml:space="preserve">Code</w:t>
                  </w:r>
                </w:p>
              </w:tc>
              <w:tc>
                <w:tcPr/>
                <w:p>
                  <w:pPr>
                    <w:pStyle w:val="Compact"/>
                    <w:jc w:val="left"/>
                    <w:jc w:val="center"/>
                  </w:pPr>
                  <w:r>
                    <w:t xml:space="preserve">Circumstance</w:t>
                  </w:r>
                </w:p>
              </w:tc>
              <w:tc>
                <w:tcPr/>
                <w:p>
                  <w:pPr>
                    <w:pStyle w:val="Compact"/>
                    <w:jc w:val="left"/>
                    <w:jc w:val="center"/>
                  </w:pPr>
                  <w:r>
                    <w:t xml:space="preserve">ICD-10 intent mapping</w:t>
                  </w:r>
                </w:p>
              </w:tc>
            </w:tr>
            <w:tr>
              <w:tc>
                <w:tcPr/>
                <w:p>
                  <w:pPr>
                    <w:pStyle w:val="Compact"/>
                    <w:jc w:val="left"/>
                    <w:jc w:val="center"/>
                  </w:pPr>
                  <w:r>
                    <w:t xml:space="preserve">UI-OCC</w:t>
                  </w:r>
                </w:p>
              </w:tc>
              <w:tc>
                <w:tcPr/>
                <w:p>
                  <w:pPr>
                    <w:pStyle w:val="Compact"/>
                    <w:jc w:val="left"/>
                    <w:jc w:val="center"/>
                  </w:pPr>
                  <w:r>
                    <w:t xml:space="preserve">Unintentional — Occupational</w:t>
                  </w:r>
                </w:p>
              </w:tc>
              <w:tc>
                <w:tcPr/>
                <w:p>
                  <w:pPr>
                    <w:pStyle w:val="Compact"/>
                    <w:jc w:val="left"/>
                    <w:jc w:val="center"/>
                  </w:pPr>
                  <w:r>
                    <w:t xml:space="preserve">X48 (farm, pest control, industrial)</w:t>
                  </w:r>
                </w:p>
              </w:tc>
            </w:tr>
            <w:tr>
              <w:tc>
                <w:tcPr/>
                <w:p>
                  <w:pPr>
                    <w:pStyle w:val="Compact"/>
                    <w:jc w:val="left"/>
                    <w:jc w:val="center"/>
                  </w:pPr>
                  <w:r>
                    <w:t xml:space="preserve">UI-DOM</w:t>
                  </w:r>
                </w:p>
              </w:tc>
              <w:tc>
                <w:tcPr/>
                <w:p>
                  <w:pPr>
                    <w:pStyle w:val="Compact"/>
                    <w:jc w:val="left"/>
                    <w:jc w:val="center"/>
                  </w:pPr>
                  <w:r>
                    <w:t xml:space="preserve">Unintentional — Domestic</w:t>
                  </w:r>
                </w:p>
              </w:tc>
              <w:tc>
                <w:tcPr/>
                <w:p>
                  <w:pPr>
                    <w:pStyle w:val="Compact"/>
                    <w:jc w:val="left"/>
                    <w:jc w:val="center"/>
                  </w:pPr>
                  <w:r>
                    <w:t xml:space="preserve">X40–X44</w:t>
                  </w:r>
                </w:p>
              </w:tc>
            </w:tr>
            <w:tr>
              <w:tc>
                <w:tcPr/>
                <w:p>
                  <w:pPr>
                    <w:pStyle w:val="Compact"/>
                    <w:jc w:val="left"/>
                    <w:jc w:val="center"/>
                  </w:pPr>
                  <w:r>
                    <w:t xml:space="preserve">INT-SH</w:t>
                  </w:r>
                </w:p>
              </w:tc>
              <w:tc>
                <w:tcPr/>
                <w:p>
                  <w:pPr>
                    <w:pStyle w:val="Compact"/>
                    <w:jc w:val="left"/>
                    <w:jc w:val="center"/>
                  </w:pPr>
                  <w:r>
                    <w:t xml:space="preserve">Intentional — Self-harm</w:t>
                  </w:r>
                </w:p>
              </w:tc>
              <w:tc>
                <w:tcPr/>
                <w:p>
                  <w:pPr>
                    <w:pStyle w:val="Compact"/>
                    <w:jc w:val="left"/>
                    <w:jc w:val="center"/>
                  </w:pPr>
                  <w:r>
                    <w:t xml:space="preserve">X60–X69</w:t>
                  </w:r>
                </w:p>
              </w:tc>
            </w:tr>
            <w:tr>
              <w:tc>
                <w:tcPr/>
                <w:p>
                  <w:pPr>
                    <w:pStyle w:val="Compact"/>
                    <w:jc w:val="left"/>
                    <w:jc w:val="center"/>
                  </w:pPr>
                  <w:r>
                    <w:t xml:space="preserve">INT-AH</w:t>
                  </w:r>
                </w:p>
              </w:tc>
              <w:tc>
                <w:tcPr/>
                <w:p>
                  <w:pPr>
                    <w:pStyle w:val="Compact"/>
                    <w:jc w:val="left"/>
                    <w:jc w:val="center"/>
                  </w:pPr>
                  <w:r>
                    <w:t xml:space="preserve">Intentional — Assault/Homicide</w:t>
                  </w:r>
                </w:p>
              </w:tc>
              <w:tc>
                <w:tcPr/>
                <w:p>
                  <w:pPr>
                    <w:pStyle w:val="Compact"/>
                    <w:jc w:val="left"/>
                    <w:jc w:val="center"/>
                  </w:pPr>
                  <w:r>
                    <w:t xml:space="preserve">X85–X90</w:t>
                  </w:r>
                </w:p>
              </w:tc>
            </w:tr>
            <w:tr>
              <w:tc>
                <w:tcPr/>
                <w:p>
                  <w:pPr>
                    <w:pStyle w:val="Compact"/>
                    <w:jc w:val="left"/>
                    <w:jc w:val="center"/>
                  </w:pPr>
                  <w:r>
                    <w:t xml:space="preserve">ENV-DR</w:t>
                  </w:r>
                </w:p>
              </w:tc>
              <w:tc>
                <w:tcPr/>
                <w:p>
                  <w:pPr>
                    <w:pStyle w:val="Compact"/>
                    <w:jc w:val="left"/>
                    <w:jc w:val="center"/>
                  </w:pPr>
                  <w:r>
                    <w:t xml:space="preserve">Environmental / Drift</w:t>
                  </w:r>
                </w:p>
              </w:tc>
              <w:tc>
                <w:tcPr/>
                <w:p>
                  <w:pPr>
                    <w:pStyle w:val="Compact"/>
                    <w:jc w:val="left"/>
                    <w:jc w:val="center"/>
                  </w:pPr>
                  <w:r>
                    <w:t xml:space="preserve">X48 (environmental context)</w:t>
                  </w:r>
                </w:p>
              </w:tc>
            </w:tr>
            <w:tr>
              <w:tc>
                <w:tcPr/>
                <w:p>
                  <w:pPr>
                    <w:pStyle w:val="Compact"/>
                    <w:jc w:val="left"/>
                    <w:jc w:val="center"/>
                  </w:pPr>
                  <w:r>
                    <w:t xml:space="preserve">ACC-CN</w:t>
                  </w:r>
                </w:p>
              </w:tc>
              <w:tc>
                <w:tcPr/>
                <w:p>
                  <w:pPr>
                    <w:pStyle w:val="Compact"/>
                    <w:jc w:val="left"/>
                    <w:jc w:val="center"/>
                  </w:pPr>
                  <w:r>
                    <w:t xml:space="preserve">Accidental contamination (food/water)</w:t>
                  </w:r>
                </w:p>
              </w:tc>
              <w:tc>
                <w:tcPr/>
                <w:p>
                  <w:pPr>
                    <w:pStyle w:val="Compact"/>
                    <w:jc w:val="left"/>
                    <w:jc w:val="center"/>
                  </w:pPr>
                  <w:r>
                    <w:t xml:space="preserve">X49</w:t>
                  </w:r>
                </w:p>
              </w:tc>
            </w:tr>
            <w:tr>
              <w:tc>
                <w:tcPr/>
                <w:p>
                  <w:pPr>
                    <w:pStyle w:val="Compact"/>
                    <w:jc w:val="left"/>
                    <w:jc w:val="center"/>
                  </w:pPr>
                  <w:r>
                    <w:t xml:space="preserve">UNK-UI</w:t>
                  </w:r>
                </w:p>
              </w:tc>
              <w:tc>
                <w:tcPr/>
                <w:p>
                  <w:pPr>
                    <w:pStyle w:val="Compact"/>
                    <w:jc w:val="left"/>
                    <w:jc w:val="center"/>
                  </w:pPr>
                  <w:r>
                    <w:t xml:space="preserve">Unknown / Under investigation</w:t>
                  </w:r>
                </w:p>
              </w:tc>
              <w:tc>
                <w:tcPr/>
                <w:p>
                  <w:pPr>
                    <w:pStyle w:val="Compact"/>
                    <w:jc w:val="left"/>
                    <w:jc w:val="center"/>
                  </w:pPr>
                  <w:r>
                    <w:t xml:space="preserve">—</w:t>
                  </w:r>
                </w:p>
              </w:tc>
            </w:tr>
          </w:tbl>
          <w:bookmarkEnd w:id="93"/>
          <w:p/>
        </w:tc>
      </w:tr>
    </w:tbl>
    <w:p>
      <w:pPr>
        <w:pStyle w:val="BodyText"/>
      </w:pPr>
      <w:r>
        <w:rPr>
          <w:b/>
          <w:bCs/>
        </w:rPr>
        <w:t xml:space="preserve">Remaining mandatory MVD fields for NMC notification</w:t>
      </w:r>
    </w:p>
    <w:tbl>
      <w:tblPr>
        <w:tblStyle w:val="Table"/>
        <w:tblW w:type="pct" w:w="5000"/>
        <w:tblLayout w:type="fixed"/>
        <w:tblLook w:firstRow="0" w:lastRow="0" w:firstColumn="0" w:lastColumn="0" w:noHBand="0" w:noVBand="0" w:val="0000"/>
      </w:tblPr>
      <w:tblGrid>
        <w:gridCol w:w="7920"/>
      </w:tblGrid>
      <w:tr>
        <w:tc>
          <w:tcPr/>
          <w:bookmarkStart w:id="94" w:name="tbl-mvd-core"/>
          <w:p>
            <w:pPr>
              <w:jc w:val="center"/>
            </w:pPr>
            <w:pPr>
              <w:jc w:val="left"/>
              <w:spacing w:before="200"/>
              <w:pStyle w:val="ImageCaption"/>
            </w:pPr>
            <w:r>
              <w:t xml:space="preserve">Table 8: MVD — additional mandatory fields. These are the minimum set required to (a) link across streams, (b) support geographic clustering, and (c) support product-specific attribution. Fields marked</w:t>
            </w:r>
            <w:r>
              <w:t xml:space="preserve"> </w:t>
            </w:r>
            <w:r>
              <w:t xml:space="preserve">“unknown”</w:t>
            </w:r>
            <w:r>
              <w:t xml:space="preserve"> </w:t>
            </w:r>
            <w:r>
              <w:t xml:space="preserve">are acceptable; empty/null is not.</w:t>
            </w:r>
          </w:p>
          <w:tbl>
            <w:tblPr>
              <w:tblStyle w:val="Table"/>
              <w:tblW w:type="pct" w:w="5000"/>
              <w:tblLayout w:type="fixed"/>
              <w:tblLook w:firstRow="1" w:lastRow="0" w:firstColumn="0" w:lastColumn="0" w:noHBand="0" w:noVBand="0" w:val="0020"/>
            </w:tblPr>
            <w:tblGrid>
              <w:gridCol w:w="2520"/>
              <w:gridCol w:w="2880"/>
              <w:gridCol w:w="2520"/>
            </w:tblGrid>
            <w:tr>
              <w:trPr>
                <w:tblHeader w:val="on"/>
              </w:trPr>
              <w:tc>
                <w:tcPr/>
                <w:p>
                  <w:pPr>
                    <w:pStyle w:val="Compact"/>
                    <w:jc w:val="left"/>
                    <w:jc w:val="center"/>
                  </w:pPr>
                  <w:r>
                    <w:t xml:space="preserve">Field</w:t>
                  </w:r>
                </w:p>
              </w:tc>
              <w:tc>
                <w:tcPr/>
                <w:p>
                  <w:pPr>
                    <w:pStyle w:val="Compact"/>
                    <w:jc w:val="left"/>
                    <w:jc w:val="center"/>
                  </w:pPr>
                  <w:r>
                    <w:t xml:space="preserve">Format</w:t>
                  </w:r>
                </w:p>
              </w:tc>
              <w:tc>
                <w:tcPr/>
                <w:p>
                  <w:pPr>
                    <w:pStyle w:val="Compact"/>
                    <w:jc w:val="left"/>
                    <w:jc w:val="center"/>
                  </w:pPr>
                  <w:r>
                    <w:t xml:space="preserve">Notes</w:t>
                  </w:r>
                </w:p>
              </w:tc>
            </w:tr>
            <w:tr>
              <w:tc>
                <w:tcPr/>
                <w:p>
                  <w:pPr>
                    <w:pStyle w:val="Compact"/>
                    <w:jc w:val="left"/>
                    <w:jc w:val="center"/>
                  </w:pPr>
                  <w:r>
                    <w:t xml:space="preserve">Case date (date of exposure / presentation)</w:t>
                  </w:r>
                </w:p>
              </w:tc>
              <w:tc>
                <w:tcPr/>
                <w:p>
                  <w:pPr>
                    <w:pStyle w:val="Compact"/>
                    <w:jc w:val="left"/>
                    <w:jc w:val="center"/>
                  </w:pPr>
                  <w:r>
                    <w:t xml:space="preserve">ISO 8601 (YYYY-MM-DD)</w:t>
                  </w:r>
                </w:p>
              </w:tc>
              <w:tc>
                <w:tcPr/>
                <w:p>
                  <w:pPr>
                    <w:pStyle w:val="Compact"/>
                    <w:jc w:val="left"/>
                    <w:jc w:val="center"/>
                  </w:pPr>
                  <w:r>
                    <w:t xml:space="preserve">Date of poisoning event or first clinical presentation</w:t>
                  </w:r>
                </w:p>
              </w:tc>
            </w:tr>
            <w:tr>
              <w:tc>
                <w:tcPr/>
                <w:p>
                  <w:pPr>
                    <w:pStyle w:val="Compact"/>
                    <w:jc w:val="left"/>
                    <w:jc w:val="center"/>
                  </w:pPr>
                  <w:r>
                    <w:t xml:space="preserve">Facility / point of care</w:t>
                  </w:r>
                </w:p>
              </w:tc>
              <w:tc>
                <w:tcPr/>
                <w:p>
                  <w:pPr>
                    <w:pStyle w:val="Compact"/>
                    <w:jc w:val="left"/>
                    <w:jc w:val="center"/>
                  </w:pPr>
                  <w:r>
                    <w:t xml:space="preserve">Facility NHIS code</w:t>
                  </w:r>
                </w:p>
              </w:tc>
              <w:tc>
                <w:tcPr/>
                <w:p>
                  <w:pPr>
                    <w:pStyle w:val="Compact"/>
                    <w:jc w:val="left"/>
                    <w:jc w:val="center"/>
                  </w:pPr>
                  <w:r>
                    <w:t xml:space="preserve">Or</w:t>
                  </w:r>
                  <w:r>
                    <w:t xml:space="preserve"> </w:t>
                  </w:r>
                  <w:r>
                    <w:t xml:space="preserve">“PIH referral”</w:t>
                  </w:r>
                  <w:r>
                    <w:t xml:space="preserve"> </w:t>
                  </w:r>
                  <w:r>
                    <w:t xml:space="preserve">if never attended facility</w:t>
                  </w:r>
                </w:p>
              </w:tc>
            </w:tr>
            <w:tr>
              <w:tc>
                <w:tcPr/>
                <w:p>
                  <w:pPr>
                    <w:pStyle w:val="Compact"/>
                    <w:jc w:val="left"/>
                    <w:jc w:val="center"/>
                  </w:pPr>
                  <w:r>
                    <w:t xml:space="preserve">Province</w:t>
                  </w:r>
                </w:p>
              </w:tc>
              <w:tc>
                <w:tcPr/>
                <w:p>
                  <w:pPr>
                    <w:pStyle w:val="Compact"/>
                    <w:jc w:val="left"/>
                    <w:jc w:val="center"/>
                  </w:pPr>
                  <w:r>
                    <w:t xml:space="preserve">2-letter code (e.g. WC, GP, FS)</w:t>
                  </w:r>
                </w:p>
              </w:tc>
              <w:tc>
                <w:tcPr/>
                <w:p>
                  <w:pPr>
                    <w:pStyle w:val="Compact"/>
                    <w:jc w:val="left"/>
                    <w:jc w:val="center"/>
                  </w:pPr>
                  <w:r>
                    <w:t xml:space="preserve">Province of exposure, not of facility</w:t>
                  </w:r>
                </w:p>
              </w:tc>
            </w:tr>
            <w:tr>
              <w:tc>
                <w:tcPr/>
                <w:p>
                  <w:pPr>
                    <w:pStyle w:val="Compact"/>
                    <w:jc w:val="left"/>
                    <w:jc w:val="center"/>
                  </w:pPr>
                  <w:r>
                    <w:t xml:space="preserve">District</w:t>
                  </w:r>
                </w:p>
              </w:tc>
              <w:tc>
                <w:tcPr/>
                <w:p>
                  <w:pPr>
                    <w:pStyle w:val="Compact"/>
                    <w:jc w:val="left"/>
                    <w:jc w:val="center"/>
                  </w:pPr>
                  <w:r>
                    <w:t xml:space="preserve">LIM-code or free text</w:t>
                  </w:r>
                </w:p>
              </w:tc>
              <w:tc>
                <w:tcPr/>
                <w:p>
                  <w:pPr>
                    <w:pStyle w:val="Compact"/>
                    <w:jc w:val="left"/>
                    <w:jc w:val="center"/>
                  </w:pPr>
                  <w:r>
                    <w:t xml:space="preserve">For geographic clustering analysis</w:t>
                  </w:r>
                </w:p>
              </w:tc>
            </w:tr>
            <w:tr>
              <w:tc>
                <w:tcPr/>
                <w:p>
                  <w:pPr>
                    <w:pStyle w:val="Compact"/>
                    <w:jc w:val="left"/>
                    <w:jc w:val="center"/>
                  </w:pPr>
                  <w:r>
                    <w:t xml:space="preserve">Outcome at notification</w:t>
                  </w:r>
                </w:p>
              </w:tc>
              <w:tc>
                <w:tcPr/>
                <w:p>
                  <w:pPr>
                    <w:pStyle w:val="Compact"/>
                    <w:jc w:val="left"/>
                    <w:jc w:val="center"/>
                  </w:pPr>
                  <w:r>
                    <w:t xml:space="preserve">Survived / Died / Unknown</w:t>
                  </w:r>
                </w:p>
              </w:tc>
              <w:tc>
                <w:tcPr/>
                <w:p>
                  <w:pPr>
                    <w:pStyle w:val="Compact"/>
                    <w:jc w:val="left"/>
                    <w:jc w:val="center"/>
                  </w:pPr>
                  <w:r>
                    <w:t xml:space="preserve">MUST be updated if outcome changes</w:t>
                  </w:r>
                </w:p>
              </w:tc>
            </w:tr>
            <w:tr>
              <w:tc>
                <w:tcPr/>
                <w:p>
                  <w:pPr>
                    <w:pStyle w:val="Compact"/>
                    <w:jc w:val="left"/>
                    <w:jc w:val="center"/>
                  </w:pPr>
                  <w:r>
                    <w:t xml:space="preserve">AfriTox product name</w:t>
                  </w:r>
                </w:p>
              </w:tc>
              <w:tc>
                <w:tcPr/>
                <w:p>
                  <w:pPr>
                    <w:pStyle w:val="Compact"/>
                    <w:jc w:val="left"/>
                    <w:jc w:val="center"/>
                  </w:pPr>
                  <w:r>
                    <w:t xml:space="preserve">Free text + drop-down lookup</w:t>
                  </w:r>
                </w:p>
              </w:tc>
              <w:tc>
                <w:tcPr/>
                <w:p>
                  <w:pPr>
                    <w:pStyle w:val="Compact"/>
                    <w:jc w:val="left"/>
                    <w:jc w:val="center"/>
                  </w:pPr>
                  <w:r>
                    <w:t xml:space="preserve">Mandatory field;</w:t>
                  </w:r>
                  <w:r>
                    <w:t xml:space="preserve"> </w:t>
                  </w:r>
                  <w:r>
                    <w:t xml:space="preserve">“unknown”</w:t>
                  </w:r>
                  <w:r>
                    <w:t xml:space="preserve"> </w:t>
                  </w:r>
                  <w:r>
                    <w:t xml:space="preserve">is valid if product unidentified</w:t>
                  </w:r>
                </w:p>
              </w:tc>
            </w:tr>
            <w:tr>
              <w:tc>
                <w:tcPr/>
                <w:p>
                  <w:pPr>
                    <w:pStyle w:val="Compact"/>
                    <w:jc w:val="left"/>
                    <w:jc w:val="center"/>
                  </w:pPr>
                  <w:r>
                    <w:t xml:space="preserve">Notification source</w:t>
                  </w:r>
                </w:p>
              </w:tc>
              <w:tc>
                <w:tcPr/>
                <w:p>
                  <w:pPr>
                    <w:pStyle w:val="Compact"/>
                    <w:jc w:val="left"/>
                    <w:jc w:val="center"/>
                  </w:pPr>
                  <w:r>
                    <w:t xml:space="preserve">NMC-direct / PIH-MVD / NHLS-autonotify</w:t>
                  </w:r>
                </w:p>
              </w:tc>
              <w:tc>
                <w:tcPr/>
                <w:p>
                  <w:pPr>
                    <w:pStyle w:val="Compact"/>
                    <w:jc w:val="left"/>
                    <w:jc w:val="center"/>
                  </w:pPr>
                  <w:r>
                    <w:t xml:space="preserve">Tracks which stream generated the case</w:t>
                  </w:r>
                </w:p>
              </w:tc>
            </w:tr>
          </w:tbl>
          <w:bookmarkEnd w:id="94"/>
          <w:p/>
        </w:tc>
      </w:tr>
    </w:tbl>
    <w:p>
      <w:r>
        <w:pict>
          <v:rect style="width:0;height:1.5pt" o:hralign="center" o:hrstd="t" o:hr="t"/>
        </w:pict>
      </w:r>
    </w:p>
    <w:bookmarkEnd w:id="95"/>
    <w:bookmarkStart w:id="97" w:name="Xbdec99e1495119535fb00518661ebcfb9f5fa0c"/>
    <w:p>
      <w:pPr>
        <w:pStyle w:val="Heading3"/>
      </w:pPr>
      <w:r>
        <w:t xml:space="preserve">A2. PIH MVD — required fields including demographic variables</w:t>
      </w:r>
    </w:p>
    <w:p>
      <w:pPr>
        <w:pStyle w:val="FirstParagraph"/>
      </w:pPr>
      <w:r>
        <w:t xml:space="preserve">PIH captures call data in its existing Toxicology Management System (TMS). The following fields must be structured (coded, not free-text) in the PIH-to-NMC MVD feed to ensure the data are surveillance-ready.</w:t>
      </w:r>
      <w:r>
        <w:t xml:space="preserve"> </w:t>
      </w:r>
      <w:r>
        <w:rPr>
          <w:b/>
          <w:bCs/>
        </w:rPr>
        <w:t xml:space="preserve">Demographic variables are mandatory</w:t>
      </w:r>
      <w:r>
        <w:t xml:space="preserve"> </w:t>
      </w:r>
      <w:r>
        <w:t xml:space="preserve">— they are the primary tool for detecting vulnerable sub-populations (occupational exposure in farm workers, paediatric accidental ingestion, gender asymmetry in intentional self-harm) and for geographic clustering.</w:t>
      </w:r>
    </w:p>
    <w:tbl>
      <w:tblPr>
        <w:tblStyle w:val="Table"/>
        <w:tblW w:type="pct" w:w="5000"/>
        <w:tblLayout w:type="fixed"/>
        <w:tblLook w:firstRow="0" w:lastRow="0" w:firstColumn="0" w:lastColumn="0" w:noHBand="0" w:noVBand="0" w:val="0000"/>
      </w:tblPr>
      <w:tblGrid>
        <w:gridCol w:w="7920"/>
      </w:tblGrid>
      <w:tr>
        <w:tc>
          <w:tcPr/>
          <w:bookmarkStart w:id="96" w:name="tbl-pih-mvd"/>
          <w:p>
            <w:pPr>
              <w:jc w:val="center"/>
            </w:pPr>
            <w:pPr>
              <w:jc w:val="left"/>
              <w:spacing w:before="200"/>
              <w:pStyle w:val="ImageCaption"/>
            </w:pPr>
            <w:r>
              <w:t xml:space="preserve">Table 9: PIH MVD — full field specification including demographic variables. Demographic fields (age, sex, caller type, occupation) are mandatory for all calls; a structured unknown code is required if data are not available — blank fields will be rejected in the NMC ingest pipeline.</w:t>
            </w:r>
          </w:p>
          <w:tbl>
            <w:tblPr>
              <w:tblStyle w:val="Table"/>
              <w:tblW w:type="pct" w:w="5000"/>
              <w:tblLayout w:type="fixed"/>
              <w:tblLook w:firstRow="1" w:lastRow="0" w:firstColumn="0" w:lastColumn="0" w:noHBand="0" w:noVBand="0" w:val="0020"/>
            </w:tblPr>
            <w:tblGrid>
              <w:gridCol w:w="1920"/>
              <w:gridCol w:w="1680"/>
              <w:gridCol w:w="1920"/>
              <w:gridCol w:w="2400"/>
            </w:tblGrid>
            <w:tr>
              <w:trPr>
                <w:tblHeader w:val="on"/>
              </w:trPr>
              <w:tc>
                <w:tcPr/>
                <w:p>
                  <w:pPr>
                    <w:pStyle w:val="Compact"/>
                    <w:jc w:val="left"/>
                    <w:jc w:val="center"/>
                  </w:pPr>
                  <w:r>
                    <w:t xml:space="preserve">Domain</w:t>
                  </w:r>
                </w:p>
              </w:tc>
              <w:tc>
                <w:tcPr/>
                <w:p>
                  <w:pPr>
                    <w:pStyle w:val="Compact"/>
                    <w:jc w:val="left"/>
                    <w:jc w:val="center"/>
                  </w:pPr>
                  <w:r>
                    <w:t xml:space="preserve">Field</w:t>
                  </w:r>
                </w:p>
              </w:tc>
              <w:tc>
                <w:tcPr/>
                <w:p>
                  <w:pPr>
                    <w:pStyle w:val="Compact"/>
                    <w:jc w:val="left"/>
                    <w:jc w:val="center"/>
                  </w:pPr>
                  <w:r>
                    <w:t xml:space="preserve">Format</w:t>
                  </w:r>
                </w:p>
              </w:tc>
              <w:tc>
                <w:tcPr/>
                <w:p>
                  <w:pPr>
                    <w:pStyle w:val="Compact"/>
                    <w:jc w:val="left"/>
                    <w:jc w:val="center"/>
                  </w:pPr>
                  <w:r>
                    <w:t xml:space="preserve">Rationale</w:t>
                  </w:r>
                </w:p>
              </w:tc>
            </w:tr>
            <w:tr>
              <w:tc>
                <w:tcPr/>
                <w:p>
                  <w:pPr>
                    <w:pStyle w:val="Compact"/>
                    <w:jc w:val="left"/>
                    <w:jc w:val="center"/>
                  </w:pPr>
                  <w:r>
                    <w:rPr>
                      <w:b/>
                      <w:bCs/>
                    </w:rPr>
                    <w:t xml:space="preserve">Demographics</w:t>
                  </w:r>
                </w:p>
              </w:tc>
              <w:tc>
                <w:tcPr/>
                <w:p>
                  <w:pPr>
                    <w:pStyle w:val="Compact"/>
                    <w:jc w:val="left"/>
                    <w:jc w:val="center"/>
                  </w:pPr>
                  <w:r>
                    <w:t xml:space="preserve">Age</w:t>
                  </w:r>
                </w:p>
              </w:tc>
              <w:tc>
                <w:tcPr/>
                <w:p>
                  <w:pPr>
                    <w:pStyle w:val="Compact"/>
                    <w:jc w:val="left"/>
                    <w:jc w:val="center"/>
                  </w:pPr>
                  <w:r>
                    <w:t xml:space="preserve">Integer (years) or age-band (0–4, 5–14, 15–24, 25–34, 35–49, 50–64, ≥65)</w:t>
                  </w:r>
                </w:p>
              </w:tc>
              <w:tc>
                <w:tcPr/>
                <w:p>
                  <w:pPr>
                    <w:pStyle w:val="Compact"/>
                    <w:jc w:val="left"/>
                    <w:jc w:val="center"/>
                  </w:pPr>
                  <w:r>
                    <w:t xml:space="preserve">Paediatric vs. adult exposure patterns differ; required for burden modelling</w:t>
                  </w:r>
                </w:p>
              </w:tc>
            </w:tr>
            <w:tr>
              <w:tc>
                <w:tcPr/>
                <w:p>
                  <w:pPr>
                    <w:pStyle w:val="Compact"/>
                    <w:jc w:val="left"/>
                    <w:jc w:val="center"/>
                  </w:pPr>
                  <w:r>
                    <w:rPr>
                      <w:b/>
                      <w:bCs/>
                    </w:rPr>
                    <w:t xml:space="preserve">Demographics</w:t>
                  </w:r>
                </w:p>
              </w:tc>
              <w:tc>
                <w:tcPr/>
                <w:p>
                  <w:pPr>
                    <w:pStyle w:val="Compact"/>
                    <w:jc w:val="left"/>
                    <w:jc w:val="center"/>
                  </w:pPr>
                  <w:r>
                    <w:t xml:space="preserve">Sex</w:t>
                  </w:r>
                </w:p>
              </w:tc>
              <w:tc>
                <w:tcPr/>
                <w:p>
                  <w:pPr>
                    <w:pStyle w:val="Compact"/>
                    <w:jc w:val="left"/>
                    <w:jc w:val="center"/>
                  </w:pPr>
                  <w:r>
                    <w:t xml:space="preserve">M / F / Unknown</w:t>
                  </w:r>
                </w:p>
              </w:tc>
              <w:tc>
                <w:tcPr/>
                <w:p>
                  <w:pPr>
                    <w:pStyle w:val="Compact"/>
                    <w:jc w:val="left"/>
                    <w:jc w:val="center"/>
                  </w:pPr>
                  <w:r>
                    <w:t xml:space="preserve">Gender asymmetry in intentional self-harm is a known signal</w:t>
                  </w:r>
                </w:p>
              </w:tc>
            </w:tr>
            <w:tr>
              <w:tc>
                <w:tcPr/>
                <w:p>
                  <w:pPr>
                    <w:pStyle w:val="Compact"/>
                    <w:jc w:val="left"/>
                    <w:jc w:val="center"/>
                  </w:pPr>
                  <w:r>
                    <w:rPr>
                      <w:b/>
                      <w:bCs/>
                    </w:rPr>
                    <w:t xml:space="preserve">Demographics</w:t>
                  </w:r>
                </w:p>
              </w:tc>
              <w:tc>
                <w:tcPr/>
                <w:p>
                  <w:pPr>
                    <w:pStyle w:val="Compact"/>
                    <w:jc w:val="left"/>
                    <w:jc w:val="center"/>
                  </w:pPr>
                  <w:r>
                    <w:t xml:space="preserve">Caller type</w:t>
                  </w:r>
                </w:p>
              </w:tc>
              <w:tc>
                <w:tcPr/>
                <w:p>
                  <w:pPr>
                    <w:pStyle w:val="Compact"/>
                    <w:jc w:val="left"/>
                    <w:jc w:val="center"/>
                  </w:pPr>
                  <w:r>
                    <w:t xml:space="preserve">Patient / Clinician / Caregiver / Other</w:t>
                  </w:r>
                </w:p>
              </w:tc>
              <w:tc>
                <w:tcPr/>
                <w:p>
                  <w:pPr>
                    <w:pStyle w:val="Compact"/>
                    <w:jc w:val="left"/>
                    <w:jc w:val="center"/>
                  </w:pPr>
                  <w:r>
                    <w:t xml:space="preserve">Distinguishes clinician-initiated (surveillance-relevant) from lay calls</w:t>
                  </w:r>
                </w:p>
              </w:tc>
            </w:tr>
            <w:tr>
              <w:tc>
                <w:tcPr/>
                <w:p>
                  <w:pPr>
                    <w:pStyle w:val="Compact"/>
                    <w:jc w:val="left"/>
                    <w:jc w:val="center"/>
                  </w:pPr>
                  <w:r>
                    <w:rPr>
                      <w:b/>
                      <w:bCs/>
                    </w:rPr>
                    <w:t xml:space="preserve">Demographics</w:t>
                  </w:r>
                </w:p>
              </w:tc>
              <w:tc>
                <w:tcPr/>
                <w:p>
                  <w:pPr>
                    <w:pStyle w:val="Compact"/>
                    <w:jc w:val="left"/>
                    <w:jc w:val="center"/>
                  </w:pPr>
                  <w:r>
                    <w:t xml:space="preserve">Occupation (if stated)</w:t>
                  </w:r>
                </w:p>
              </w:tc>
              <w:tc>
                <w:tcPr/>
                <w:p>
                  <w:pPr>
                    <w:pStyle w:val="Compact"/>
                    <w:jc w:val="left"/>
                    <w:jc w:val="center"/>
                  </w:pPr>
                  <w:r>
                    <w:t xml:space="preserve">Free text + coded: farm worker / pesticide applicator / domestic worker / child / other / unknown</w:t>
                  </w:r>
                </w:p>
              </w:tc>
              <w:tc>
                <w:tcPr/>
                <w:p>
                  <w:pPr>
                    <w:pStyle w:val="Compact"/>
                    <w:jc w:val="left"/>
                    <w:jc w:val="center"/>
                  </w:pPr>
                  <w:r>
                    <w:t xml:space="preserve">Occupational exposure is systematically under-identified</w:t>
                  </w:r>
                </w:p>
              </w:tc>
            </w:tr>
            <w:tr>
              <w:tc>
                <w:tcPr/>
                <w:p>
                  <w:pPr>
                    <w:pStyle w:val="Compact"/>
                    <w:jc w:val="left"/>
                    <w:jc w:val="center"/>
                  </w:pPr>
                  <w:r>
                    <w:rPr>
                      <w:b/>
                      <w:bCs/>
                    </w:rPr>
                    <w:t xml:space="preserve">Geography</w:t>
                  </w:r>
                </w:p>
              </w:tc>
              <w:tc>
                <w:tcPr/>
                <w:p>
                  <w:pPr>
                    <w:pStyle w:val="Compact"/>
                    <w:jc w:val="left"/>
                    <w:jc w:val="center"/>
                  </w:pPr>
                  <w:r>
                    <w:t xml:space="preserve">Province of caller</w:t>
                  </w:r>
                </w:p>
              </w:tc>
              <w:tc>
                <w:tcPr/>
                <w:p>
                  <w:pPr>
                    <w:pStyle w:val="Compact"/>
                    <w:jc w:val="left"/>
                    <w:jc w:val="center"/>
                  </w:pPr>
                  <w:r>
                    <w:t xml:space="preserve">2-letter code</w:t>
                  </w:r>
                </w:p>
              </w:tc>
              <w:tc>
                <w:tcPr/>
                <w:p>
                  <w:pPr>
                    <w:pStyle w:val="Compact"/>
                    <w:jc w:val="left"/>
                    <w:jc w:val="center"/>
                  </w:pPr>
                  <w:r>
                    <w:t xml:space="preserve">Derived from caller area code or stated by caller</w:t>
                  </w:r>
                </w:p>
              </w:tc>
            </w:tr>
            <w:tr>
              <w:tc>
                <w:tcPr/>
                <w:p>
                  <w:pPr>
                    <w:pStyle w:val="Compact"/>
                    <w:jc w:val="left"/>
                    <w:jc w:val="center"/>
                  </w:pPr>
                  <w:r>
                    <w:rPr>
                      <w:b/>
                      <w:bCs/>
                    </w:rPr>
                    <w:t xml:space="preserve">Geography</w:t>
                  </w:r>
                </w:p>
              </w:tc>
              <w:tc>
                <w:tcPr/>
                <w:p>
                  <w:pPr>
                    <w:pStyle w:val="Compact"/>
                    <w:jc w:val="left"/>
                    <w:jc w:val="center"/>
                  </w:pPr>
                  <w:r>
                    <w:t xml:space="preserve">District (if known)</w:t>
                  </w:r>
                </w:p>
              </w:tc>
              <w:tc>
                <w:tcPr/>
                <w:p>
                  <w:pPr>
                    <w:pStyle w:val="Compact"/>
                    <w:jc w:val="left"/>
                    <w:jc w:val="center"/>
                  </w:pPr>
                  <w:r>
                    <w:t xml:space="preserve">LIM-code or free text</w:t>
                  </w:r>
                </w:p>
              </w:tc>
              <w:tc>
                <w:tcPr/>
                <w:p>
                  <w:pPr>
                    <w:pStyle w:val="Compact"/>
                    <w:jc w:val="left"/>
                    <w:jc w:val="center"/>
                  </w:pPr>
                  <w:r>
                    <w:t xml:space="preserve">Optional but captures rural/urban signal</w:t>
                  </w:r>
                </w:p>
              </w:tc>
            </w:tr>
            <w:tr>
              <w:tc>
                <w:tcPr/>
                <w:p>
                  <w:pPr>
                    <w:pStyle w:val="Compact"/>
                    <w:jc w:val="left"/>
                    <w:jc w:val="center"/>
                  </w:pPr>
                  <w:r>
                    <w:rPr>
                      <w:b/>
                      <w:bCs/>
                    </w:rPr>
                    <w:t xml:space="preserve">Exposure</w:t>
                  </w:r>
                </w:p>
              </w:tc>
              <w:tc>
                <w:tcPr/>
                <w:p>
                  <w:pPr>
                    <w:pStyle w:val="Compact"/>
                    <w:jc w:val="left"/>
                    <w:jc w:val="center"/>
                  </w:pPr>
                  <w:r>
                    <w:t xml:space="preserve">Pesticide type</w:t>
                  </w:r>
                </w:p>
              </w:tc>
              <w:tc>
                <w:tcPr/>
                <w:p>
                  <w:pPr>
                    <w:pStyle w:val="Compact"/>
                    <w:jc w:val="left"/>
                    <w:jc w:val="center"/>
                  </w:pPr>
                  <w:r>
                    <w:t xml:space="preserve">NMC drop-down (see A1)</w:t>
                  </w:r>
                </w:p>
              </w:tc>
              <w:tc>
                <w:tcPr/>
                <w:p>
                  <w:pPr>
                    <w:pStyle w:val="Compact"/>
                    <w:jc w:val="left"/>
                    <w:jc w:val="center"/>
                  </w:pPr>
                  <w:r>
                    <w:t xml:space="preserve">Must align with NMC classification for linkage</w:t>
                  </w:r>
                </w:p>
              </w:tc>
            </w:tr>
            <w:tr>
              <w:tc>
                <w:tcPr/>
                <w:p>
                  <w:pPr>
                    <w:pStyle w:val="Compact"/>
                    <w:jc w:val="left"/>
                    <w:jc w:val="center"/>
                  </w:pPr>
                  <w:r>
                    <w:rPr>
                      <w:b/>
                      <w:bCs/>
                    </w:rPr>
                    <w:t xml:space="preserve">Exposure</w:t>
                  </w:r>
                </w:p>
              </w:tc>
              <w:tc>
                <w:tcPr/>
                <w:p>
                  <w:pPr>
                    <w:pStyle w:val="Compact"/>
                    <w:jc w:val="left"/>
                    <w:jc w:val="center"/>
                  </w:pPr>
                  <w:r>
                    <w:t xml:space="preserve">AfriTox product name</w:t>
                  </w:r>
                </w:p>
              </w:tc>
              <w:tc>
                <w:tcPr/>
                <w:p>
                  <w:pPr>
                    <w:pStyle w:val="Compact"/>
                    <w:jc w:val="left"/>
                    <w:jc w:val="center"/>
                  </w:pPr>
                  <w:r>
                    <w:t xml:space="preserve">Free text + drop-down lookup</w:t>
                  </w:r>
                </w:p>
              </w:tc>
              <w:tc>
                <w:tcPr/>
                <w:p>
                  <w:pPr>
                    <w:pStyle w:val="Compact"/>
                    <w:jc w:val="left"/>
                    <w:jc w:val="center"/>
                  </w:pPr>
                  <w:r>
                    <w:t xml:space="preserve">Mandatory;</w:t>
                  </w:r>
                  <w:r>
                    <w:t xml:space="preserve"> </w:t>
                  </w:r>
                  <w:r>
                    <w:t xml:space="preserve">“unknown”</w:t>
                  </w:r>
                  <w:r>
                    <w:t xml:space="preserve"> </w:t>
                  </w:r>
                  <w:r>
                    <w:t xml:space="preserve">valid</w:t>
                  </w:r>
                </w:p>
              </w:tc>
            </w:tr>
            <w:tr>
              <w:tc>
                <w:tcPr/>
                <w:p>
                  <w:pPr>
                    <w:pStyle w:val="Compact"/>
                    <w:jc w:val="left"/>
                    <w:jc w:val="center"/>
                  </w:pPr>
                  <w:r>
                    <w:rPr>
                      <w:b/>
                      <w:bCs/>
                    </w:rPr>
                    <w:t xml:space="preserve">Exposure</w:t>
                  </w:r>
                </w:p>
              </w:tc>
              <w:tc>
                <w:tcPr/>
                <w:p>
                  <w:pPr>
                    <w:pStyle w:val="Compact"/>
                    <w:jc w:val="left"/>
                    <w:jc w:val="center"/>
                  </w:pPr>
                  <w:r>
                    <w:t xml:space="preserve">Route</w:t>
                  </w:r>
                </w:p>
              </w:tc>
              <w:tc>
                <w:tcPr/>
                <w:p>
                  <w:pPr>
                    <w:pStyle w:val="Compact"/>
                    <w:jc w:val="left"/>
                    <w:jc w:val="center"/>
                  </w:pPr>
                  <w:r>
                    <w:t xml:space="preserve">Ingestion / Dermal / Inhalation / Ocular / Unknown</w:t>
                  </w:r>
                </w:p>
              </w:tc>
              <w:tc>
                <w:tcPr/>
                <w:p>
                  <w:pPr>
                    <w:pStyle w:val="Compact"/>
                    <w:jc w:val="left"/>
                    <w:jc w:val="center"/>
                  </w:pPr>
                  <w:r>
                    <w:t xml:space="preserve">Route influences clinical management and surveillance signal</w:t>
                  </w:r>
                </w:p>
              </w:tc>
            </w:tr>
            <w:tr>
              <w:tc>
                <w:tcPr/>
                <w:p>
                  <w:pPr>
                    <w:pStyle w:val="Compact"/>
                    <w:jc w:val="left"/>
                    <w:jc w:val="center"/>
                  </w:pPr>
                  <w:r>
                    <w:rPr>
                      <w:b/>
                      <w:bCs/>
                    </w:rPr>
                    <w:t xml:space="preserve">Circumstances</w:t>
                  </w:r>
                </w:p>
              </w:tc>
              <w:tc>
                <w:tcPr/>
                <w:p>
                  <w:pPr>
                    <w:pStyle w:val="Compact"/>
                    <w:jc w:val="left"/>
                    <w:jc w:val="center"/>
                  </w:pPr>
                  <w:r>
                    <w:t xml:space="preserve">Intent</w:t>
                  </w:r>
                </w:p>
              </w:tc>
              <w:tc>
                <w:tcPr/>
                <w:p>
                  <w:pPr>
                    <w:pStyle w:val="Compact"/>
                    <w:jc w:val="left"/>
                    <w:jc w:val="center"/>
                  </w:pPr>
                  <w:r>
                    <w:t xml:space="preserve">NMC circumstance codes (see A1)</w:t>
                  </w:r>
                </w:p>
              </w:tc>
              <w:tc>
                <w:tcPr/>
                <w:p>
                  <w:pPr>
                    <w:pStyle w:val="Compact"/>
                    <w:jc w:val="left"/>
                    <w:jc w:val="center"/>
                  </w:pPr>
                  <w:r>
                    <w:t xml:space="preserve">Caller-reported; may be updated by treating clinician</w:t>
                  </w:r>
                </w:p>
              </w:tc>
            </w:tr>
            <w:tr>
              <w:tc>
                <w:tcPr/>
                <w:p>
                  <w:pPr>
                    <w:pStyle w:val="Compact"/>
                    <w:jc w:val="left"/>
                    <w:jc w:val="center"/>
                  </w:pPr>
                  <w:r>
                    <w:rPr>
                      <w:b/>
                      <w:bCs/>
                    </w:rPr>
                    <w:t xml:space="preserve">Clinical</w:t>
                  </w:r>
                </w:p>
              </w:tc>
              <w:tc>
                <w:tcPr/>
                <w:p>
                  <w:pPr>
                    <w:pStyle w:val="Compact"/>
                    <w:jc w:val="left"/>
                    <w:jc w:val="center"/>
                  </w:pPr>
                  <w:r>
                    <w:t xml:space="preserve">Severity (caller-assessed)</w:t>
                  </w:r>
                </w:p>
              </w:tc>
              <w:tc>
                <w:tcPr/>
                <w:p>
                  <w:pPr>
                    <w:pStyle w:val="Compact"/>
                    <w:jc w:val="left"/>
                    <w:jc w:val="center"/>
                  </w:pPr>
                  <w:r>
                    <w:t xml:space="preserve">Mild / Moderate / Severe / Unknown</w:t>
                  </w:r>
                </w:p>
              </w:tc>
              <w:tc>
                <w:tcPr/>
                <w:p>
                  <w:pPr>
                    <w:pStyle w:val="Compact"/>
                    <w:jc w:val="left"/>
                    <w:jc w:val="center"/>
                  </w:pPr>
                  <w:r>
                    <w:t xml:space="preserve">PSS (Poisoning Severity Score) if TMS supports it</w:t>
                  </w:r>
                </w:p>
              </w:tc>
            </w:tr>
            <w:tr>
              <w:tc>
                <w:tcPr/>
                <w:p>
                  <w:pPr>
                    <w:pStyle w:val="Compact"/>
                    <w:jc w:val="left"/>
                    <w:jc w:val="center"/>
                  </w:pPr>
                  <w:r>
                    <w:rPr>
                      <w:b/>
                      <w:bCs/>
                    </w:rPr>
                    <w:t xml:space="preserve">Clinical</w:t>
                  </w:r>
                </w:p>
              </w:tc>
              <w:tc>
                <w:tcPr/>
                <w:p>
                  <w:pPr>
                    <w:pStyle w:val="Compact"/>
                    <w:jc w:val="left"/>
                    <w:jc w:val="center"/>
                  </w:pPr>
                  <w:r>
                    <w:t xml:space="preserve">Referred to facility</w:t>
                  </w:r>
                </w:p>
              </w:tc>
              <w:tc>
                <w:tcPr/>
                <w:p>
                  <w:pPr>
                    <w:pStyle w:val="Compact"/>
                    <w:jc w:val="left"/>
                    <w:jc w:val="center"/>
                  </w:pPr>
                  <w:r>
                    <w:t xml:space="preserve">Yes / No / Unknown</w:t>
                  </w:r>
                </w:p>
              </w:tc>
              <w:tc>
                <w:tcPr/>
                <w:p>
                  <w:pPr>
                    <w:pStyle w:val="Compact"/>
                    <w:jc w:val="left"/>
                    <w:jc w:val="center"/>
                  </w:pPr>
                  <w:r>
                    <w:t xml:space="preserve">Links call record to potential NMC notification</w:t>
                  </w:r>
                </w:p>
              </w:tc>
            </w:tr>
            <w:tr>
              <w:tc>
                <w:tcPr/>
                <w:p>
                  <w:pPr>
                    <w:pStyle w:val="Compact"/>
                    <w:jc w:val="left"/>
                    <w:jc w:val="center"/>
                  </w:pPr>
                  <w:r>
                    <w:rPr>
                      <w:b/>
                      <w:bCs/>
                    </w:rPr>
                    <w:t xml:space="preserve">Linkage</w:t>
                  </w:r>
                </w:p>
              </w:tc>
              <w:tc>
                <w:tcPr/>
                <w:p>
                  <w:pPr>
                    <w:pStyle w:val="Compact"/>
                    <w:jc w:val="left"/>
                    <w:jc w:val="center"/>
                  </w:pPr>
                  <w:r>
                    <w:t xml:space="preserve">NMC notification number</w:t>
                  </w:r>
                </w:p>
              </w:tc>
              <w:tc>
                <w:tcPr/>
                <w:p>
                  <w:pPr>
                    <w:pStyle w:val="Compact"/>
                    <w:jc w:val="left"/>
                    <w:jc w:val="center"/>
                  </w:pPr>
                  <w:r>
                    <w:t xml:space="preserve">Free text (if referred and notified)</w:t>
                  </w:r>
                </w:p>
              </w:tc>
              <w:tc>
                <w:tcPr/>
                <w:p>
                  <w:pPr>
                    <w:pStyle w:val="Compact"/>
                    <w:jc w:val="left"/>
                    <w:jc w:val="center"/>
                  </w:pPr>
                  <w:r>
                    <w:t xml:space="preserve">Enables de-duplicated case linking across PIH + NMC streams</w:t>
                  </w:r>
                </w:p>
              </w:tc>
            </w:tr>
            <w:tr>
              <w:tc>
                <w:tcPr/>
                <w:p>
                  <w:pPr>
                    <w:pStyle w:val="Compact"/>
                    <w:jc w:val="left"/>
                    <w:jc w:val="center"/>
                  </w:pPr>
                  <w:r>
                    <w:rPr>
                      <w:b/>
                      <w:bCs/>
                    </w:rPr>
                    <w:t xml:space="preserve">System</w:t>
                  </w:r>
                </w:p>
              </w:tc>
              <w:tc>
                <w:tcPr/>
                <w:p>
                  <w:pPr>
                    <w:pStyle w:val="Compact"/>
                    <w:jc w:val="left"/>
                    <w:jc w:val="center"/>
                  </w:pPr>
                  <w:r>
                    <w:t xml:space="preserve">Call date and time</w:t>
                  </w:r>
                </w:p>
              </w:tc>
              <w:tc>
                <w:tcPr/>
                <w:p>
                  <w:pPr>
                    <w:pStyle w:val="Compact"/>
                    <w:jc w:val="left"/>
                    <w:jc w:val="center"/>
                  </w:pPr>
                  <w:r>
                    <w:t xml:space="preserve">ISO 8601 (YYYY-MM-DDTHH:MM)</w:t>
                  </w:r>
                </w:p>
              </w:tc>
              <w:tc>
                <w:tcPr/>
                <w:p>
                  <w:pPr>
                    <w:pStyle w:val="Compact"/>
                    <w:jc w:val="left"/>
                    <w:jc w:val="center"/>
                  </w:pPr>
                  <w:r>
                    <w:t xml:space="preserve">Required for temporal clustering and latency audit</w:t>
                  </w:r>
                </w:p>
              </w:tc>
            </w:tr>
            <w:tr>
              <w:tc>
                <w:tcPr/>
                <w:p>
                  <w:pPr>
                    <w:pStyle w:val="Compact"/>
                    <w:jc w:val="left"/>
                    <w:jc w:val="center"/>
                  </w:pPr>
                  <w:r>
                    <w:rPr>
                      <w:b/>
                      <w:bCs/>
                    </w:rPr>
                    <w:t xml:space="preserve">System</w:t>
                  </w:r>
                </w:p>
              </w:tc>
              <w:tc>
                <w:tcPr/>
                <w:p>
                  <w:pPr>
                    <w:pStyle w:val="Compact"/>
                    <w:jc w:val="left"/>
                    <w:jc w:val="center"/>
                  </w:pPr>
                  <w:r>
                    <w:t xml:space="preserve">TMS call ID</w:t>
                  </w:r>
                </w:p>
              </w:tc>
              <w:tc>
                <w:tcPr/>
                <w:p>
                  <w:pPr>
                    <w:pStyle w:val="Compact"/>
                    <w:jc w:val="left"/>
                    <w:jc w:val="center"/>
                  </w:pPr>
                  <w:r>
                    <w:t xml:space="preserve">Alphanumeric</w:t>
                  </w:r>
                </w:p>
              </w:tc>
              <w:tc>
                <w:tcPr/>
                <w:p>
                  <w:pPr>
                    <w:pStyle w:val="Compact"/>
                    <w:jc w:val="left"/>
                    <w:jc w:val="center"/>
                  </w:pPr>
                  <w:r>
                    <w:t xml:space="preserve">Internal identifier; retained for audit; not transmitted externally</w:t>
                  </w:r>
                </w:p>
              </w:tc>
            </w:tr>
          </w:tbl>
          <w:bookmarkEnd w:id="96"/>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pPr>
            <w:r>
              <w:rPr>
                <w:b/>
                <w:bCs/>
              </w:rPr>
              <w:t xml:space="preserve">POPIA compliance and secure transmission.</w:t>
            </w:r>
            <w:r>
              <w:t xml:space="preserve"> </w:t>
            </w:r>
            <w:r>
              <w:t xml:space="preserve">All PIH-to-NMC transmissions must be de-identified before transmission: no name, phone number, or exact address. Age-band (not exact age), province/district (not street address), and anonymised TMS call ID are sufficient for surveillance linkage and comply with Section 90 of the National Health Act (2003) and POPIA. Exact age may be retained internally within PIH TMS for clinical purposes and transmitted as age-band only.</w:t>
            </w:r>
          </w:p>
          <w:p>
            <w:pPr>
              <w:pStyle w:val="BodyText"/>
            </w:pPr>
            <w:pPr>
              <w:spacing w:after="16"/>
            </w:pPr>
            <w:r>
              <w:t xml:space="preserve">De-identified health data still constitutes personal information under POPIA. The PIH-to-NMC feed</w:t>
            </w:r>
            <w:r>
              <w:t xml:space="preserve"> </w:t>
            </w:r>
            <w:r>
              <w:rPr>
                <w:b/>
                <w:bCs/>
              </w:rPr>
              <w:t xml:space="preserve">must be implemented as a secure HTTPS/TLS API with mutual authentication</w:t>
            </w:r>
            <w:r>
              <w:t xml:space="preserve"> </w:t>
            </w:r>
            <w:r>
              <w:t xml:space="preserve">(client certificate or token-based) between the PIH TMS and the NMC ingest endpoint. Transmission over email, FTP, or unencrypted HTTP is not acceptable. The MVD ingest pipeline (line item 4 in the Option 2 operating cost) includes the cost of maintaining this secure channel; the one-off setup cost (</w:t>
            </w:r>
            <w:r>
              <w:rPr>
                <w:rStyle w:val="VerbatimChar"/>
              </w:rPr>
              <w:t xml:space="preserve">c_S1_PIH_MVD_setup</w:t>
            </w:r>
            <w:r>
              <w:t xml:space="preserve"> </w:t>
            </w:r>
            <w:r>
              <w:t xml:space="preserve">= R40,000) must include API security configuration and penetration testing as a go-live requirement.</w:t>
            </w:r>
          </w:p>
        </w:tc>
      </w:tr>
    </w:tbl>
    <w:p>
      <w:pPr>
        <w:pStyle w:val="BodyText"/>
      </w:pPr>
      <w:r>
        <w:t xml:space="preserve"> </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rPr>
                <w:b/>
                <w:bCs/>
              </w:rPr>
              <w:t xml:space="preserve">AfriTox agent-name harmonisation.</w:t>
            </w:r>
            <w:r>
              <w:t xml:space="preserve"> </w:t>
            </w:r>
            <w:r>
              <w:t xml:space="preserve">Both PIH (TMS) and NMC (notification form) must use the same AfriTox product-name controlled vocabulary so product-level attribution is consistent across streams. The Option 2 MVD workshop (Months 1–3) should produce a shared AfriTox lookup table embedded in both systems — a single workshop yields cross-stream agent attribution at scale.</w:t>
            </w:r>
          </w:p>
        </w:tc>
      </w:tr>
    </w:tbl>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77" Target="media/rId77.png" /><Relationship Type="http://schemas.openxmlformats.org/officeDocument/2006/relationships/image" Id="rId35" Target="media/rId35.png" /><Relationship Type="http://schemas.openxmlformats.org/officeDocument/2006/relationships/hyperlink" Id="rId14" Target="../amua_import_parameters_v4.csv" TargetMode="External" /><Relationship Type="http://schemas.openxmlformats.org/officeDocument/2006/relationships/hyperlink" Id="rId90" Target="../analysis_report_v2.qmd" TargetMode="External" /><Relationship Type="http://schemas.openxmlformats.org/officeDocument/2006/relationships/hyperlink" Id="rId49" Target="../data/surveillance_costing.xlsx" TargetMode="External" /><Relationship Type="http://schemas.openxmlformats.org/officeDocument/2006/relationships/hyperlink" Id="rId15" Target="../parameter_appraisal.qmd" TargetMode="External" /><Relationship Type="http://schemas.openxmlformats.org/officeDocument/2006/relationships/hyperlink" Id="rId22" Target="../parameter_playground.qmd" TargetMode="External" /><Relationship Type="http://schemas.openxmlformats.org/officeDocument/2006/relationships/hyperlink" Id="rId13" Target="../parameters_hub.html" TargetMode="External" /><Relationship Type="http://schemas.openxmlformats.org/officeDocument/2006/relationships/hyperlink" Id="rId63" Target="../parameters_hub.qmd" TargetMode="External" /><Relationship Type="http://schemas.openxmlformats.org/officeDocument/2006/relationships/hyperlink" Id="rId31" Target="../parameters_hub.qmd#tbl-burden" TargetMode="External" /><Relationship Type="http://schemas.openxmlformats.org/officeDocument/2006/relationships/hyperlink" Id="rId32" Target="../parameters_hub.qmd#tbl-detection" TargetMode="External" /><Relationship Type="http://schemas.openxmlformats.org/officeDocument/2006/relationships/hyperlink" Id="rId9" Target="coordination_policy.qmd" TargetMode="External" /><Relationship Type="http://schemas.openxmlformats.org/officeDocument/2006/relationships/hyperlink" Id="rId89" Target="costing_analysis.qmd" TargetMode="External" /><Relationship Type="http://schemas.openxmlformats.org/officeDocument/2006/relationships/hyperlink" Id="rId88" Target="decision_model.qmd" TargetMode="External" /><Relationship Type="http://schemas.openxmlformats.org/officeDocument/2006/relationships/hyperlink" Id="rId18" Target="https://gt.rstudio.com/" TargetMode="External" /><Relationship Type="http://schemas.openxmlformats.org/officeDocument/2006/relationships/hyperlink" Id="rId21" Target="https://mermaid.js.org/" TargetMode="External" /><Relationship Type="http://schemas.openxmlformats.org/officeDocument/2006/relationships/hyperlink" Id="rId23" Target="https://observablehq.com/@observablehq/observable-javascript" TargetMode="External" /><Relationship Type="http://schemas.openxmlformats.org/officeDocument/2006/relationships/hyperlink" Id="rId20" Target="https://scales.r-lib.org/" TargetMode="External" /><Relationship Type="http://schemas.openxmlformats.org/officeDocument/2006/relationships/hyperlink" Id="rId57" Target="https://www.health.gov.za/wp-content/uploads/2023/09/DOH-Guideline-Investigation-Human-Chemical-Poisoning-1.pdf" TargetMode="External" /><Relationship Type="http://schemas.openxmlformats.org/officeDocument/2006/relationships/hyperlink" Id="rId19" Target="https://www.tidyverse.org/" TargetMode="External" /><Relationship Type="http://schemas.openxmlformats.org/officeDocument/2006/relationships/hyperlink" Id="rId59" Target="surveillance_concept_note.qmd" TargetMode="External" /><Relationship Type="http://schemas.openxmlformats.org/officeDocument/2006/relationships/hyperlink" Id="rId10" Target="terbufos_policy.qmd" TargetMode="External" /></Relationships>
</file>

<file path=word/_rels/footnotes.xml.rels><?xml version="1.0" encoding="UTF-8"?><Relationships xmlns="http://schemas.openxmlformats.org/package/2006/relationships"><Relationship Type="http://schemas.openxmlformats.org/officeDocument/2006/relationships/hyperlink" Id="rId14" Target="../amua_import_parameters_v4.csv" TargetMode="External" /><Relationship Type="http://schemas.openxmlformats.org/officeDocument/2006/relationships/hyperlink" Id="rId90" Target="../analysis_report_v2.qmd" TargetMode="External" /><Relationship Type="http://schemas.openxmlformats.org/officeDocument/2006/relationships/hyperlink" Id="rId49" Target="../data/surveillance_costing.xlsx" TargetMode="External" /><Relationship Type="http://schemas.openxmlformats.org/officeDocument/2006/relationships/hyperlink" Id="rId15" Target="../parameter_appraisal.qmd" TargetMode="External" /><Relationship Type="http://schemas.openxmlformats.org/officeDocument/2006/relationships/hyperlink" Id="rId22" Target="../parameter_playground.qmd" TargetMode="External" /><Relationship Type="http://schemas.openxmlformats.org/officeDocument/2006/relationships/hyperlink" Id="rId13" Target="../parameters_hub.html" TargetMode="External" /><Relationship Type="http://schemas.openxmlformats.org/officeDocument/2006/relationships/hyperlink" Id="rId63" Target="../parameters_hub.qmd" TargetMode="External" /><Relationship Type="http://schemas.openxmlformats.org/officeDocument/2006/relationships/hyperlink" Id="rId31" Target="../parameters_hub.qmd#tbl-burden" TargetMode="External" /><Relationship Type="http://schemas.openxmlformats.org/officeDocument/2006/relationships/hyperlink" Id="rId32" Target="../parameters_hub.qmd#tbl-detection" TargetMode="External" /><Relationship Type="http://schemas.openxmlformats.org/officeDocument/2006/relationships/hyperlink" Id="rId9" Target="coordination_policy.qmd" TargetMode="External" /><Relationship Type="http://schemas.openxmlformats.org/officeDocument/2006/relationships/hyperlink" Id="rId89" Target="costing_analysis.qmd" TargetMode="External" /><Relationship Type="http://schemas.openxmlformats.org/officeDocument/2006/relationships/hyperlink" Id="rId88" Target="decision_model.qmd" TargetMode="External" /><Relationship Type="http://schemas.openxmlformats.org/officeDocument/2006/relationships/hyperlink" Id="rId18" Target="https://gt.rstudio.com/" TargetMode="External" /><Relationship Type="http://schemas.openxmlformats.org/officeDocument/2006/relationships/hyperlink" Id="rId21" Target="https://mermaid.js.org/" TargetMode="External" /><Relationship Type="http://schemas.openxmlformats.org/officeDocument/2006/relationships/hyperlink" Id="rId23" Target="https://observablehq.com/@observablehq/observable-javascript" TargetMode="External" /><Relationship Type="http://schemas.openxmlformats.org/officeDocument/2006/relationships/hyperlink" Id="rId20" Target="https://scales.r-lib.org/" TargetMode="External" /><Relationship Type="http://schemas.openxmlformats.org/officeDocument/2006/relationships/hyperlink" Id="rId57" Target="https://www.health.gov.za/wp-content/uploads/2023/09/DOH-Guideline-Investigation-Human-Chemical-Poisoning-1.pdf" TargetMode="External" /><Relationship Type="http://schemas.openxmlformats.org/officeDocument/2006/relationships/hyperlink" Id="rId19" Target="https://www.tidyverse.org/" TargetMode="External" /><Relationship Type="http://schemas.openxmlformats.org/officeDocument/2006/relationships/hyperlink" Id="rId59" Target="surveillance_concept_note.qmd" TargetMode="External" /><Relationship Type="http://schemas.openxmlformats.org/officeDocument/2006/relationships/hyperlink" Id="rId10" Target="terbufos_polic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Brief 1: Strengthening Pesticide Poisoning Surveillance</dc:title>
  <dc:creator>D2P Project Team</dc:creator>
  <cp:keywords/>
  <dcterms:created xsi:type="dcterms:W3CDTF">2026-07-27T08:47:17Z</dcterms:created>
  <dcterms:modified xsi:type="dcterms:W3CDTF">2026-07-27T08:47:17Z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2025-09-05</vt:lpwstr>
  </property>
  <property fmtid="{D5CDD505-2E9C-101B-9397-08002B2CF9AE}" pid="7" name="date-modified">
    <vt:lpwstr>2026-07-27</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Closing the detection gap between NMC, NHLS, and PIH</vt:lpwstr>
  </property>
  <property fmtid="{D5CDD505-2E9C-101B-9397-08002B2CF9AE}" pid="14" name="toc-title">
    <vt:lpwstr>Table of contents</vt:lpwstr>
  </property>
</Properties>
</file>