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8.png" ContentType="image/png"/>
  <Override PartName="/word/media/rId5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 Brief 3: Restricting or Banning Terbufos in South Africa</w:t>
      </w:r>
    </w:p>
    <w:p>
      <w:pPr>
        <w:pStyle w:val="Subtitle"/>
      </w:pPr>
      <w:r>
        <w:t xml:space="preserve">A priority-product action under the surveillance + coordination framework</w:t>
      </w:r>
    </w:p>
    <w:p>
      <w:pPr>
        <w:pStyle w:val="Author"/>
      </w:pPr>
      <w:r>
        <w:t xml:space="preserve">D2P Project Team</w:t>
      </w:r>
    </w:p>
    <w:p>
      <w:pPr>
        <w:pStyle w:val="Date"/>
      </w:pPr>
      <w:r>
        <w:t xml:space="preserve">2025-09-05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For Decision-Makers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Target audience:</w:t>
            </w:r>
            <w:r>
              <w:t xml:space="preserve"> </w:t>
            </w:r>
            <w:r>
              <w:t xml:space="preserve">DALRRD Pesticide Registrar, Ministerial Advisory Committee (MAC), National Department of Health (NDoH), Department of Trade, Industry &amp; Competition (substitution support).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Companion briefs: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Surveillance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Coordination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rPr>
                <w:b/>
                <w:bCs/>
              </w:rPr>
              <w:t xml:space="preserve">DRAFT.</w:t>
            </w:r>
            <w:r>
              <w:t xml:space="preserve"> </w:t>
            </w:r>
            <w:r>
              <w:t xml:space="preserve">One genuine SA evidence gap remains (the adult</w:t>
            </w:r>
            <w:r>
              <w:t xml:space="preserve"> </w:t>
            </w:r>
            <w:r>
              <w:rPr>
                <w:b/>
                <w:bCs/>
              </w:rPr>
              <w:t xml:space="preserve">live-patient</w:t>
            </w:r>
            <w:r>
              <w:t xml:space="preserve"> </w:t>
            </w:r>
            <w:r>
              <w:t xml:space="preserve">attributable fraction, resolved only by Surveillance Option S3). The other quantitative inputs — market volume, yield impact, substitute hazard, substitute pricing, enforcement cost — are</w:t>
            </w:r>
            <w:r>
              <w:t xml:space="preserve"> </w:t>
            </w:r>
            <w:r>
              <w:rPr>
                <w:b/>
                <w:bCs/>
              </w:rPr>
              <w:t xml:space="preserve">not epistemic gaps</w:t>
            </w:r>
            <w:r>
              <w:t xml:space="preserve">: they are either administrative numbers DALRRD can pull, or values defensibly anchored to the EU/US/Sri Lanka evidence base (see</w:t>
            </w:r>
            <w:r>
              <w:t xml:space="preserve"> </w:t>
            </w:r>
            <w:hyperlink w:anchor="Xf39f09671753abe33262c6e904e8cfbb5b9d94e">
              <w:r>
                <w:rPr>
                  <w:rStyle w:val="Hyperlink"/>
                </w:rPr>
                <w:t xml:space="preserve">§2b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X297ffb12d9de0b4f4c56541836f49185a402ce2">
              <w:r>
                <w:rPr>
                  <w:rStyle w:val="Hyperlink"/>
                </w:rPr>
                <w:t xml:space="preserve">Interim assumptions</w:t>
              </w:r>
            </w:hyperlink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✓ Terbufos banned — gazetted 8 May 2026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Agriculture Minister John Steenhuisen</w:t>
            </w:r>
            <w:r>
              <w:t xml:space="preserve"> </w:t>
            </w:r>
            <w:r>
              <w:rPr>
                <w:b/>
                <w:bCs/>
              </w:rPr>
              <w:t xml:space="preserve">gazetted a full ban</w:t>
            </w:r>
            <w:r>
              <w:t xml:space="preserve"> </w:t>
            </w:r>
            <w:r>
              <w:t xml:space="preserve">on the acquisition, disposal, sale and use of all agricultural remedies containing terbufos as an active ingredient on</w:t>
            </w:r>
            <w:r>
              <w:t xml:space="preserve"> </w:t>
            </w:r>
            <w:r>
              <w:rPr>
                <w:b/>
                <w:bCs/>
              </w:rPr>
              <w:t xml:space="preserve">8 May 2026</w:t>
            </w:r>
            <w:r>
              <w:t xml:space="preserve">, under the Fertilisers, Farm Feeds, Agricultural Remedies and Stock Remedies Act of 1947 (Act 36 of 1947).</w:t>
            </w:r>
          </w:p>
          <w:p>
            <w:pPr>
              <w:pStyle w:val="BodyText"/>
            </w:pPr>
            <w:r>
              <w:t xml:space="preserve">This substantially satisfies the D2P recommendation.</w:t>
            </w:r>
            <w:r>
              <w:t xml:space="preserve"> </w:t>
            </w:r>
            <w:r>
              <w:rPr>
                <w:b/>
                <w:bCs/>
              </w:rPr>
              <w:t xml:space="preserve">The critical next steps are: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Enforcement</w:t>
            </w:r>
            <w:r>
              <w:t xml:space="preserve"> </w:t>
            </w:r>
            <w:r>
              <w:t xml:space="preserve">— stockpile disposal, distributor compliance audits, market monitoring for substitution.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Measurement</w:t>
            </w:r>
            <w:r>
              <w:t xml:space="preserve"> </w:t>
            </w:r>
            <w:r>
              <w:t xml:space="preserve">— the ban can only be evaluated through improved surveillance. Without a functioning case-detection system (</w:t>
            </w:r>
            <w:hyperlink r:id="rId9">
              <w:r>
                <w:rPr>
                  <w:rStyle w:val="Hyperlink"/>
                </w:rPr>
                <w:t xml:space="preserve">Surveillance Brief</w:t>
              </w:r>
            </w:hyperlink>
            <w:r>
              <w:t xml:space="preserve">), it is impossible to know whether the ban is reducing poisoning incidence, or whether a more-toxic substitute has entered the informal market.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24-month evaluation gate</w:t>
            </w:r>
            <w:r>
              <w:t xml:space="preserve"> </w:t>
            </w:r>
            <w:r>
              <w:t xml:space="preserve">— the modelled leverage ratio (~500 : 1) rests on the assumption that a ban reduces attributable mortality. Only improved P_detect (via S1 + S2) can confirm this in the SA context.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i/>
                <w:iCs/>
              </w:rPr>
              <w:t xml:space="preserve">The analytical content of this brief remains valid as the quantitative foundation for those three activities.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Headlines — what banning terbufos buys SA per year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177 deaths averted/yr</w:t>
            </w:r>
            <w:r>
              <w:t xml:space="preserve"> </w:t>
            </w:r>
            <w:r>
              <w:rPr>
                <w:i/>
                <w:iCs/>
              </w:rPr>
              <w:t xml:space="preserve">(range 142–248)</w:t>
            </w:r>
            <w:r>
              <w:t xml:space="preserve"> </w:t>
            </w:r>
            <w:r>
              <w:rPr>
                <w:b/>
                <w:bCs/>
              </w:rPr>
              <w:t xml:space="preserve">1,420 poisonings averted/yr</w:t>
            </w:r>
            <w:r>
              <w:t xml:space="preserve"> </w:t>
            </w:r>
            <w:r>
              <w:rPr>
                <w:i/>
                <w:iCs/>
              </w:rPr>
              <w:t xml:space="preserve">(range 1,136–1,987)</w:t>
            </w:r>
            <w:r>
              <w:t xml:space="preserve"> </w:t>
            </w:r>
            <w:r>
              <w:rPr>
                <w:b/>
                <w:bCs/>
              </w:rPr>
              <w:t xml:space="preserve">~R0.28B/yr in retired economic burden</w:t>
            </w:r>
            <w:r>
              <w:t xml:space="preserve"> </w:t>
            </w:r>
            <w:r>
              <w:rPr>
                <w:i/>
                <w:iCs/>
              </w:rPr>
              <w:t xml:space="preserve">(range R0.23–R0.39B)</w:t>
            </w:r>
            <w:r>
              <w:t xml:space="preserve"> </w:t>
            </w:r>
            <w:r>
              <w:rPr>
                <w:b/>
                <w:bCs/>
              </w:rPr>
              <w:t xml:space="preserve">at a DALRRD enforcement cost of ~R2M/yr</w:t>
            </w:r>
            <w:r>
              <w:t xml:space="preserve"> </w:t>
            </w:r>
            <w:r>
              <w:t xml:space="preserve">— a household-burden-retired : regulator-spend leverage ratio of roughly</w:t>
            </w:r>
            <w:r>
              <w:t xml:space="preserve"> </w:t>
            </w:r>
            <w:r>
              <w:rPr>
                <w:b/>
                <w:bCs/>
              </w:rPr>
              <w:t xml:space="preserve">141 : 1</w:t>
            </w:r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Arithmetic (working / mid value).</w:t>
            </w:r>
            <w:r>
              <w:t xml:space="preserve"> </w:t>
            </w:r>
            <w:r>
              <w:t xml:space="preserve">Every number above is the product of three CSV-driven inputs and a stakeholder share: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Working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Deaths averted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attr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retired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deaths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25% × 70% × 1,014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177/yr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Poisonings averted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attr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retired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true cases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25% × 70% × 8,112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1,420/yr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Burden retired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attr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retired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burden total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25% × 70% × R1.61B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R0.28B/yr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Regulator spend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c_T2_RUP_enforcement_mid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R2M/yr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burden retired</m:t>
                        </m:r>
                      </m:sub>
                    </m:sSub>
                    <m:r>
                      <m:rPr>
                        <m:sty m:val="p"/>
                      </m:rPr>
                      <m:t>÷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enforcement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R0.28B ÷ R2M ≈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141 : 1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Where: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attr</m:t>
                  </m:r>
                </m:sub>
              </m:sSub>
            </m:oMath>
            <w:r>
              <w:t xml:space="preserve"> </w:t>
            </w:r>
            <w:r>
              <w:t xml:space="preserve">= terbufos attributable fraction of fatal SA pesticide events (Davies 2023 + Gunnell 2017);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retired</m:t>
                  </m:r>
                </m:sub>
              </m:sSub>
            </m:oMath>
            <w:r>
              <w:t xml:space="preserve"> </w:t>
            </w:r>
            <w:r>
              <w:t xml:space="preserve">= fraction of attributable burden retired post-ban (Sri Lanka substitution-incompleteness, 70%);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deaths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true cases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burden total</m:t>
                  </m:r>
                </m:sub>
              </m:sSub>
            </m:oMath>
            <w:r>
              <w:t xml:space="preserve"> </w:t>
            </w:r>
            <w:r>
              <w:t xml:space="preserve">= StatsSA MACOD 2023 + implied true burden + total annual economic burden.</w:t>
            </w:r>
          </w:p>
          <w:p/>
        </w:tc>
      </w:tr>
    </w:tbl>
    <w:bookmarkStart w:id="11" w:name="policy-question"/>
    <w:p>
      <w:pPr>
        <w:pStyle w:val="Heading2"/>
      </w:pPr>
      <w:r>
        <w:t xml:space="preserve">1. Policy question</w:t>
      </w:r>
    </w:p>
    <w:p>
      <w:pPr>
        <w:pStyle w:val="FirstParagraph"/>
      </w:pPr>
      <w:r>
        <w:rPr>
          <w:b/>
          <w:bCs/>
        </w:rPr>
        <w:t xml:space="preserve">Should South Africa ban terbufos as a registered agricultural pesticide?</w:t>
      </w:r>
    </w:p>
    <w:bookmarkEnd w:id="11"/>
    <w:bookmarkStart w:id="18" w:name="public-health-problem"/>
    <w:p>
      <w:pPr>
        <w:pStyle w:val="Heading2"/>
      </w:pPr>
      <w:r>
        <w:t xml:space="preserve">2. Public health problem</w:t>
      </w:r>
    </w:p>
    <w:p>
      <w:pPr>
        <w:pStyle w:val="FirstParagraph"/>
      </w:pPr>
      <w:r>
        <w:t xml:space="preserve">Terbufos is a</w:t>
      </w:r>
      <w:r>
        <w:t xml:space="preserve"> </w:t>
      </w:r>
      <w:r>
        <w:rPr>
          <w:b/>
          <w:bCs/>
        </w:rPr>
        <w:t xml:space="preserve">WHO Class Ia (</w:t>
      </w:r>
      <w:r>
        <w:rPr>
          <w:b/>
          <w:bCs/>
        </w:rPr>
        <w:t xml:space="preserve">“Extremely Hazardous”</w:t>
      </w:r>
      <w:r>
        <w:rPr>
          <w:b/>
          <w:bCs/>
        </w:rPr>
        <w:t xml:space="preserve">)</w:t>
      </w:r>
      <w:r>
        <w:t xml:space="preserve"> </w:t>
      </w:r>
      <w:r>
        <w:t xml:space="preserve">organophosphate insecticide,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with rat oral LD50</w:t>
      </w:r>
      <w:r>
        <w:t xml:space="preserve"> </w:t>
      </w:r>
      <w:r>
        <w:rPr>
          <w:b/>
          <w:bCs/>
        </w:rPr>
        <w:t xml:space="preserve">1.6–4.5 mg/kg</w:t>
      </w:r>
      <w:r>
        <w:t xml:space="preserve"> </w:t>
      </w:r>
      <w:r>
        <w:t xml:space="preserve">— among the most acutely toxic active ingredients in commercial use anywhere.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Sub-gram doses are lethal in adults; very small quantities are lethal in children.</w:t>
      </w:r>
    </w:p>
    <w:p>
      <w:pPr>
        <w:pStyle w:val="BodyText"/>
      </w:pPr>
      <w:r>
        <w:rPr>
          <w:b/>
          <w:bCs/>
        </w:rPr>
        <w:t xml:space="preserve">The SA-specific evidence pinning the harm to this agent.</w:t>
      </w:r>
      <w:r>
        <w:t xml:space="preserve"> </w:t>
      </w:r>
      <w:r>
        <w:t xml:space="preserve">Davies et al. (2023) identified</w:t>
      </w:r>
      <w:r>
        <w:t xml:space="preserve"> </w:t>
      </w:r>
      <w:r>
        <w:rPr>
          <w:b/>
          <w:bCs/>
        </w:rPr>
        <w:t xml:space="preserve">terbufos and methamidophos as the dominant agents in fatal SA childhood pesticide poisoning</w:t>
      </w:r>
      <w:r>
        <w:t xml:space="preserve">, with most deaths following ingestion of granular formulations diverted into the informal</w:t>
      </w:r>
      <w:r>
        <w:t xml:space="preserve"> </w:t>
      </w:r>
      <w:r>
        <w:t xml:space="preserve">“street-pesticide”</w:t>
      </w:r>
      <w:r>
        <w:t xml:space="preserve"> </w:t>
      </w:r>
      <w:r>
        <w:t xml:space="preserve">market.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NICD/NMC mass-poisoning reports 2022–2024 are independently consistent.</w:t>
      </w:r>
      <w:r>
        <w:rPr>
          <w:rStyle w:val="FootnoteReference"/>
        </w:rPr>
        <w:footnoteReference w:id="16"/>
      </w:r>
    </w:p>
    <w:p>
      <w:pPr>
        <w:pStyle w:val="BodyText"/>
      </w:pPr>
      <w:r>
        <w:rPr>
          <w:b/>
          <w:bCs/>
        </w:rPr>
        <w:t xml:space="preserve">International natural-experiment anchor.</w:t>
      </w:r>
      <w:r>
        <w:t xml:space="preserve"> </w:t>
      </w:r>
      <w:r>
        <w:t xml:space="preserve">Sri Lanka’s sequential Class Ia withdrawals (1995–2011) retired</w:t>
      </w:r>
      <w:r>
        <w:t xml:space="preserve"> </w:t>
      </w:r>
      <w:r>
        <w:rPr>
          <w:b/>
          <w:bCs/>
        </w:rPr>
        <w:t xml:space="preserve">20–40 %</w:t>
      </w:r>
      <w:r>
        <w:t xml:space="preserve"> </w:t>
      </w:r>
      <w:r>
        <w:t xml:space="preserve">of fatal pesticide poisonings per banned agent without compensating method substitution.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EU (2009) withdrew terbufos with</w:t>
      </w:r>
      <w:r>
        <w:t xml:space="preserve"> </w:t>
      </w:r>
      <w:r>
        <w:rPr>
          <w:b/>
          <w:bCs/>
        </w:rPr>
        <w:t xml:space="preserve">no documented maize-yield collapse</w:t>
      </w:r>
      <w:r>
        <w:t xml:space="preserve"> </w:t>
      </w:r>
      <w:r>
        <w:t xml:space="preserve">in any producer state. Davies 2023 places SA terbufos in the same 20–40 % bracket on the paediatric data alone.</w:t>
      </w:r>
    </w:p>
    <w:bookmarkEnd w:id="18"/>
    <w:bookmarkStart w:id="37" w:name="status-quo"/>
    <w:p>
      <w:pPr>
        <w:pStyle w:val="Heading2"/>
      </w:pPr>
      <w:r>
        <w:t xml:space="preserve">3. Status quo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Canonical model parameters (auto-loaded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Parameters Hub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numerical claims in this brief draw from a single CSV —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amua_import_parameters_v4.csv</w:t>
              </w:r>
            </w:hyperlink>
            <w:r>
              <w:t xml:space="preserve"> </w:t>
            </w:r>
            <w:r>
              <w:t xml:space="preserve">— rendered in full at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Parameters Hub</w:t>
              </w:r>
            </w:hyperlink>
            <w:r>
              <w:t xml:space="preserve">. The headline values below are pulled from that file at render time;</w:t>
            </w:r>
            <w:r>
              <w:t xml:space="preserve"> </w:t>
            </w:r>
            <w:r>
              <w:rPr>
                <w:b/>
                <w:bCs/>
              </w:rPr>
              <w:t xml:space="preserve">do not edit the numbers in this brief — edit the CSV and re-render</w:t>
            </w:r>
            <w:r>
              <w:t xml:space="preserve">.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Headline parameters used in this brief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0"/>
                <w:color w:val="333333"/>
              </w:rPr>
              <w:t xml:space="default">Pulled from amua_import_parameters_v4.csv at render time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Parameter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Annual NMC pesticide notifications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1013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Annual NHLS severe BChE inhibitions (live)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1779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Annual PIH pesticide-related calls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1158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True annual burden (sum, upper bound)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3950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Headline annual deaths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1014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Blended headline morbidity cost per case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R12,000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Mortality cost per death (human-capital)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R1.50 million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Headline annual economic burden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R1.61 billion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Response efficacy η (base case)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0.30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Detection probability — status quo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0.125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Detection probability — full package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0.83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Full Package narrow operating cost / yr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R237,000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Full Package whole-system operating cost / yr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R1.19 million</w:t>
                  </w:r>
                </w:p>
              </w:tc>
            </w:tr>
          </w:tbl>
          <w:bookmarkStart w:id="22" w:name="who-bears-the-r1.61b-annual-burden"/>
          <w:p>
            <w:pPr>
              <w:pStyle w:val="Heading3"/>
            </w:pPr>
            <w:r>
              <w:t xml:space="preserve">Who bears the R1.61B annual burden?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Annual burden by stakeholder (headline scenario, ZAR 2025)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0"/>
                <w:color w:val="333333"/>
              </w:rPr>
              <w:t xml:space="default">Each rand of the R1.61B falls on exactly one bearer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Stakeholder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Value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Share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NDoH — public hospitals (UPFS ward + ICU + drugs)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R70.00 million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NHLS — laboratory (BChE, GC-MS, repeat clinical chemistry)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R10.00 million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DALRRD — regulator (no burden-side share by construction)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Individuals / households — out-of-pocket + lost wages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R10.00 million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Households / wider society — lost lifetime earnings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R1.52 billion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94%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R1.61 billion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100%</w:t>
                  </w:r>
                </w:p>
              </w:tc>
            </w:tr>
          </w:tbl>
          <w:p>
            <w:pPr>
              <w:pStyle w:val="FirstParagraph"/>
            </w:pPr>
            <w:r>
              <w:rPr>
                <w:b/>
                <w:bCs/>
              </w:rPr>
              <w:t xml:space="preserve">Reading the table.</w:t>
            </w:r>
            <w:r>
              <w:t xml:space="preserve"> </w:t>
            </w:r>
            <w:r>
              <w:t xml:space="preserve">~94 % of the R1.61B is</w:t>
            </w:r>
            <w:r>
              <w:t xml:space="preserve"> </w:t>
            </w:r>
            <w:r>
              <w:rPr>
                <w:b/>
                <w:bCs/>
              </w:rPr>
              <w:t xml:space="preserve">mortality, borne by households and the wider economy</w:t>
            </w:r>
            <w:r>
              <w:t xml:space="preserve"> </w:t>
            </w:r>
            <w:r>
              <w:t xml:space="preserve">as lost lifetime earnings (1,014 deaths × R1.5M human-capital, undiscounted; sensitivity: R1.05M at 3 % discount). The directly-budgeted health-sector share is</w:t>
            </w:r>
            <w:r>
              <w:t xml:space="preserve"> </w:t>
            </w:r>
            <w:r>
              <w:rPr>
                <w:b/>
                <w:bCs/>
              </w:rPr>
              <w:t xml:space="preserve">R80M</w:t>
            </w:r>
            <w:r>
              <w:t xml:space="preserve"> </w:t>
            </w:r>
            <w:r>
              <w:t xml:space="preserve">(NDoH ~R70M hospital + NHLS ~R10M lab) — modest in absolute terms, but it is the only column that appears on a departmental budget line. DALRRD bears</w:t>
            </w:r>
            <w:r>
              <w:t xml:space="preserve"> </w:t>
            </w:r>
            <w:r>
              <w:rPr>
                <w:b/>
                <w:bCs/>
              </w:rPr>
              <w:t xml:space="preserve">R0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i/>
                <w:iCs/>
              </w:rPr>
              <w:t xml:space="preserve">burden</w:t>
            </w:r>
            <w:r>
              <w:t xml:space="preserve"> </w:t>
            </w:r>
            <w:r>
              <w:t xml:space="preserve">side by construction: their cost sits on the</w:t>
            </w:r>
            <w:r>
              <w:t xml:space="preserve"> </w:t>
            </w:r>
            <w:r>
              <w:rPr>
                <w:i/>
                <w:iCs/>
              </w:rPr>
              <w:t xml:space="preserve">intervention</w:t>
            </w:r>
            <w:r>
              <w:t xml:space="preserve"> </w:t>
            </w:r>
            <w:r>
              <w:t xml:space="preserve">side (enforcement, recalls, registration action).</w:t>
            </w:r>
          </w:p>
          <w:p>
            <w:pPr>
              <w:pStyle w:val="BodyText"/>
            </w:pPr>
            <w:r>
              <w:t xml:space="preserve">For the full sourced parameter set (CFR by severity, UPFS tariffs, per-option costs, induced-demand components, DALY monetisation, NMB), see the</w:t>
            </w:r>
            <w:r>
              <w:t xml:space="preserve"> </w:t>
            </w:r>
            <w:hyperlink r:id="rId19">
              <w:r>
                <w:rPr>
                  <w:rStyle w:val="Hyperlink"/>
                  <w:b/>
                  <w:bCs/>
                </w:rPr>
                <w:t xml:space="preserve">Parameters Hub</w:t>
              </w:r>
            </w:hyperlink>
            <w:r>
              <w:t xml:space="preserve">. For the v2 → v3 critical appraisal, see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parameter_appraisal.qmd</w:t>
              </w:r>
            </w:hyperlink>
            <w:r>
              <w:t xml:space="preserve">.</w:t>
            </w:r>
          </w:p>
          <w:bookmarkEnd w:id="22"/>
          <w:bookmarkStart w:id="23" w:name="X2ad17f6fd94d6dd4c40b4ff1ca653e26ab54848"/>
          <w:p>
            <w:pPr>
              <w:pStyle w:val="Heading3"/>
            </w:pPr>
            <w:r>
              <w:t xml:space="preserve">Canonical option costs (Detect · Act · Restrict)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4"/>
              </w:rPr>
              <w:t xml:space="preserve">Table </w:t>
            </w:r>
            <w:r>
              <w:fldChar w:fldCharType="begin" w:dirty="true"/>
            </w:r>
            <w:r>
              <w:instrText xml:space="preserve" w:dirty="true"> SEQ Table \* ARABIC </w:instrText>
            </w:r>
            <w:r>
              <w:fldChar w:fldCharType="separate" w:dirty="true"/>
            </w:r>
            <w:r>
              <w:rPr>
                <w:noProof/>
                <w:rFonts w:ascii="Calibri" w:hAnsi="Calibri"/>
                <w:sz w:val="24"/>
              </w:rPr>
              <w:t xml:space="default">1</w:t>
            </w:r>
            <w:r>
              <w:fldChar w:fldCharType="end" w:dirty="true"/>
            </w:r>
            <w:r>
              <w:rPr>
                <w:rFonts w:ascii="Calibri" w:hAnsi="Calibri"/>
                <w:sz w:val="24"/>
              </w:rPr>
              <w:t xml:space="preserve">: </w:t>
            </w:r>
            <w:r>
              <w:rPr>
                <w:rFonts w:ascii="Calibri" w:hAnsi="Calibri"/>
                <w:sz w:val="24"/>
                <w:color w:val="333333"/>
              </w:rPr>
              <w:t xml:space="default">Option costs by stage (Detect · Act · Restrict)</w:t>
            </w:r>
          </w:p>
          <w:p>
            <w:pPr>
              <w:spacing w:before="0" w:after="60"/>
              <w:keepNext/>
              <w:jc w:val="start"/>
              <w:pStyle w:val="caption"/>
            </w:pPr>
            <w:r>
              <w:rPr>
                <w:rFonts w:ascii="Calibri" w:hAnsi="Calibri"/>
                <w:sz w:val="20"/>
                <w:color w:val="333333"/>
              </w:rPr>
              <w:t xml:space="default">All values pulled from amua_import_parameters_v3.csv at render time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Option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Cost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Notes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Detect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S1 — NHLS→NMC IT feed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R60,000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0.05 FTE analyst + QA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S3a — BChE auto-notify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R55,000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LIS HL7 middleware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S4 — PIH dashboard / MVD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R82,000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MVD redesign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Surveillance MVP (S1+S3a+S4, operating) ★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R137,000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= R60k + R55k + R42k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Surveillance MVP setup (one-off)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R80,000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S3a HL7 dominates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Act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C1 — NMC closure-of-loop field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R30,000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Schema + EHP training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C2 — Structured DALRRD referral form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R25,000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Form + workflow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C3 — NICD→DALRRD intelligence feed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R40,000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Quarterly brief + alerts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C4 — Clinician auto-feedback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R20,000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Email templating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C5 — Joint KPI dashboard (operating)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R30,000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Public hosting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Coordination Full Package (operating) ★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R145,000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= Σ C1..C5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Restrict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T2 — RUP + audit + formulation restriction (low)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R1.00 million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DALRRD inspectorate, lower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T2 — RUP + audit + formulation restriction (mid)★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R2.00 million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Working 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T2 — RUP + audit + formulation restriction (hi)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R3.00 million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Upper</w:t>
                  </w:r>
                </w:p>
              </w:tc>
            </w:tr>
          </w:tbl>
          <w:p/>
        </w:tc>
      </w:tr>
    </w:tbl>
    <w:bookmarkEnd w:id="23"/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hood — models, packages, and formulae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Software stack.</w:t>
            </w:r>
            <w:r>
              <w:t xml:space="preserve"> </w:t>
            </w:r>
            <w:r>
              <w:t xml:space="preserve">This site is built with</w:t>
            </w:r>
            <w:r>
              <w:t xml:space="preserve"> </w:t>
            </w:r>
            <w:r>
              <w:rPr>
                <w:b/>
                <w:bCs/>
              </w:rPr>
              <w:t xml:space="preserve">Quarto v1.x</w:t>
            </w:r>
            <w:r>
              <w:t xml:space="preserve"> </w:t>
            </w:r>
            <w:r>
              <w:t xml:space="preserve">rendering R chunks through</w:t>
            </w:r>
            <w:r>
              <w:t xml:space="preserve"> </w:t>
            </w:r>
            <w:r>
              <w:rPr>
                <w:b/>
                <w:bCs/>
              </w:rPr>
              <w:t xml:space="preserve">R ≥ 4.3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knitr</w:t>
            </w:r>
            <w:r>
              <w:t xml:space="preserve">. Tables use</w:t>
            </w:r>
            <w:r>
              <w:t xml:space="preserve"> </w:t>
            </w:r>
            <w:hyperlink r:id="rId24">
              <w:r>
                <w:rPr>
                  <w:rStyle w:val="Hyperlink"/>
                  <w:b/>
                  <w:bCs/>
                </w:rPr>
                <w:t xml:space="preserve">gt</w:t>
              </w:r>
            </w:hyperlink>
            <w:r>
              <w:t xml:space="preserve">; data wrangling</w:t>
            </w:r>
            <w:r>
              <w:t xml:space="preserve"> </w:t>
            </w:r>
            <w:hyperlink r:id="rId25">
              <w:r>
                <w:rPr>
                  <w:rStyle w:val="Hyperlink"/>
                  <w:b/>
                  <w:bCs/>
                </w:rPr>
                <w:t xml:space="preserve">tidyverse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dplyr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tibble</w:t>
            </w:r>
            <w:r>
              <w:t xml:space="preserve">); percentage formatting</w:t>
            </w:r>
            <w:r>
              <w:t xml:space="preserve"> </w:t>
            </w:r>
            <w:hyperlink r:id="rId26">
              <w:r>
                <w:rPr>
                  <w:rStyle w:val="Hyperlink"/>
                  <w:b/>
                  <w:bCs/>
                </w:rPr>
                <w:t xml:space="preserve">scales</w:t>
              </w:r>
            </w:hyperlink>
            <w:r>
              <w:t xml:space="preserve">; diagrams</w:t>
            </w:r>
            <w:r>
              <w:t xml:space="preserve"> </w:t>
            </w:r>
            <w:hyperlink r:id="rId27">
              <w:r>
                <w:rPr>
                  <w:rStyle w:val="Hyperlink"/>
                  <w:b/>
                  <w:bCs/>
                </w:rPr>
                <w:t xml:space="preserve">mermaid</w:t>
              </w:r>
            </w:hyperlink>
            <w:r>
              <w:t xml:space="preserve"> </w:t>
            </w:r>
            <w:r>
              <w:t xml:space="preserve">via Quarto’s built-in diagram filter. The interactive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Parameter Playground</w:t>
              </w:r>
            </w:hyperlink>
            <w:r>
              <w:t xml:space="preserve"> </w:t>
            </w:r>
            <w:r>
              <w:t xml:space="preserve">layer adds</w:t>
            </w:r>
            <w:r>
              <w:t xml:space="preserve"> </w:t>
            </w:r>
            <w:hyperlink r:id="rId29">
              <w:r>
                <w:rPr>
                  <w:rStyle w:val="Hyperlink"/>
                  <w:b/>
                  <w:bCs/>
                </w:rPr>
                <w:t xml:space="preserve">Observable JS</w:t>
              </w:r>
            </w:hyperlink>
            <w:r>
              <w:t xml:space="preserve"> </w:t>
            </w:r>
            <w:r>
              <w:t xml:space="preserve">via Quarto OJS.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Canonical parameter file.</w:t>
            </w:r>
            <w:r>
              <w:t xml:space="preserve"> </w:t>
            </w:r>
            <w:r>
              <w:t xml:space="preserve">All numerical values in every brief, the one-pager, and the playground resolve through</w:t>
            </w:r>
            <w:r>
              <w:t xml:space="preserve"> </w:t>
            </w:r>
            <w:r>
              <w:rPr>
                <w:rStyle w:val="VerbatimChar"/>
              </w:rPr>
              <w:t xml:space="preserve">pick(name)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readr::read_csv("../amua_import_parameters_v3.csv")</w:t>
            </w:r>
            <w:r>
              <w:t xml:space="preserve"> </w:t>
            </w:r>
            <w:r>
              <w:t xml:space="preserve">→ string lookup →</w:t>
            </w:r>
            <w:r>
              <w:t xml:space="preserve"> </w:t>
            </w:r>
            <w:r>
              <w:rPr>
                <w:rStyle w:val="VerbatimChar"/>
              </w:rPr>
              <w:t xml:space="preserve">as.numeric()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zar()</w:t>
            </w:r>
            <w:r>
              <w:t xml:space="preserve"> </w:t>
            </w:r>
            <w:r>
              <w:t xml:space="preserve">formatter.</w:t>
            </w:r>
            <w:r>
              <w:t xml:space="preserve"> </w:t>
            </w:r>
            <w:r>
              <w:rPr>
                <w:b/>
                <w:bCs/>
              </w:rPr>
              <w:t xml:space="preserve">No rand value in any brief is a literal in prose</w:t>
            </w:r>
            <w:r>
              <w:t xml:space="preserve"> </w:t>
            </w:r>
            <w:r>
              <w:t xml:space="preserve">(except where prose paraphrases a CSV-sourced value). The audit chain is: CSV row →</w:t>
            </w:r>
            <w:r>
              <w:t xml:space="preserve"> </w:t>
            </w:r>
            <w:r>
              <w:rPr>
                <w:rStyle w:val="VerbatimChar"/>
              </w:rPr>
              <w:t xml:space="preserve">_shared_parameters.qmd</w:t>
            </w:r>
            <w:r>
              <w:t xml:space="preserve"> </w:t>
            </w:r>
            <w:r>
              <w:rPr>
                <w:rStyle w:val="VerbatimChar"/>
              </w:rPr>
              <w:t xml:space="preserve">pick()</w:t>
            </w:r>
            <w:r>
              <w:t xml:space="preserve"> </w:t>
            </w:r>
            <w:r>
              <w:t xml:space="preserve">call → rendered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 </w:t>
            </w:r>
            <w:r>
              <w:t xml:space="preserve">cell.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Burden model (closed-form, deterministic).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burden</m:t>
                    </m:r>
                  </m:sub>
                </m:sSub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limLow>
                  <m:e>
                    <m:limLow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PIH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NHLS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NMC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sSubSup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m:t>morb</m:t>
                            </m:r>
                          </m:sup>
                        </m:sSub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morbidity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+</m:t>
                </m:r>
                <m:r>
                  <m:t> </m:t>
                </m:r>
                <m:limLow>
                  <m:e>
                    <m:limLow>
                      <m:e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deaths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Sup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HC</m:t>
                            </m: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m:t>mort</m:t>
                            </m:r>
                          </m:sup>
                        </m:sSub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mortality (human-capital)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= stream counts (rows</w:t>
            </w:r>
            <w:r>
              <w:t xml:space="preserve"> </w:t>
            </w:r>
            <w:r>
              <w:rPr>
                <w:rStyle w:val="VerbatimChar"/>
              </w:rPr>
              <w:t xml:space="preserve">n_pih_annual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n_nhls_severe_annual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n_nmc_annual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nor/>
                      <m:sty m:val="p"/>
                    </m:rPr>
                    <m:t>morb</m:t>
                  </m:r>
                </m:sup>
              </m:sSubSup>
            </m:oMath>
            <w:r>
              <w:t xml:space="preserve"> </w:t>
            </w:r>
            <w:r>
              <w:t xml:space="preserve">= stratum-specific per-case morbidity costs (rows</w:t>
            </w:r>
            <w:r>
              <w:t xml:space="preserve"> </w:t>
            </w:r>
            <w:r>
              <w:rPr>
                <w:rStyle w:val="VerbatimChar"/>
              </w:rPr>
              <w:t xml:space="preserve">c_morbidity_*</w:t>
            </w:r>
            <w:r>
              <w:t xml:space="preserve">),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deaths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014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n_deaths_statssa_macod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StatsSA MACOD 2022, pesticide-specific UCOD codes (X48+X68+X87+Y18), is the canonical truth source for deaths and is updated as new StatsSA releases land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n_deaths_headline</w:t>
            </w:r>
            <w:r>
              <w:t xml:space="preserve"> </w:t>
            </w:r>
            <w:r>
              <w:t xml:space="preserve">mirrors it), $c^{</w:t>
            </w:r>
            <w:r>
              <w:t xml:space="preserve">}_{</w:t>
            </w:r>
            <w:r>
              <w:t xml:space="preserve">} = $ 25 productive years × R60k median income, undiscounted (</w:t>
            </w:r>
            <w:r>
              <w:rPr>
                <w:rStyle w:val="VerbatimChar"/>
              </w:rPr>
              <w:t xml:space="preserve">c_mortality_human_capital</w:t>
            </w:r>
            <w:r>
              <w:t xml:space="preserve">). Stratified-CFR alternative (</w:t>
            </w:r>
            <w:r>
              <w:rPr>
                <w:rStyle w:val="VerbatimChar"/>
              </w:rPr>
              <w:t xml:space="preserve">C_burden_total_conservative</w:t>
            </w:r>
            <w:r>
              <w:t xml:space="preserve"> </w:t>
            </w:r>
            <w:r>
              <w:t xml:space="preserve">≈ R1.34B) is supplied as a sensitivity.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Coordination decision tree (closed-form joint probability).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loop closed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8</m:t>
                    </m:r>
                  </m:sup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over eight sequential nodes (notify → SMS → investigate → record → refer → DALRRD acts → feedback → feedback to clinician). Status-quo joint product ≈ 1.1 % (</w:t>
            </w:r>
            <w:r>
              <w:rPr>
                <w:rStyle w:val="VerbatimChar"/>
              </w:rPr>
              <w:t xml:space="preserve">p_loop_closed_status_quo</w:t>
            </w:r>
            <w:r>
              <w:t xml:space="preserve">); Full Package ≈ 70 % (</w:t>
            </w:r>
            <w:r>
              <w:rPr>
                <w:rStyle w:val="VerbatimChar"/>
              </w:rPr>
              <w:t xml:space="preserve">p_loop_closed_FP</w:t>
            </w:r>
            <w:r>
              <w:t xml:space="preserve">). Deaths averted =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η</m:t>
              </m:r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burden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death</m:t>
                  </m:r>
                </m:sub>
              </m:sSub>
            </m:oMath>
            <w:r>
              <w:t xml:space="preserve">, with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eta_response_mid</w:t>
            </w:r>
            <w:r>
              <w:t xml:space="preserve"> </w:t>
            </w:r>
            <w:r>
              <w:t xml:space="preserve">= 0.30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death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cfr_headline_mid</w:t>
            </w:r>
            <w:r>
              <w:t xml:space="preserve"> </w:t>
            </w:r>
            <w:r>
              <w:t xml:space="preserve">= 0.125.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Terbufos bracketed estimate.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Deaths averted</m:t>
                    </m:r>
                  </m:e>
                  <m:sub>
                    <m:r>
                      <m:t>T</m:t>
                    </m:r>
                    <m:r>
                      <m:t>3</m:t>
                    </m:r>
                  </m:sub>
                </m:sSub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b>
                  <m:e>
                    <m:r>
                      <m:t>f</m:t>
                    </m:r>
                  </m:e>
                  <m:sub>
                    <m:r>
                      <m:rPr>
                        <m:nor/>
                        <m:sty m:val="p"/>
                      </m:rPr>
                      <m:t>attr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ϕ</m:t>
                    </m:r>
                  </m:e>
                  <m:sub>
                    <m:r>
                      <m:rPr>
                        <m:nor/>
                        <m:sty m:val="p"/>
                      </m:rPr>
                      <m:t>retired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deaths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attr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0.20</m:t>
              </m:r>
              <m:r>
                <m:rPr>
                  <m:sty m:val="p"/>
                </m:rPr>
                <m:t>,</m:t>
              </m:r>
              <m:r>
                <m:t>0.35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frac_terbufos_attributable_{lo,mid,hi}</w:t>
            </w:r>
            <w:r>
              <w:t xml:space="preserve">, anchored to Sri Lanka Class Ia withdrawal natural experiments, Gunnell et al. </w:t>
            </w:r>
            <w:r>
              <w:rPr>
                <w:i/>
                <w:iCs/>
              </w:rPr>
              <w:t xml:space="preserve">Lancet Glob Health</w:t>
            </w:r>
            <w:r>
              <w:t xml:space="preserve"> </w:t>
            </w:r>
            <w:r>
              <w:t xml:space="preserve">2017) and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rPr>
                      <m:nor/>
                      <m:sty m:val="p"/>
                    </m:rPr>
                    <m:t>retired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0.60</m:t>
              </m:r>
              <m:r>
                <m:rPr>
                  <m:sty m:val="p"/>
                </m:rPr>
                <m:t>,</m:t>
              </m:r>
              <m:r>
                <m:t>0.80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(Sri Lanka substitution-incompleteness). Bracket: 200–400 deaths/yr (</w:t>
            </w:r>
            <w:r>
              <w:rPr>
                <w:rStyle w:val="VerbatimChar"/>
              </w:rPr>
              <w:t xml:space="preserve">n_deaths_averted_T3_{lo,hi}</w:t>
            </w:r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Surveillance detection model.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Cases averted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detect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detect</m:t>
                    </m:r>
                  </m:sub>
                  <m:sup>
                    <m:r>
                      <m:rPr>
                        <m:nor/>
                        <m:sty m:val="p"/>
                      </m:rPr>
                      <m:t>SQ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η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burden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detect</m:t>
                  </m:r>
                </m:sub>
              </m:sSub>
            </m:oMath>
            <w:r>
              <w:t xml:space="preserve"> </w:t>
            </w:r>
            <w:r>
              <w:t xml:space="preserve">pulled from</w:t>
            </w:r>
            <w:r>
              <w:t xml:space="preserve"> </w:t>
            </w:r>
            <w:r>
              <w:rPr>
                <w:rStyle w:val="VerbatimChar"/>
              </w:rPr>
              <w:t xml:space="preserve">d_status_quo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d_option1_NHLS_MOU</w:t>
            </w:r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d_full_package</w:t>
            </w:r>
            <w:r>
              <w:t xml:space="preserve"> </w:t>
            </w:r>
            <w:r>
              <w:t xml:space="preserve">(expert elicitation, beta priors). Cost-effectiveness uses</w:t>
            </w:r>
            <w:r>
              <w:t xml:space="preserve"> </w:t>
            </w:r>
            <w:r>
              <w:rPr>
                <w:b/>
                <w:bCs/>
              </w:rPr>
              <w:t xml:space="preserve">net monetary benefit (NMB)</w:t>
            </w:r>
            <w:r>
              <w:t xml:space="preserve"> </w:t>
            </w:r>
            <w:r>
              <w:t xml:space="preserve">at the SA cost-effectiveness threshold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R38,500/DALY averted (Edoka &amp; Stacey 2020).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Probabilistic sensitivity analysis (PSA).</w:t>
            </w:r>
            <w:r>
              <w:t xml:space="preserve"> </w:t>
            </w:r>
            <w:r>
              <w:t xml:space="preserve">Each CSV row carries a</w:t>
            </w:r>
            <w:r>
              <w:t xml:space="preserve"> </w:t>
            </w:r>
            <w:r>
              <w:rPr>
                <w:rStyle w:val="VerbatimChar"/>
              </w:rPr>
              <w:t xml:space="preserve">dist=&lt;family&gt;(&lt;params&gt;)</w:t>
            </w:r>
            <w:r>
              <w:t xml:space="preserve"> </w:t>
            </w:r>
            <w:r>
              <w:t xml:space="preserve">tag (</w:t>
            </w:r>
            <w:r>
              <w:rPr>
                <w:rStyle w:val="VerbatimChar"/>
              </w:rPr>
              <w:t xml:space="preserve">beta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) parsed by the analysis pipeline (</w:t>
            </w:r>
            <w:r>
              <w:rPr>
                <w:rStyle w:val="VerbatimChar"/>
              </w:rPr>
              <w:t xml:space="preserve">wrangling_v2.r</w:t>
            </w:r>
            <w:r>
              <w:t xml:space="preserve">) for Monte Carlo PSA. Distributions follow standard health-economics conventions: gamma for costs (shape 25 → CV ≈ 0.20), beta for probabilities (parameterised on the sample-equivalent count), fixed for deterministic anchors and derived sums.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What this site does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do.</w:t>
            </w:r>
            <w:r>
              <w:t xml:space="preserve"> </w:t>
            </w:r>
            <w:r>
              <w:t xml:space="preserve">No mixed-effects regression, no machine-learning model, no causal-inference identification strategy, no Bayesian hierarchical model. The site is a transparent deterministic burden-and-decision-tree calculator with explicit PSA. Strength comes from auditability, not algorithmic complexity.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DALRRD holds the lever — and bears almost none of the cost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DALRRD itself bears</w:t>
            </w:r>
            <w:r>
              <w:t xml:space="preserve"> </w:t>
            </w:r>
            <w:r>
              <w:rPr>
                <w:b/>
                <w:bCs/>
              </w:rPr>
              <w:t xml:space="preserve">~R0 of the R1.61B annual burden</w:t>
            </w:r>
            <w:r>
              <w:t xml:space="preserve">. That cost is borne by NDoH (~R70M hospital), NHLS (~R10M lab), and most heavily by</w:t>
            </w:r>
            <w:r>
              <w:t xml:space="preserve"> </w:t>
            </w:r>
            <w:r>
              <w:rPr>
                <w:b/>
                <w:bCs/>
              </w:rPr>
              <w:t xml:space="preserve">households (~R1.53B in OOP costs and lost lifetime earnings)</w:t>
            </w:r>
            <w:r>
              <w:t xml:space="preserve">. DALRRD nevertheless holds the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lever — registration, restriction, recall — that prevents the underlying exposure. Action borne by DALRRD (~R1–3M/yr enforcement) retires household-borne mortality cost at a leverage ratio of roughly</w:t>
            </w:r>
            <w:r>
              <w:t xml:space="preserve"> </w:t>
            </w:r>
            <w:r>
              <w:rPr>
                <w:b/>
                <w:bCs/>
              </w:rPr>
              <w:t xml:space="preserve">1 : 500</w:t>
            </w:r>
            <w:r>
              <w:t xml:space="preserve">. This is the single highest-leverage regulatory action on the SA pesticide-poisoning portfolio.</w:t>
            </w:r>
          </w:p>
          <w:p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Banned</w:t>
            </w:r>
            <w:r>
              <w:t xml:space="preserve"> </w:t>
            </w:r>
            <w:r>
              <w:t xml:space="preserve">— full prohibition gazetted 8 May 2026 (Act 36 of 1947)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Ia — Extremely Hazardous</w:t>
            </w:r>
            <w:r>
              <w:rPr>
                <w:rStyle w:val="FootnoteReference"/>
              </w:rPr>
              <w:footnoteReference w:id="3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 oral LD50 (rat)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1.6–4.5 mg/kg</w:t>
            </w:r>
            <w:r>
              <w:rPr>
                <w:rStyle w:val="FootnoteReference"/>
              </w:rPr>
              <w:footnoteReference w:id="34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approved since 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Restricted-Use; granular formulations voluntarily cancelled</w:t>
            </w:r>
            <w:r>
              <w:rPr>
                <w:rStyle w:val="FootnoteReference"/>
              </w:rPr>
              <w:footnoteReference w:id="35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paediatric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agent in fatal childhood pesticide poisoning</w:t>
            </w:r>
            <w:r>
              <w:rPr>
                <w:rStyle w:val="FootnoteReference"/>
              </w:rPr>
              <w:footnoteReference w:id="36"/>
            </w:r>
          </w:p>
        </w:tc>
      </w:tr>
    </w:tbl>
    <w:bookmarkEnd w:id="37"/>
    <w:bookmarkStart w:id="42" w:name="X5de8afb8283613d543bec26f422896f0fb8490c"/>
    <w:p>
      <w:pPr>
        <w:pStyle w:val="Heading2"/>
      </w:pPr>
      <w:r>
        <w:t xml:space="preserve">4. Root causes of disproportionate terbufos harm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erb-fishbone"/>
          <w:p>
            <w:pPr>
              <w:jc w:val="center"/>
            </w:pPr>
            <w:r>
              <w:drawing>
                <wp:inline>
                  <wp:extent cx="5334000" cy="415871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terbufos_policy_files/figure-docx/mermaid-figure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58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Root causes that make terbufos a disproportionate public-health hazard in SA. All five drivers funnel to the same regulatory remedy — banning terbufos.</w:t>
            </w:r>
          </w:p>
          <w:bookmarkEnd w:id="41"/>
        </w:tc>
      </w:tr>
    </w:tbl>
    <w:p>
      <w:pPr>
        <w:pStyle w:val="BodyText"/>
      </w:pPr>
      <w:r>
        <w:t xml:space="preserve">Four of the five drivers (intrinsic hazard, formulation, informal-market diversion, substitution readiness) are addressed by a single regulatory act — withdrawing terbufos from the SA pesticide register. The fifth driver (live-patient attribution) is sharpened by</w:t>
      </w:r>
      <w:r>
        <w:t xml:space="preserve"> </w:t>
      </w:r>
      <w:hyperlink r:id="rId9">
        <w:r>
          <w:rPr>
            <w:rStyle w:val="Hyperlink"/>
          </w:rPr>
          <w:t xml:space="preserve">Surveillance Option S3</w:t>
        </w:r>
      </w:hyperlink>
      <w:r>
        <w:t xml:space="preserve">, but the existing paediatric attribution (Davies 2023) and the Sri Lanka international evidence are already sufficient to act.</w:t>
      </w:r>
    </w:p>
    <w:bookmarkEnd w:id="42"/>
    <w:bookmarkStart w:id="45" w:name="policy-options"/>
    <w:p>
      <w:pPr>
        <w:pStyle w:val="Heading2"/>
      </w:pPr>
      <w:r>
        <w:t xml:space="preserve">5. Policy options</w:t>
      </w:r>
    </w:p>
    <w:p>
      <w:pPr>
        <w:pStyle w:val="FirstParagraph"/>
      </w:pPr>
      <w:r>
        <w:t xml:space="preserve">The action space collapses to two options:</w:t>
      </w:r>
    </w:p>
    <w:bookmarkStart w:id="43" w:name="option-t1-status-quo-no-change"/>
    <w:p>
      <w:pPr>
        <w:pStyle w:val="Heading3"/>
      </w:pPr>
      <w:r>
        <w:t xml:space="preserve">Option T1 — Status quo (no change)</w:t>
      </w:r>
    </w:p>
    <w:p>
      <w:pPr>
        <w:pStyle w:val="FirstParagraph"/>
      </w:pPr>
      <w:r>
        <w:t xml:space="preserve">Terbufos remains registered under existing conditions. The system continues to rely on general pesticide-handling regulations and clinician/EHP-led NMC notifications to detect harm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occurs.</w:t>
      </w:r>
      <w:r>
        <w:t xml:space="preserve"> </w:t>
      </w:r>
      <w:r>
        <w:rPr>
          <w:b/>
          <w:bCs/>
        </w:rPr>
        <w:t xml:space="preserve">This is the implicit decision if no regulatory action is taken.</w:t>
      </w:r>
    </w:p>
    <w:bookmarkEnd w:id="43"/>
    <w:bookmarkStart w:id="44" w:name="option-t2-ban-terbufos-recommended"/>
    <w:p>
      <w:pPr>
        <w:pStyle w:val="Heading3"/>
      </w:pPr>
      <w:r>
        <w:t xml:space="preserve">Option T2 — Ban terbufos</w:t>
      </w:r>
      <w:r>
        <w:t xml:space="preserve"> </w:t>
      </w:r>
      <w:r>
        <w:rPr>
          <w:i/>
          <w:iCs/>
        </w:rPr>
        <w:t xml:space="preserve">(★ recommended)</w:t>
      </w:r>
    </w:p>
    <w:p>
      <w:pPr>
        <w:pStyle w:val="FirstParagraph"/>
      </w:pPr>
      <w:r>
        <w:t xml:space="preserve">Cancel terbufos product registrations under the Fertilizers, Farm Feeds, Agricultural Remedies and Stock Remedies Act, with a</w:t>
      </w:r>
      <w:r>
        <w:t xml:space="preserve"> </w:t>
      </w:r>
      <w:r>
        <w:rPr>
          <w:b/>
          <w:bCs/>
        </w:rPr>
        <w:t xml:space="preserve">12–24 month phase-out window</w:t>
      </w:r>
      <w:r>
        <w:t xml:space="preserve"> </w:t>
      </w:r>
      <w:r>
        <w:t xml:space="preserve">to allow substitute uptake and existing stock to clear. Aligns SA with the EU 2009 position. During the phase-out, terbufos is moved to Restricted-Use status (sales only via certified applicators with logged transactions) so the regulatory mechanism is operational from gazette day one.</w:t>
      </w:r>
    </w:p>
    <w:p>
      <w:pPr>
        <w:pStyle w:val="BodyText"/>
      </w:pPr>
      <w:r>
        <w:rPr>
          <w:i/>
          <w:iCs/>
        </w:rPr>
        <w:t xml:space="preserve">Intermediate restriction options (RUP, formulation restriction, distributor audit) are best understood as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mechanics of the phase-out</w:t>
      </w:r>
      <w:r>
        <w:rPr>
          <w:i/>
          <w:iCs/>
        </w:rPr>
        <w:t xml:space="preserve">, not as alternative end-states. The end-state is withdrawal.</w:t>
      </w:r>
    </w:p>
    <w:bookmarkEnd w:id="44"/>
    <w:bookmarkEnd w:id="45"/>
    <w:bookmarkStart w:id="51" w:name="X4d03d4c76a2afb622c5d906451b6dcd6bd957b0"/>
    <w:p>
      <w:pPr>
        <w:pStyle w:val="Heading2"/>
      </w:pPr>
      <w:r>
        <w:t xml:space="preserve">6. Decision tree — deaths, burden, and yield under each option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48348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terbufos_policy_files/figure-docx/mermaid-figure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Two-node terbufos decision tree. The split is binary — ban or no ban. Each branch terminates in three parallel outcomes: deaths, monetised burden, and maize yield. Deaths-averted arithmetic: f_attr × φ_retired × N_deaths_total = 0.25 × 0.70 × 1,014 = 177/yr (working). Attributable fraction range 20–35% from Davies 2023 + Gunnell 2017; substitution-incompleteness 70% from Sri Lanka.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Summary — aggregate tree (national, annual).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terb-aggregat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Aggregate decision tree: national annual outcomes under each arm and the reduction delivered by an enforced ban (mid-point estimate). Deaths/burden range reflects attributable-fraction bracket (Davies 2023 + Gunnell 2017).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38"/>
              <w:gridCol w:w="1624"/>
              <w:gridCol w:w="913"/>
              <w:gridCol w:w="284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Status quo (T1)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Ban (T2)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Averted by ban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Deaths/yr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177 (range 142–248)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Economic burden (ZAR/yr)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R0.40B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R0.12B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R0.28B (range R0.23–R0.39B)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Maize yield impact (pp)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 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 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 pp</w:t>
                  </w:r>
                </w:p>
              </w:tc>
            </w:tr>
          </w:tbl>
          <w:bookmarkEnd w:id="49"/>
          <w:p/>
        </w:tc>
      </w:tr>
    </w:tbl>
    <w:p>
      <w:pPr>
        <w:pStyle w:val="BodyText"/>
      </w:pPr>
      <w:r>
        <w:rPr>
          <w:b/>
          <w:bCs/>
        </w:rPr>
        <w:t xml:space="preserve">Reading the tree.</w:t>
      </w:r>
      <w:r>
        <w:t xml:space="preserve"> </w:t>
      </w:r>
      <w:r>
        <w:t xml:space="preserve">The decision is binary because the upstream driver — high-intrinsic-toxicity granular OP in informal circulation — is binary: either the product is on the register or it isn’t. Each branch terminates in three parallel outcomes: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Deaths</w:t>
      </w:r>
      <w:r>
        <w:t xml:space="preserve"> </w:t>
      </w:r>
      <w:r>
        <w:t xml:space="preserve">— the headline public-health metric. Computed as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attr</m:t>
            </m:r>
          </m:sub>
        </m:sSub>
        <m:r>
          <m:rPr>
            <m:sty m:val="p"/>
          </m:rPr>
          <m:t>×</m:t>
        </m:r>
        <m:sSub>
          <m:e>
            <m:r>
              <m:t>φ</m:t>
            </m:r>
          </m:e>
          <m:sub>
            <m:r>
              <m:rPr>
                <m:nor/>
                <m:sty m:val="p"/>
              </m:rPr>
              <m:t>retired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deaths</m:t>
            </m:r>
          </m:sub>
        </m:sSub>
      </m:oMath>
      <w:r>
        <w:t xml:space="preserve">. The working value pulls from three CSV parameters: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frac_terbufos_attributable_mid</w:t>
      </w:r>
      <w:r>
        <w:t xml:space="preserve"> </w:t>
      </w:r>
      <w:r>
        <w:t xml:space="preserve">= 25% (range 20–35%) — SA paediatric attribution (Davies 2023) + Sri Lanka single-agent withdrawal bracket (Gunnell 2017).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frac_T3_burden_retired</w:t>
      </w:r>
      <w:r>
        <w:t xml:space="preserve"> </w:t>
      </w:r>
      <w:r>
        <w:t xml:space="preserve">= 70% — fraction of attributable burden retired post-ban, anchored to Sri Lanka substitution-incompleteness. The complement is the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node — deaths that persist because some users will switch to other Class I OPs rather than to less-hazardous substitutes.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n_deaths_headline</w:t>
      </w:r>
      <w:r>
        <w:t xml:space="preserve"> </w:t>
      </w:r>
      <w:r>
        <w:t xml:space="preserve">= 1,014 — StatsSA MACOD 2023 fatal pesticide-poisoning total.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Burden</w:t>
      </w:r>
      <w:r>
        <w:t xml:space="preserve"> </w:t>
      </w:r>
      <w:r>
        <w:t xml:space="preserve">— the same multiplication applied to the R1.61B total annual burden. Working value:</w:t>
      </w:r>
      <w:r>
        <w:t xml:space="preserve"> </w:t>
      </w:r>
      <w:r>
        <w:rPr>
          <w:b/>
          <w:bCs/>
        </w:rPr>
        <w:t xml:space="preserve">~R0.28B/yr retired</w:t>
      </w:r>
      <w:r>
        <w:t xml:space="preserve">, falling on households + NDoH at the canonical share split.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Maize yield</w:t>
      </w:r>
      <w:r>
        <w:t xml:space="preserve"> </w:t>
      </w:r>
      <w:r>
        <w:t xml:space="preserve">— bounded at &lt;5 % (see §7).</w:t>
      </w:r>
    </w:p>
    <w:p>
      <w:pPr>
        <w:pStyle w:val="FirstParagraph"/>
      </w:pPr>
      <w:r>
        <w:t xml:space="preserve">The full closed-form derivation, with the deaths-averted bracket calculated under every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attr</m:t>
            </m:r>
          </m:sub>
        </m:sSub>
        <m:r>
          <m:rPr>
            <m:sty m:val="p"/>
          </m:rPr>
          <m:t>×</m:t>
        </m:r>
        <m:sSub>
          <m:e>
            <m:r>
              <m:t>φ</m:t>
            </m:r>
          </m:e>
          <m:sub>
            <m:r>
              <m:rPr>
                <m:nor/>
                <m:sty m:val="p"/>
              </m:rPr>
              <m:t>retired</m:t>
            </m:r>
          </m:sub>
        </m:sSub>
      </m:oMath>
      <w:r>
        <w:t xml:space="preserve"> </w:t>
      </w:r>
      <w:r>
        <w:t xml:space="preserve">combination, lives in</w:t>
      </w:r>
      <w:r>
        <w:t xml:space="preserve"> </w:t>
      </w:r>
      <w:hyperlink r:id="rId50">
        <w:r>
          <w:rPr>
            <w:rStyle w:val="Hyperlink"/>
          </w:rPr>
          <w:t xml:space="preserve">Technical Appendix C</w:t>
        </w:r>
      </w:hyperlink>
      <w:r>
        <w:t xml:space="preserve">.</w:t>
      </w:r>
    </w:p>
    <w:bookmarkEnd w:id="51"/>
    <w:bookmarkStart w:id="57" w:name="Xb24e980421836b8b31682578aafc6c65a73b44c"/>
    <w:p>
      <w:pPr>
        <w:pStyle w:val="Heading2"/>
      </w:pPr>
      <w:r>
        <w:t xml:space="preserve">6b. Alternative view — per-individual decision tree (Amua-style)</w:t>
      </w:r>
    </w:p>
    <w:p>
      <w:pPr>
        <w:pStyle w:val="FirstParagraph"/>
      </w:pPr>
      <w:r>
        <w:t xml:space="preserve">The tree in §6 is a</w:t>
      </w:r>
      <w:r>
        <w:t xml:space="preserve"> </w:t>
      </w:r>
      <w:r>
        <w:rPr>
          <w:b/>
          <w:bCs/>
        </w:rPr>
        <w:t xml:space="preserve">population-aggregate</w:t>
      </w:r>
      <w:r>
        <w:t xml:space="preserve"> </w:t>
      </w:r>
      <w:r>
        <w:t xml:space="preserve">model: it takes the StatsSA mortality total as given and asks what share is retired by a ban. An alternative — drafted in Amua — is a</w:t>
      </w:r>
      <w:r>
        <w:t xml:space="preserve"> </w:t>
      </w:r>
      <w:r>
        <w:rPr>
          <w:b/>
          <w:bCs/>
        </w:rPr>
        <w:t xml:space="preserve">per-individual</w:t>
      </w:r>
      <w:r>
        <w:t xml:space="preserve"> </w:t>
      </w:r>
      <w:r>
        <w:t xml:space="preserve">tree that walks a single SA resident through one year, splits on whether they experience a pesticide poisoning, then splits on whether the agent is terbufos, and finally splits on clinical outcome (died / hospitalised / asymptomatic). Each terminal carries a per-person cost; the rollback returns expected deaths, hospitalisations and ZAR cost</w:t>
      </w:r>
      <w:r>
        <w:t xml:space="preserve"> </w:t>
      </w:r>
      <w:r>
        <w:rPr>
          <w:b/>
          <w:bCs/>
        </w:rPr>
        <w:t xml:space="preserve">per individual per year</w:t>
      </w:r>
      <w:r>
        <w:t xml:space="preserve">, which can be multiplied by the SA population to recover annual national totals.</w:t>
      </w:r>
    </w:p>
    <w:p>
      <w:pPr>
        <w:pStyle w:val="BodyText"/>
      </w:pPr>
      <w:r>
        <w:t xml:space="preserve">The two trees answer the same policy question from opposite ends. The aggregate tree is more compact and audits cleanly against StatsSA; the per-individual tree exposes the</w:t>
      </w:r>
      <w:r>
        <w:t xml:space="preserve"> </w:t>
      </w:r>
      <w:r>
        <w:rPr>
          <w:i/>
          <w:iCs/>
        </w:rPr>
        <w:t xml:space="preserve">clinical-pathway logic</w:t>
      </w:r>
      <w:r>
        <w:t xml:space="preserve"> </w:t>
      </w:r>
      <w:r>
        <w:t xml:space="preserve">(CFR by agent) that drives the effect, and makes the personal stakes of registration policy explicit. The numbers below come from the same CSV-driven parameter set as §6.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446263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terbufos_policy_files/figure-docx/mermaid-figure-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Per-individual decision tree (Amua draft). An SA resident is followed for one year. Probabilities are CSV-driven (see</w:t>
      </w:r>
      <w:r>
        <w:t xml:space="preserve"> </w:t>
      </w:r>
      <w:r>
        <w:t xml:space="preserve">terb.personal_tree</w:t>
      </w:r>
      <w:r>
        <w:t xml:space="preserve"> </w:t>
      </w:r>
      <w:r>
        <w:t xml:space="preserve">block). Scaled to a population of 63,100,000, this tree gives</w:t>
      </w:r>
      <w:r>
        <w:t xml:space="preserve"> </w:t>
      </w:r>
      <w:r>
        <w:rPr>
          <w:b/>
          <w:bCs/>
        </w:rPr>
        <w:t xml:space="preserve">964 deaths averted/yr</w:t>
      </w:r>
      <w:r>
        <w:t xml:space="preserve">,</w:t>
      </w:r>
      <w:r>
        <w:t xml:space="preserve"> </w:t>
      </w:r>
      <w:r>
        <w:rPr>
          <w:b/>
          <w:bCs/>
        </w:rPr>
        <w:t xml:space="preserve">1,550 hospitalisations averted/yr</w:t>
      </w:r>
      <w:r>
        <w:t xml:space="preserve">, and</w:t>
      </w:r>
      <w:r>
        <w:t xml:space="preserve"> </w:t>
      </w:r>
      <w:r>
        <w:rPr>
          <w:b/>
          <w:bCs/>
        </w:rPr>
        <w:t xml:space="preserve">~R1.57B/yr</w:t>
      </w:r>
      <w:r>
        <w:t xml:space="preserve"> </w:t>
      </w:r>
      <w:r>
        <w:t xml:space="preserve">in retired cost under a ban. Compare with the aggregate tree in §6: the two trees should give numbers in the same order of magnitude.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Per-individual rollback (expected values per SA resident per year).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terb-tree-personal-p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Expected deaths, hospitalisations, asymptomatic events, and ZAR cost per individual per year, by arm. Multiply by the SA population reference to get annual national totals.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851"/>
              <w:gridCol w:w="2057"/>
              <w:gridCol w:w="1645"/>
              <w:gridCol w:w="12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deaths_per_person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hospitalisations_pp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asymptomatic_pp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cost_zar_pp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status_quo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2.24e-05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6.06e-05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7.10e-06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3.60e-05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rPr>
          <w:b/>
          <w:bCs/>
        </w:rPr>
        <w:t xml:space="preserve">Apples-to-apples comparison — both trees on the same national scale.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terb-trees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Side-by-side comparison of the two decision trees on a common national annual scale (SA population reference: 63,100,000). The aggregate tree (§6) uses f_attr × φ_retired × StatsSA totals; the per-individual tree (§6b) derives the effect from the CFR differential (terbufos 12.5% vs other agents 1.0%) applied to the agent-mix shift (50% → 10% terbufos among poisonings). Close agreement validates the parameter set; large divergence flags inconsistency between CFR inputs and the attributable-fraction literature.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04"/>
              <w:gridCol w:w="2704"/>
              <w:gridCol w:w="251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 tree (§6)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Per-individual tree (§6b)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Deaths/yr — status quo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1,414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Deaths/yr — ban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Deaths averted/yr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177 (range 142–248)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964 (68.1% reduction)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Hospitalisations averted/yr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(not modelled)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1,550 (40.5% reduction)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Economic burden averted/yr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R0.28B (range R0.23–R0.39B)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R1.57B (64.4% reduction)</w:t>
                  </w:r>
                </w:p>
              </w:tc>
            </w:tr>
          </w:tbl>
          <w:bookmarkEnd w:id="56"/>
          <w:p/>
        </w:tc>
      </w:tr>
    </w:tbl>
    <w:p>
      <w:pPr>
        <w:pStyle w:val="BodyText"/>
      </w:pPr>
      <w:r>
        <w:rPr>
          <w:b/>
          <w:bCs/>
        </w:rPr>
        <w:t xml:space="preserve">Reading this against §6.</w:t>
      </w:r>
      <w:r>
        <w:t xml:space="preserve"> </w:t>
      </w:r>
      <w:r>
        <w:t xml:space="preserve">The two trees use the same upstream data but parameterise the effect differently: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§6 aggregate tree</w:t>
      </w:r>
      <w:r>
        <w:t xml:space="preserve"> </w:t>
      </w:r>
      <w:r>
        <w:t xml:space="preserve">multiplies the StatsSA total by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attr</m:t>
            </m:r>
          </m:sub>
        </m:sSub>
        <m:r>
          <m:rPr>
            <m:sty m:val="p"/>
          </m:rPr>
          <m:t>×</m:t>
        </m:r>
        <m:sSub>
          <m:e>
            <m:r>
              <m:t>φ</m:t>
            </m:r>
          </m:e>
          <m:sub>
            <m:r>
              <m:rPr>
                <m:nor/>
                <m:sty m:val="p"/>
              </m:rPr>
              <m:t>retired</m:t>
            </m:r>
          </m:sub>
        </m:sSub>
      </m:oMath>
      <w:r>
        <w:t xml:space="preserve">. The effect size is bounded by the attributable-fraction literature (Davies 2023, Gunnell 2017).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per-individual tree</w:t>
      </w:r>
      <w:r>
        <w:t xml:space="preserve"> </w:t>
      </w:r>
      <w:r>
        <w:t xml:space="preserve">above derives the effect from the</w:t>
      </w:r>
      <w:r>
        <w:t xml:space="preserve"> </w:t>
      </w:r>
      <w:r>
        <w:rPr>
          <w:i/>
          <w:iCs/>
        </w:rPr>
        <w:t xml:space="preserve">case-fatality differential</w:t>
      </w:r>
      <w:r>
        <w:t xml:space="preserve"> </w:t>
      </w:r>
      <w:r>
        <w:t xml:space="preserve">between terbufos (12.5%) and substitute agents (1.0%), applied to the agent-mix shift (50% → 10%).</w:t>
      </w:r>
    </w:p>
    <w:p>
      <w:pPr>
        <w:pStyle w:val="FirstParagraph"/>
      </w:pPr>
      <w:r>
        <w:t xml:space="preserve">If the per-individual tree gives a</w:t>
      </w:r>
      <w:r>
        <w:t xml:space="preserve"> </w:t>
      </w:r>
      <w:r>
        <w:rPr>
          <w:i/>
          <w:iCs/>
        </w:rPr>
        <w:t xml:space="preserve">much larger</w:t>
      </w:r>
      <w:r>
        <w:t xml:space="preserve"> </w:t>
      </w:r>
      <w:r>
        <w:t xml:space="preserve">number than §6, the implication is that the personal-tree’s CFR-by-agent inputs are more optimistic than the aggregate attributable-fraction literature supports — i.e. the personal tree is implicitly assuming a stronger ban effect. If it gives a</w:t>
      </w:r>
      <w:r>
        <w:t xml:space="preserve"> </w:t>
      </w:r>
      <w:r>
        <w:rPr>
          <w:i/>
          <w:iCs/>
        </w:rPr>
        <w:t xml:space="preserve">similar</w:t>
      </w:r>
      <w:r>
        <w:t xml:space="preserve"> </w:t>
      </w:r>
      <w:r>
        <w:t xml:space="preserve">number, the two views corroborate each other. The audience-facing brief should pick ONE — the aggregate view is usually safer for regulator audiences; the per-individual view is more impactful for clinician / parliamentary audiences.</w:t>
      </w:r>
    </w:p>
    <w:bookmarkEnd w:id="57"/>
    <w:bookmarkStart w:id="59" w:name="crop-yield-impact-brief"/>
    <w:p>
      <w:pPr>
        <w:pStyle w:val="Heading2"/>
      </w:pPr>
      <w:r>
        <w:t xml:space="preserve">7. Crop-yield impact (brief)</w:t>
      </w:r>
    </w:p>
    <w:p>
      <w:pPr>
        <w:pStyle w:val="FirstParagraph"/>
      </w:pPr>
      <w:r>
        <w:t xml:space="preserve">A ban affects production primarily through soil-insect / stalk-borer control on maize. The expected SA-specific yield impact is</w:t>
      </w:r>
      <w:r>
        <w:t xml:space="preserve"> </w:t>
      </w:r>
      <w:r>
        <w:rPr>
          <w:b/>
          <w:bCs/>
        </w:rPr>
        <w:t xml:space="preserve">&lt;5 %</w:t>
      </w:r>
      <w:r>
        <w:t xml:space="preserve">, concentrated in</w:t>
      </w:r>
      <w:r>
        <w:t xml:space="preserve"> </w:t>
      </w:r>
      <w:r>
        <w:rPr>
          <w:b/>
          <w:bCs/>
        </w:rPr>
        <w:t xml:space="preserve">non-Bt smallholder maize</w:t>
      </w:r>
      <w:r>
        <w:t xml:space="preserve">, for three independent reasons: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 maize is ~85 % Bt-trait.</w:t>
      </w:r>
      <w:r>
        <w:t xml:space="preserve"> </w:t>
      </w:r>
      <w:r>
        <w:t xml:space="preserve">The dominant stalk-borer use case is largely retired biologically before any chemical intervention.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Registered substitutes exist</w:t>
      </w:r>
      <w:r>
        <w:t xml:space="preserve"> </w:t>
      </w:r>
      <w:r>
        <w:t xml:space="preserve">for the residual soil-insect / nematode use case (chlorantraniliprole, thiamethoxam, imidacloprid, biological controls). These are</w:t>
      </w:r>
      <w:r>
        <w:t xml:space="preserve"> </w:t>
      </w:r>
      <w:r>
        <w:rPr>
          <w:b/>
          <w:bCs/>
        </w:rPr>
        <w:t xml:space="preserve">100–1,000× less acutely toxic</w:t>
      </w:r>
      <w:r>
        <w:t xml:space="preserve"> </w:t>
      </w:r>
      <w:r>
        <w:t xml:space="preserve">than terbufos on rat oral LD50 — the acute-poisoning burden retired is therefore essentially the full terbufos attributable share, not a redistribution to a similar-hazard substitute.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EU 2009 withdrawal produced no documented maize-yield collapse</w:t>
      </w:r>
      <w:r>
        <w:t xml:space="preserve"> </w:t>
      </w:r>
      <w:r>
        <w:t xml:space="preserve">in any producer state — a directly relevant natural experiment.</w:t>
      </w:r>
    </w:p>
    <w:p>
      <w:pPr>
        <w:pStyle w:val="FirstParagraph"/>
      </w:pPr>
      <w:r>
        <w:t xml:space="preserve">Substitute input cost is roughly</w:t>
      </w:r>
      <w:r>
        <w:t xml:space="preserve"> </w:t>
      </w:r>
      <w:r>
        <w:rPr>
          <w:b/>
          <w:bCs/>
        </w:rPr>
        <w:t xml:space="preserve">2–5× per hectare</w:t>
      </w:r>
      <w:r>
        <w:t xml:space="preserve"> </w:t>
      </w:r>
      <w:r>
        <w:t xml:space="preserve">vs commodity granular OPs, but maize gross output is ~R20,000/ha, so the input-cost delta is single-digit-% of gross output. Smallholder transition support (DALRRD grower advisory + targeted subsidy on substitute inputs for the first two seasons) addresses the access constraint.</w:t>
      </w:r>
    </w:p>
    <w:p>
      <w:pPr>
        <w:pStyle w:val="BodyText"/>
      </w:pPr>
      <w:r>
        <w:t xml:space="preserve">The detailed yield-impact derivation, with sensitivity ranges on Bt coverage, substitute pricing, and smallholder access, is presented in the supplementary technical note:</w:t>
      </w:r>
      <w:r>
        <w:t xml:space="preserve"> </w:t>
      </w:r>
      <w:hyperlink r:id="rId58">
        <w:r>
          <w:rPr>
            <w:rStyle w:val="Hyperlink"/>
          </w:rPr>
          <w:t xml:space="preserve">Technical Appendix C, §4 — Maize yield impact</w:t>
        </w:r>
      </w:hyperlink>
      <w:r>
        <w:t xml:space="preserve">.</w:t>
      </w:r>
    </w:p>
    <w:bookmarkEnd w:id="59"/>
    <w:bookmarkStart w:id="62" w:name="recommended-next-step"/>
    <w:p>
      <w:pPr>
        <w:pStyle w:val="Heading2"/>
      </w:pPr>
      <w:r>
        <w:t xml:space="preserve">8. Recommended next step</w:t>
      </w:r>
    </w:p>
    <w:p>
      <w:pPr>
        <w:pStyle w:val="FirstParagraph"/>
      </w:pPr>
      <w:r>
        <w:rPr>
          <w:b/>
          <w:bCs/>
        </w:rPr>
        <w:t xml:space="preserve">Adopt Option T2 (ban) with a 24-month phase-out.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0–3.</w:t>
      </w:r>
      <w:r>
        <w:t xml:space="preserve"> </w:t>
      </w:r>
      <w:r>
        <w:t xml:space="preserve">DALRRD gazette intent to cancel registration; immediate RUP designation as the phase-out mechanism (no informal-market sales from day one).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3–6.</w:t>
      </w:r>
      <w:r>
        <w:t xml:space="preserve"> </w:t>
      </w:r>
      <w:r>
        <w:t xml:space="preserve">Public-comment process; DALRRD–grain-industry transition plan including smallholder substitute subsidy.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6–12.</w:t>
      </w:r>
      <w:r>
        <w:t xml:space="preserve"> </w:t>
      </w:r>
      <w:hyperlink r:id="rId9">
        <w:r>
          <w:rPr>
            <w:rStyle w:val="Hyperlink"/>
          </w:rPr>
          <w:t xml:space="preserve">Surveillance S3</w:t>
        </w:r>
      </w:hyperlink>
      <w:r>
        <w:t xml:space="preserve"> </w:t>
      </w:r>
      <w:r>
        <w:t xml:space="preserve">sentinel toxicology stands up to track attributable fraction during the phase-out (refines the bracket; does not gate the decision).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12–24.</w:t>
      </w:r>
      <w:r>
        <w:t xml:space="preserve"> </w:t>
      </w:r>
      <w:r>
        <w:t xml:space="preserve">Final cancellation; existing stock cleared; DALRRD inspectorate audit confirms market withdrawal.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24.</w:t>
      </w:r>
      <w:r>
        <w:t xml:space="preserve"> </w:t>
      </w:r>
      <w:r>
        <w:t xml:space="preserve">Joint NDoH–DALRRD evaluation against pre-agreed reduction in attributable serious-poisoning cases.</w:t>
      </w:r>
    </w:p>
    <w:p>
      <w:pPr>
        <w:pStyle w:val="FirstParagraph"/>
      </w:pPr>
      <w:r>
        <w:t xml:space="preserve">This is the public-health action with the highest demonstrated leverage on the SA pesticide-poisoning portfolio, supported by both SA-specific paediatric data (Davies 2023) and a directly applicable international natural experiment (Sri Lanka, EU). The agricultural cost is small, bounded, and addressable through standard substitution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Companion briefs:</w:t>
      </w:r>
      <w:r>
        <w:t xml:space="preserve"> </w:t>
      </w:r>
      <w:hyperlink r:id="rId9">
        <w:r>
          <w:rPr>
            <w:rStyle w:val="Hyperlink"/>
          </w:rPr>
          <w:t xml:space="preserve">Surveillance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Decision Model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Costing Analysis</w:t>
        </w:r>
      </w:hyperlink>
    </w:p>
    <w:p>
      <w:pPr>
        <w:pStyle w:val="BodyText"/>
      </w:pPr>
      <w:r>
        <w:rPr>
          <w:b/>
          <w:bCs/>
        </w:rPr>
        <w:t xml:space="preserve">Technical appendix:</w:t>
      </w:r>
      <w:r>
        <w:t xml:space="preserve"> </w:t>
      </w:r>
      <w:hyperlink r:id="rId50">
        <w:r>
          <w:rPr>
            <w:rStyle w:val="Hyperlink"/>
          </w:rPr>
          <w:t xml:space="preserve">C — Terbufos bracketed deaths-averted estimate and yield-impact model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World Health Organization.</w:t>
      </w:r>
      <w:r>
        <w:t xml:space="preserve"> </w:t>
      </w:r>
      <w:r>
        <w:rPr>
          <w:i/>
          <w:iCs/>
        </w:rPr>
        <w:t xml:space="preserve">The WHO Recommended Classification of Pesticides by Hazard and Guidelines to Classification</w:t>
      </w:r>
      <w:r>
        <w:t xml:space="preserve">, current edition. Terbufos is listed in Class Ia (Extremely Hazardous).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 Environmental Protection Agency.</w:t>
      </w:r>
      <w:r>
        <w:t xml:space="preserve"> </w:t>
      </w:r>
      <w:r>
        <w:rPr>
          <w:i/>
          <w:iCs/>
        </w:rPr>
        <w:t xml:space="preserve">Reregistration Eligibility Decision (RED): Terbufos.</w:t>
      </w:r>
      <w:r>
        <w:t xml:space="preserve"> </w:t>
      </w:r>
      <w:r>
        <w:t xml:space="preserve">EPA-738-R-06-006, September 2006. Rat acute oral LD50 1.6–4.5 mg/kg; rat acute dermal LD50 1.0–7.4 mg/kg.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Davies J et al. (2023). Paediatric pesticide deaths in South Africa; documents terbufos and methamidophos dominance among fatal cases. Cited in</w:t>
      </w:r>
      <w:r>
        <w:t xml:space="preserve"> </w:t>
      </w:r>
      <w:hyperlink r:id="rId15">
        <w:r>
          <w:rPr>
            <w:rStyle w:val="Hyperlink"/>
          </w:rPr>
          <w:t xml:space="preserve">glossary.qmd</w:t>
        </w:r>
      </w:hyperlink>
      <w:r>
        <w:t xml:space="preserve">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NICD/NMC clinical case reports and public communications, 2022–2024, on mass-poisoning incidents linked to informally-sold granular organophosphate pesticides. Formal case-series compilation pending (open item TBF-2).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Gunnell D, Knipe D, Chang S-S, Pearson M, Konradsen F, Eddleston M et al. </w:t>
      </w:r>
      <w:r>
        <w:rPr>
          <w:i/>
          <w:iCs/>
        </w:rPr>
        <w:t xml:space="preserve">Prevention of suicide with regulations aimed at restricting access to highly hazardous pesticides: a systematic review of the international evidence.</w:t>
      </w:r>
      <w:r>
        <w:t xml:space="preserve"> </w:t>
      </w:r>
      <w:r>
        <w:t xml:space="preserve">Lancet Glob Health 2017;5:e1026–e1037. Knipe DW et al. </w:t>
      </w:r>
      <w:r>
        <w:rPr>
          <w:i/>
          <w:iCs/>
        </w:rPr>
        <w:t xml:space="preserve">Suicide prevention through means restriction: impact of the 2008–2011 pesticide restrictions on suicide in Sri Lanka.</w:t>
      </w:r>
      <w:r>
        <w:t xml:space="preserve"> </w:t>
      </w:r>
      <w:r>
        <w:t xml:space="preserve">PLOS One 2017.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World Health Organization.</w:t>
      </w:r>
      <w:r>
        <w:t xml:space="preserve"> </w:t>
      </w:r>
      <w:r>
        <w:rPr>
          <w:i/>
          <w:iCs/>
        </w:rPr>
        <w:t xml:space="preserve">The WHO Recommended Classification of Pesticides by Hazard and Guidelines to Classification</w:t>
      </w:r>
      <w:r>
        <w:t xml:space="preserve">, current edition. Terbufos is listed in Class Ia (Extremely Hazardous).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 Environmental Protection Agency.</w:t>
      </w:r>
      <w:r>
        <w:t xml:space="preserve"> </w:t>
      </w:r>
      <w:r>
        <w:rPr>
          <w:i/>
          <w:iCs/>
        </w:rPr>
        <w:t xml:space="preserve">Reregistration Eligibility Decision (RED): Terbufos.</w:t>
      </w:r>
      <w:r>
        <w:t xml:space="preserve"> </w:t>
      </w:r>
      <w:r>
        <w:t xml:space="preserve">EPA-738-R-06-006, September 2006. Rat acute oral LD50 1.6–4.5 mg/kg; rat acute dermal LD50 1.0–7.4 mg/kg.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 Environmental Protection Agency.</w:t>
      </w:r>
      <w:r>
        <w:t xml:space="preserve"> </w:t>
      </w:r>
      <w:r>
        <w:rPr>
          <w:i/>
          <w:iCs/>
        </w:rPr>
        <w:t xml:space="preserve">Reregistration Eligibility Decision (RED): Terbufos.</w:t>
      </w:r>
      <w:r>
        <w:t xml:space="preserve"> </w:t>
      </w:r>
      <w:r>
        <w:t xml:space="preserve">EPA-738-R-06-006, September 2006. Rat acute oral LD50 1.6–4.5 mg/kg; rat acute dermal LD50 1.0–7.4 mg/kg.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Davies J et al. (2023). Paediatric pesticide deaths in South Africa; documents terbufos and methamidophos dominance among fatal cases. Cited in</w:t>
      </w:r>
      <w:r>
        <w:t xml:space="preserve"> </w:t>
      </w:r>
      <w:hyperlink r:id="rId15">
        <w:r>
          <w:rPr>
            <w:rStyle w:val="Hyperlink"/>
          </w:rPr>
          <w:t xml:space="preserve">glossary.qmd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52" Target="media/rId52.png" /><Relationship Type="http://schemas.openxmlformats.org/officeDocument/2006/relationships/image" Id="rId46" Target="media/rId46.png" /><Relationship Type="http://schemas.openxmlformats.org/officeDocument/2006/relationships/hyperlink" Id="rId20" Target="../amua_import_parameters_v4.csv" TargetMode="External" /><Relationship Type="http://schemas.openxmlformats.org/officeDocument/2006/relationships/hyperlink" Id="rId15" Target="../glossary.qmd#key-sources" TargetMode="External" /><Relationship Type="http://schemas.openxmlformats.org/officeDocument/2006/relationships/hyperlink" Id="rId21" Target="../parameter_appraisal.qmd" TargetMode="External" /><Relationship Type="http://schemas.openxmlformats.org/officeDocument/2006/relationships/hyperlink" Id="rId28" Target="../parameter_playground.qmd" TargetMode="External" /><Relationship Type="http://schemas.openxmlformats.org/officeDocument/2006/relationships/hyperlink" Id="rId19" Target="../parameters_hub.html" TargetMode="External" /><Relationship Type="http://schemas.openxmlformats.org/officeDocument/2006/relationships/hyperlink" Id="rId50" Target="../technical_appendix_terbufos.qmd" TargetMode="External" /><Relationship Type="http://schemas.openxmlformats.org/officeDocument/2006/relationships/hyperlink" Id="rId58" Target="../technical_appendix_terbufos.qmd#sec-yield-impact" TargetMode="External" /><Relationship Type="http://schemas.openxmlformats.org/officeDocument/2006/relationships/hyperlink" Id="rId10" Target="coordination_policy.qmd" TargetMode="External" /><Relationship Type="http://schemas.openxmlformats.org/officeDocument/2006/relationships/hyperlink" Id="rId61" Target="costing_analysis.qmd" TargetMode="External" /><Relationship Type="http://schemas.openxmlformats.org/officeDocument/2006/relationships/hyperlink" Id="rId60" Target="decision_model.qmd" TargetMode="External" /><Relationship Type="http://schemas.openxmlformats.org/officeDocument/2006/relationships/hyperlink" Id="rId24" Target="https://gt.rstudio.com/" TargetMode="External" /><Relationship Type="http://schemas.openxmlformats.org/officeDocument/2006/relationships/hyperlink" Id="rId27" Target="https://mermaid.js.org/" TargetMode="External" /><Relationship Type="http://schemas.openxmlformats.org/officeDocument/2006/relationships/hyperlink" Id="rId29" Target="https://observablehq.com/@observablehq/observable-javascript" TargetMode="External" /><Relationship Type="http://schemas.openxmlformats.org/officeDocument/2006/relationships/hyperlink" Id="rId26" Target="https://scales.r-lib.org/" TargetMode="External" /><Relationship Type="http://schemas.openxmlformats.org/officeDocument/2006/relationships/hyperlink" Id="rId25" Target="https://www.tidyverse.org/" TargetMode="External" /><Relationship Type="http://schemas.openxmlformats.org/officeDocument/2006/relationships/hyperlink" Id="rId9" Target="surveillance_poli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mua_import_parameters_v4.csv" TargetMode="External" /><Relationship Type="http://schemas.openxmlformats.org/officeDocument/2006/relationships/hyperlink" Id="rId15" Target="../glossary.qmd#key-sources" TargetMode="External" /><Relationship Type="http://schemas.openxmlformats.org/officeDocument/2006/relationships/hyperlink" Id="rId21" Target="../parameter_appraisal.qmd" TargetMode="External" /><Relationship Type="http://schemas.openxmlformats.org/officeDocument/2006/relationships/hyperlink" Id="rId28" Target="../parameter_playground.qmd" TargetMode="External" /><Relationship Type="http://schemas.openxmlformats.org/officeDocument/2006/relationships/hyperlink" Id="rId19" Target="../parameters_hub.html" TargetMode="External" /><Relationship Type="http://schemas.openxmlformats.org/officeDocument/2006/relationships/hyperlink" Id="rId50" Target="../technical_appendix_terbufos.qmd" TargetMode="External" /><Relationship Type="http://schemas.openxmlformats.org/officeDocument/2006/relationships/hyperlink" Id="rId58" Target="../technical_appendix_terbufos.qmd#sec-yield-impact" TargetMode="External" /><Relationship Type="http://schemas.openxmlformats.org/officeDocument/2006/relationships/hyperlink" Id="rId10" Target="coordination_policy.qmd" TargetMode="External" /><Relationship Type="http://schemas.openxmlformats.org/officeDocument/2006/relationships/hyperlink" Id="rId61" Target="costing_analysis.qmd" TargetMode="External" /><Relationship Type="http://schemas.openxmlformats.org/officeDocument/2006/relationships/hyperlink" Id="rId60" Target="decision_model.qmd" TargetMode="External" /><Relationship Type="http://schemas.openxmlformats.org/officeDocument/2006/relationships/hyperlink" Id="rId24" Target="https://gt.rstudio.com/" TargetMode="External" /><Relationship Type="http://schemas.openxmlformats.org/officeDocument/2006/relationships/hyperlink" Id="rId27" Target="https://mermaid.js.org/" TargetMode="External" /><Relationship Type="http://schemas.openxmlformats.org/officeDocument/2006/relationships/hyperlink" Id="rId29" Target="https://observablehq.com/@observablehq/observable-javascript" TargetMode="External" /><Relationship Type="http://schemas.openxmlformats.org/officeDocument/2006/relationships/hyperlink" Id="rId26" Target="https://scales.r-lib.org/" TargetMode="External" /><Relationship Type="http://schemas.openxmlformats.org/officeDocument/2006/relationships/hyperlink" Id="rId25" Target="https://www.tidyverse.org/" TargetMode="External" /><Relationship Type="http://schemas.openxmlformats.org/officeDocument/2006/relationships/hyperlink" Id="rId9" Target="surveillance_poli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Brief 3: Restricting or Banning Terbufos in South Africa</dc:title>
  <dc:creator>D2P Project Team</dc:creator>
  <cp:keywords/>
  <dcterms:created xsi:type="dcterms:W3CDTF">2026-07-27T08:47:22Z</dcterms:created>
  <dcterms:modified xsi:type="dcterms:W3CDTF">2026-07-27T08:47:22Z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2025-09-05</vt:lpwstr>
  </property>
  <property fmtid="{D5CDD505-2E9C-101B-9397-08002B2CF9AE}" pid="7" name="date-modified">
    <vt:lpwstr>2026-07-27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A priority-product action under the surveillance + coordination framework</vt:lpwstr>
  </property>
  <property fmtid="{D5CDD505-2E9C-101B-9397-08002B2CF9AE}" pid="14" name="toc-title">
    <vt:lpwstr>Table of contents</vt:lpwstr>
  </property>
</Properties>
</file>