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5F767" w14:textId="77777777" w:rsidR="00B8748D" w:rsidRDefault="00000000">
      <w:pPr>
        <w:pStyle w:val="Heading1"/>
      </w:pPr>
      <w:bookmarkStart w:id="0" w:name="introduction"/>
      <w:r>
        <w:t>Introduction</w:t>
      </w:r>
    </w:p>
    <w:p w14:paraId="34512899" w14:textId="446DC41D" w:rsidR="00B8748D" w:rsidRDefault="00000000">
      <w:pPr>
        <w:pStyle w:val="FirstParagraph"/>
      </w:pPr>
      <w:r>
        <w:t xml:space="preserve">This document reports the Conditions notified to Notifiable Medical Conditions and flagg for reporting to WHO as part of INtegrated Disease Surveillance and Response (IDSR). Data was export on Thursday, February 29, 2024 11:00 AM. It covers conditions reported to the NMCSS for </w:t>
      </w:r>
      <w:proofErr w:type="spellStart"/>
      <w:r>
        <w:t>for</w:t>
      </w:r>
      <w:proofErr w:type="spellEnd"/>
      <w:r>
        <w:t xml:space="preserve"> </w:t>
      </w:r>
      <w:proofErr w:type="spellStart"/>
      <w:r>
        <w:t>Epiweek</w:t>
      </w:r>
      <w:proofErr w:type="spellEnd"/>
      <w:r>
        <w:t xml:space="preserve"> 8 of 2024, which is from Sunday, February 18 to Saturday, February </w:t>
      </w:r>
      <w:proofErr w:type="gramStart"/>
      <w:r>
        <w:t>24..</w:t>
      </w:r>
      <w:proofErr w:type="gramEnd"/>
      <w:r>
        <w:t xml:space="preserve"> </w:t>
      </w:r>
      <w:r>
        <w:rPr>
          <w:b/>
          <w:bCs/>
        </w:rPr>
        <w:t>Please note that while this numbers present the latest disease notifications, they are subject to change as verification and confirmation procedures are carried out. We strive to maintain data accuracy through rigorous processes, which may result in updates to the reported numbers.</w:t>
      </w:r>
    </w:p>
    <w:p w14:paraId="288F4AED" w14:textId="77777777" w:rsidR="00B8748D" w:rsidRDefault="00000000">
      <w:pPr>
        <w:pStyle w:val="BodyText"/>
      </w:pPr>
      <w:r>
        <w:t xml:space="preserve">For more notes on data interpretation please see </w:t>
      </w:r>
      <w:hyperlink r:id="rId7">
        <w:r>
          <w:rPr>
            <w:rStyle w:val="Hyperlink"/>
          </w:rPr>
          <w:t>NMCSS interpretation</w:t>
        </w:r>
      </w:hyperlink>
      <w:r>
        <w:t>.</w:t>
      </w:r>
    </w:p>
    <w:p w14:paraId="1C3A3BAB" w14:textId="77777777" w:rsidR="00B8748D" w:rsidRDefault="00000000">
      <w:pPr>
        <w:pStyle w:val="Heading2"/>
      </w:pPr>
      <w:bookmarkStart w:id="1" w:name="category-1-conditions-at-a-glance"/>
      <w:r>
        <w:t>Category 1 Conditions at a glance</w:t>
      </w:r>
    </w:p>
    <w:p w14:paraId="010FD33C" w14:textId="77777777" w:rsidR="00B8748D" w:rsidRDefault="00000000">
      <w:pPr>
        <w:pStyle w:val="TableCaption"/>
      </w:pPr>
      <w:bookmarkStart w:id="2" w:name="tab:unnamed-chunk-4"/>
      <w:bookmarkEnd w:id="2"/>
      <w:r>
        <w:t>Table 1: The number of notifications that are suspected and confirmed for category 1 conditions.</w:t>
      </w:r>
    </w:p>
    <w:tbl>
      <w:tblPr>
        <w:tblW w:w="4950" w:type="pct"/>
        <w:jc w:val="center"/>
        <w:tblLook w:val="0420" w:firstRow="1" w:lastRow="0" w:firstColumn="0" w:lastColumn="0" w:noHBand="0" w:noVBand="1"/>
      </w:tblPr>
      <w:tblGrid>
        <w:gridCol w:w="8830"/>
        <w:gridCol w:w="1261"/>
        <w:gridCol w:w="1726"/>
        <w:gridCol w:w="1726"/>
      </w:tblGrid>
      <w:tr w:rsidR="00B8748D" w14:paraId="399CC727"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275C8B" w14:textId="77777777" w:rsidR="00B8748D" w:rsidRPr="001008A5" w:rsidRDefault="00000000">
            <w:pPr>
              <w:pBdr>
                <w:top w:val="none" w:sz="0" w:space="0" w:color="000000"/>
                <w:left w:val="none" w:sz="0" w:space="0" w:color="000000"/>
                <w:bottom w:val="none" w:sz="0" w:space="0" w:color="000000"/>
                <w:right w:val="none" w:sz="0" w:space="0" w:color="000000"/>
              </w:pBdr>
              <w:spacing w:before="40" w:after="40"/>
              <w:rPr>
                <w:b/>
                <w:bCs/>
              </w:rPr>
            </w:pPr>
            <w:r w:rsidRPr="001008A5">
              <w:rPr>
                <w:rFonts w:eastAsia="Helvetica" w:hAnsi="Helvetica" w:cs="Helvetica"/>
                <w:b/>
                <w:bCs/>
                <w:color w:val="000000"/>
                <w:sz w:val="18"/>
                <w:szCs w:val="18"/>
              </w:rPr>
              <w:t>Condition</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161FBC" w14:textId="77777777" w:rsidR="00B8748D" w:rsidRDefault="00000000">
            <w:pPr>
              <w:pBdr>
                <w:top w:val="none" w:sz="0" w:space="0" w:color="000000"/>
                <w:left w:val="none" w:sz="0" w:space="0" w:color="000000"/>
                <w:bottom w:val="none" w:sz="0" w:space="0" w:color="000000"/>
                <w:right w:val="none" w:sz="0" w:space="0" w:color="000000"/>
              </w:pBdr>
              <w:spacing w:before="40" w:after="40"/>
              <w:jc w:val="center"/>
            </w:pPr>
            <w:r>
              <w:rPr>
                <w:rFonts w:eastAsia="Helvetica" w:hAnsi="Helvetica" w:cs="Helvetica"/>
                <w:b/>
                <w:color w:val="000000"/>
                <w:sz w:val="18"/>
                <w:szCs w:val="18"/>
              </w:rPr>
              <w:t>Overall</w:t>
            </w:r>
            <w:r>
              <w:rPr>
                <w:rFonts w:eastAsia="Helvetica" w:hAnsi="Helvetica" w:cs="Helvetica"/>
                <w:color w:val="000000"/>
                <w:sz w:val="18"/>
                <w:szCs w:val="18"/>
              </w:rPr>
              <w:t xml:space="preserve">, </w:t>
            </w:r>
            <w:r>
              <w:rPr>
                <w:rFonts w:eastAsia="Helvetica" w:hAnsi="Helvetica" w:cs="Helvetica"/>
                <w:color w:val="000000"/>
                <w:sz w:val="18"/>
                <w:szCs w:val="18"/>
              </w:rPr>
              <w:br/>
              <w:t>N = 219</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7CC2912" w14:textId="77777777" w:rsidR="00B8748D" w:rsidRDefault="00000000">
            <w:pPr>
              <w:pBdr>
                <w:top w:val="none" w:sz="0" w:space="0" w:color="000000"/>
                <w:left w:val="none" w:sz="0" w:space="0" w:color="000000"/>
                <w:bottom w:val="none" w:sz="0" w:space="0" w:color="000000"/>
                <w:right w:val="none" w:sz="0" w:space="0" w:color="000000"/>
              </w:pBdr>
              <w:spacing w:before="40" w:after="40"/>
              <w:jc w:val="center"/>
            </w:pPr>
            <w:r>
              <w:rPr>
                <w:rFonts w:eastAsia="Helvetica" w:hAnsi="Helvetica" w:cs="Helvetica"/>
                <w:b/>
                <w:color w:val="000000"/>
                <w:sz w:val="18"/>
                <w:szCs w:val="18"/>
              </w:rPr>
              <w:t>Suspected</w:t>
            </w:r>
            <w:r>
              <w:rPr>
                <w:rFonts w:eastAsia="Helvetica" w:hAnsi="Helvetica" w:cs="Helvetica"/>
                <w:color w:val="000000"/>
                <w:sz w:val="18"/>
                <w:szCs w:val="18"/>
              </w:rPr>
              <w:t xml:space="preserve">, </w:t>
            </w:r>
            <w:r>
              <w:rPr>
                <w:rFonts w:eastAsia="Helvetica" w:hAnsi="Helvetica" w:cs="Helvetica"/>
                <w:color w:val="000000"/>
                <w:sz w:val="18"/>
                <w:szCs w:val="18"/>
              </w:rPr>
              <w:br/>
              <w:t>N = 187</w:t>
            </w:r>
            <w:r>
              <w:rPr>
                <w:rFonts w:eastAsia="Helvetica" w:hAnsi="Helvetica" w:cs="Helvetica"/>
                <w:color w:val="000000"/>
                <w:sz w:val="18"/>
                <w:szCs w:val="18"/>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504CBE" w14:textId="77777777" w:rsidR="00B8748D" w:rsidRDefault="00000000">
            <w:pPr>
              <w:pBdr>
                <w:top w:val="none" w:sz="0" w:space="0" w:color="000000"/>
                <w:left w:val="none" w:sz="0" w:space="0" w:color="000000"/>
                <w:bottom w:val="none" w:sz="0" w:space="0" w:color="000000"/>
                <w:right w:val="none" w:sz="0" w:space="0" w:color="000000"/>
              </w:pBdr>
              <w:spacing w:before="40" w:after="40"/>
              <w:jc w:val="center"/>
            </w:pPr>
            <w:r>
              <w:rPr>
                <w:rFonts w:eastAsia="Helvetica" w:hAnsi="Helvetica" w:cs="Helvetica"/>
                <w:b/>
                <w:color w:val="000000"/>
                <w:sz w:val="18"/>
                <w:szCs w:val="18"/>
              </w:rPr>
              <w:t>Confirmed</w:t>
            </w:r>
            <w:r>
              <w:rPr>
                <w:rFonts w:eastAsia="Helvetica" w:hAnsi="Helvetica" w:cs="Helvetica"/>
                <w:color w:val="000000"/>
                <w:sz w:val="18"/>
                <w:szCs w:val="18"/>
              </w:rPr>
              <w:t xml:space="preserve">, </w:t>
            </w:r>
            <w:r>
              <w:rPr>
                <w:rFonts w:eastAsia="Helvetica" w:hAnsi="Helvetica" w:cs="Helvetica"/>
                <w:color w:val="000000"/>
                <w:sz w:val="18"/>
                <w:szCs w:val="18"/>
              </w:rPr>
              <w:br/>
              <w:t>N = 32</w:t>
            </w:r>
            <w:r>
              <w:rPr>
                <w:rFonts w:eastAsia="Helvetica" w:hAnsi="Helvetica" w:cs="Helvetica"/>
                <w:color w:val="000000"/>
                <w:sz w:val="18"/>
                <w:szCs w:val="18"/>
                <w:vertAlign w:val="superscript"/>
              </w:rPr>
              <w:t>1</w:t>
            </w:r>
          </w:p>
        </w:tc>
      </w:tr>
      <w:tr w:rsidR="00B8748D" w14:paraId="068EDF44"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90EA80"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Acute flaccid paralysis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10758"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038272"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B05A8F"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630D08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7F9D6"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Acute rheumatic fever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8612E"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504C3"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64B1FC"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0DB7AB6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00B62B"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Anthrax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94C16"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C8D83C"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C5362"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2107C6E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381963"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Botulism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32CBEC"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C5F838"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D0743A"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211DA0C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4265C8EF"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Cholera</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55DA43D4"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12</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3168EF0A"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10</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21A71000"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b/>
                <w:color w:val="000000"/>
                <w:sz w:val="16"/>
                <w:szCs w:val="16"/>
              </w:rPr>
              <w:t>2</w:t>
            </w:r>
          </w:p>
        </w:tc>
      </w:tr>
      <w:tr w:rsidR="00B8748D" w14:paraId="1D58755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AD9E6E"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Congenital rubella syndrome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394EA"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949C44"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BAC94"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1B67F74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9B7B8D"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Diphtheria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FB95A"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D65F1A"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B4523"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20590AE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7E863508"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Enteric fever (typhoid or paratyphoid fever)</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7DAD76BA"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02B0C379"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52479CD9"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b/>
                <w:color w:val="000000"/>
                <w:sz w:val="16"/>
                <w:szCs w:val="16"/>
              </w:rPr>
              <w:t>2</w:t>
            </w:r>
          </w:p>
        </w:tc>
      </w:tr>
      <w:tr w:rsidR="00B8748D" w14:paraId="6C9E353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03F0C6"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Food borne illness outbreak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389FE4"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5ABE01"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7ED7A"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69E6808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6D4FC9"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Haemolytic uraemic syndrome (hus)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A97C7"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BD8B41"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940DE9"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0A8DE7F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4ADEAA6B"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Listeriosis</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5B3C94C0"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3E236756"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6F40230F"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b/>
                <w:color w:val="000000"/>
                <w:sz w:val="16"/>
                <w:szCs w:val="16"/>
              </w:rPr>
              <w:t>2</w:t>
            </w:r>
          </w:p>
        </w:tc>
      </w:tr>
      <w:tr w:rsidR="00B8748D" w14:paraId="0A7B5B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0108CFC4"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Malaria</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4A174E4C"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49</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7B238702"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33</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1CFF5562"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b/>
                <w:color w:val="000000"/>
                <w:sz w:val="16"/>
                <w:szCs w:val="16"/>
              </w:rPr>
              <w:t>16</w:t>
            </w:r>
          </w:p>
        </w:tc>
      </w:tr>
      <w:tr w:rsidR="00B8748D" w14:paraId="3E7ED32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39761C54"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Measles</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0329A640"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58</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6FDB8FA8"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55</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552318E4"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b/>
                <w:color w:val="000000"/>
                <w:sz w:val="16"/>
                <w:szCs w:val="16"/>
              </w:rPr>
              <w:t>3</w:t>
            </w:r>
          </w:p>
        </w:tc>
      </w:tr>
      <w:tr w:rsidR="00B8748D" w14:paraId="4A4E9B5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227716FF"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Meningococcal disease</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4DBA0555"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5</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746B7FC4"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5B118600"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b/>
                <w:color w:val="000000"/>
                <w:sz w:val="16"/>
                <w:szCs w:val="16"/>
              </w:rPr>
              <w:t>3</w:t>
            </w:r>
          </w:p>
        </w:tc>
      </w:tr>
      <w:tr w:rsidR="00B8748D" w14:paraId="46CF8EB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97327"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Mpox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37B42"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8C4F86"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3722A"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0A987C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23A32467"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Pertussis</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44B84B0D"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18</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6D23FE12"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17</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18D6FC44"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b/>
                <w:color w:val="000000"/>
                <w:sz w:val="16"/>
                <w:szCs w:val="16"/>
              </w:rPr>
              <w:t>1</w:t>
            </w:r>
          </w:p>
        </w:tc>
      </w:tr>
      <w:tr w:rsidR="00B8748D" w14:paraId="0F3D7FF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750A9"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Plague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DE14A0"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C9FE90"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37BC3E"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670DA3A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2568F"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Poliomyelitis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F7826"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13F97"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17261"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7A6EF96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BB175"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Rabies (human)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E3980B"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C9CDC"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A8CFA"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345045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2F987"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Respiratory disease caused by a novel respiratory pathogen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0B7581"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A797F4"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D270F"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58A1BA1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95054F"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Rift valley fever (human)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948E5"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E3E92"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636EE2"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624B4FF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4F6C7345"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Rubella</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0E8F0E63"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17</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2127AA28"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14</w:t>
            </w:r>
          </w:p>
        </w:tc>
        <w:tc>
          <w:tcPr>
            <w:tcW w:w="0" w:type="auto"/>
            <w:tcBorders>
              <w:top w:val="none" w:sz="0" w:space="0" w:color="000000"/>
              <w:left w:val="none" w:sz="0" w:space="0" w:color="000000"/>
              <w:bottom w:val="none" w:sz="0" w:space="0" w:color="000000"/>
              <w:right w:val="none" w:sz="0" w:space="0" w:color="000000"/>
            </w:tcBorders>
            <w:shd w:val="clear" w:color="auto" w:fill="E5E5E5"/>
            <w:tcMar>
              <w:top w:w="0" w:type="dxa"/>
              <w:left w:w="0" w:type="dxa"/>
              <w:bottom w:w="0" w:type="dxa"/>
              <w:right w:w="0" w:type="dxa"/>
            </w:tcMar>
          </w:tcPr>
          <w:p w14:paraId="09B7913C"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b/>
                <w:color w:val="000000"/>
                <w:sz w:val="16"/>
                <w:szCs w:val="16"/>
              </w:rPr>
              <w:t>3</w:t>
            </w:r>
          </w:p>
        </w:tc>
      </w:tr>
      <w:tr w:rsidR="00B8748D" w14:paraId="68328C7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476DCD"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Smallpox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C3EB9"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0EEC64"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F801C"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00AFC34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435FFC"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Crimean-congo viral haemorrhagic fever (human)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C62D94"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CF30F2"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5BE3A"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7F1A648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E2B57B"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Yellow fever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592F37"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7515D6"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3B02D"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2E038262"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28F28AB" w14:textId="77777777" w:rsidR="00B8748D" w:rsidRDefault="00000000">
            <w:pPr>
              <w:pBdr>
                <w:top w:val="none" w:sz="0" w:space="0" w:color="000000"/>
                <w:left w:val="none" w:sz="0" w:space="0" w:color="000000"/>
                <w:bottom w:val="none" w:sz="0" w:space="0" w:color="000000"/>
                <w:right w:val="none" w:sz="0" w:space="0" w:color="000000"/>
              </w:pBdr>
              <w:spacing w:after="0"/>
              <w:ind w:left="300"/>
            </w:pPr>
            <w:r>
              <w:rPr>
                <w:rFonts w:eastAsia="Helvetica" w:hAnsi="Helvetica" w:cs="Helvetica"/>
                <w:color w:val="000000"/>
                <w:sz w:val="16"/>
                <w:szCs w:val="16"/>
              </w:rPr>
              <w:t>Unknown</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91806C2"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9C803C3"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9452E07" w14:textId="77777777" w:rsidR="00B8748D" w:rsidRDefault="00000000">
            <w:pPr>
              <w:pBdr>
                <w:top w:val="none" w:sz="0" w:space="0" w:color="000000"/>
                <w:left w:val="none" w:sz="0" w:space="0" w:color="000000"/>
                <w:bottom w:val="none" w:sz="0" w:space="0" w:color="000000"/>
                <w:right w:val="none" w:sz="0" w:space="0" w:color="000000"/>
              </w:pBdr>
              <w:spacing w:after="0"/>
              <w:jc w:val="center"/>
            </w:pPr>
            <w:r>
              <w:rPr>
                <w:rFonts w:eastAsia="Helvetica" w:hAnsi="Helvetica" w:cs="Helvetica"/>
                <w:color w:val="000000"/>
                <w:sz w:val="16"/>
                <w:szCs w:val="16"/>
              </w:rPr>
              <w:t>0</w:t>
            </w:r>
          </w:p>
        </w:tc>
      </w:tr>
      <w:tr w:rsidR="00B8748D" w14:paraId="3ECB27C2" w14:textId="77777777">
        <w:trPr>
          <w:jc w:val="center"/>
        </w:trPr>
        <w:tc>
          <w:tcPr>
            <w:tcW w:w="0" w:type="auto"/>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7ADBA26" w14:textId="77777777" w:rsidR="00B8748D" w:rsidRDefault="00000000">
            <w:pPr>
              <w:pBdr>
                <w:top w:val="none" w:sz="0" w:space="0" w:color="000000"/>
                <w:left w:val="none" w:sz="0" w:space="0" w:color="000000"/>
                <w:bottom w:val="none" w:sz="0" w:space="0" w:color="000000"/>
                <w:right w:val="none" w:sz="0" w:space="0" w:color="000000"/>
              </w:pBdr>
              <w:spacing w:after="0"/>
            </w:pPr>
            <w:r>
              <w:rPr>
                <w:rFonts w:eastAsia="Helvetica" w:hAnsi="Helvetica" w:cs="Helvetica"/>
                <w:color w:val="000000"/>
                <w:sz w:val="16"/>
                <w:szCs w:val="16"/>
                <w:vertAlign w:val="superscript"/>
              </w:rPr>
              <w:t>1</w:t>
            </w:r>
            <w:r>
              <w:rPr>
                <w:rFonts w:eastAsia="Helvetica" w:hAnsi="Helvetica" w:cs="Helvetica"/>
                <w:color w:val="000000"/>
                <w:sz w:val="16"/>
                <w:szCs w:val="16"/>
              </w:rPr>
              <w:t>Suspected and confirmed cases are independent and are not totalled - suspected and confirmed cases are distinct.</w:t>
            </w:r>
          </w:p>
        </w:tc>
      </w:tr>
      <w:bookmarkEnd w:id="0"/>
      <w:bookmarkEnd w:id="1"/>
    </w:tbl>
    <w:p w14:paraId="12C12328" w14:textId="77777777" w:rsidR="007379CA" w:rsidRDefault="007379CA"/>
    <w:sectPr w:rsidR="007379CA" w:rsidSect="007379CA">
      <w:headerReference w:type="first" r:id="rId8"/>
      <w:pgSz w:w="15840" w:h="12240" w:orient="landscape"/>
      <w:pgMar w:top="1037" w:right="1080" w:bottom="330" w:left="1080" w:header="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C7111" w14:textId="77777777" w:rsidR="007379CA" w:rsidRDefault="007379CA">
      <w:pPr>
        <w:spacing w:after="0"/>
      </w:pPr>
      <w:r>
        <w:separator/>
      </w:r>
    </w:p>
  </w:endnote>
  <w:endnote w:type="continuationSeparator" w:id="0">
    <w:p w14:paraId="7143B6C7" w14:textId="77777777" w:rsidR="007379CA" w:rsidRDefault="007379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3C91F" w14:textId="77777777" w:rsidR="007379CA" w:rsidRDefault="007379CA">
      <w:r>
        <w:separator/>
      </w:r>
    </w:p>
  </w:footnote>
  <w:footnote w:type="continuationSeparator" w:id="0">
    <w:p w14:paraId="16B8C920" w14:textId="77777777" w:rsidR="007379CA" w:rsidRDefault="00737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92A13" w14:textId="039CD688" w:rsidR="00B17FD3" w:rsidRDefault="001008A5" w:rsidP="001008A5">
    <w:pPr>
      <w:pStyle w:val="Header"/>
      <w:ind w:left="-142"/>
    </w:pPr>
    <w:r>
      <w:fldChar w:fldCharType="begin"/>
    </w:r>
    <w:r>
      <w:instrText xml:space="preserve"> INCLUDEPICTURE "https://www.nicd.ac.za/wp-content/uploads/2019/06/cropped-NICD-LogoHR_page-0001.jpg" \* MERGEFORMATINET </w:instrText>
    </w:r>
    <w:r>
      <w:fldChar w:fldCharType="separate"/>
    </w:r>
    <w:r>
      <w:rPr>
        <w:noProof/>
      </w:rPr>
      <w:drawing>
        <wp:inline distT="0" distB="0" distL="0" distR="0" wp14:anchorId="32DEDE33" wp14:editId="1A7F0991">
          <wp:extent cx="2844071" cy="785446"/>
          <wp:effectExtent l="0" t="0" r="1270" b="2540"/>
          <wp:docPr id="60314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89033" cy="797863"/>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77A57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7DC6E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C5CC6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DC02A4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D0CAF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C0058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2A19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64206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1F4F7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192CC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948B7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BFF25B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1CE77875"/>
    <w:multiLevelType w:val="hybridMultilevel"/>
    <w:tmpl w:val="DBF630A8"/>
    <w:lvl w:ilvl="0" w:tplc="B61AAF7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1E05896"/>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76A5822"/>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98D1725"/>
    <w:multiLevelType w:val="hybridMultilevel"/>
    <w:tmpl w:val="3EB2BAB4"/>
    <w:lvl w:ilvl="0" w:tplc="57E44D2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99831774">
    <w:abstractNumId w:val="10"/>
  </w:num>
  <w:num w:numId="2" w16cid:durableId="725488214">
    <w:abstractNumId w:val="11"/>
  </w:num>
  <w:num w:numId="3" w16cid:durableId="1476025675">
    <w:abstractNumId w:val="11"/>
  </w:num>
  <w:num w:numId="4" w16cid:durableId="1177310258">
    <w:abstractNumId w:val="11"/>
  </w:num>
  <w:num w:numId="5" w16cid:durableId="428701770">
    <w:abstractNumId w:val="0"/>
  </w:num>
  <w:num w:numId="6" w16cid:durableId="841359851">
    <w:abstractNumId w:val="1"/>
  </w:num>
  <w:num w:numId="7" w16cid:durableId="278534182">
    <w:abstractNumId w:val="2"/>
  </w:num>
  <w:num w:numId="8" w16cid:durableId="1285847263">
    <w:abstractNumId w:val="3"/>
  </w:num>
  <w:num w:numId="9" w16cid:durableId="287401002">
    <w:abstractNumId w:val="8"/>
  </w:num>
  <w:num w:numId="10" w16cid:durableId="671568521">
    <w:abstractNumId w:val="4"/>
  </w:num>
  <w:num w:numId="11" w16cid:durableId="1639335196">
    <w:abstractNumId w:val="5"/>
  </w:num>
  <w:num w:numId="12" w16cid:durableId="1003632561">
    <w:abstractNumId w:val="6"/>
  </w:num>
  <w:num w:numId="13" w16cid:durableId="1955553382">
    <w:abstractNumId w:val="7"/>
  </w:num>
  <w:num w:numId="14" w16cid:durableId="970941081">
    <w:abstractNumId w:val="9"/>
  </w:num>
  <w:num w:numId="15" w16cid:durableId="470905599">
    <w:abstractNumId w:val="15"/>
  </w:num>
  <w:num w:numId="16" w16cid:durableId="1215383887">
    <w:abstractNumId w:val="12"/>
  </w:num>
  <w:num w:numId="17" w16cid:durableId="2076198096">
    <w:abstractNumId w:val="14"/>
  </w:num>
  <w:num w:numId="18" w16cid:durableId="2057974093">
    <w:abstractNumId w:val="13"/>
  </w:num>
  <w:num w:numId="19" w16cid:durableId="1938562927">
    <w:abstractNumId w:val="10"/>
  </w:num>
  <w:num w:numId="20" w16cid:durableId="1723628396">
    <w:abstractNumId w:val="11"/>
  </w:num>
  <w:num w:numId="21" w16cid:durableId="928275226">
    <w:abstractNumId w:val="11"/>
  </w:num>
  <w:num w:numId="22" w16cid:durableId="73285834">
    <w:abstractNumId w:val="11"/>
  </w:num>
  <w:num w:numId="23" w16cid:durableId="15271328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82"/>
    <w:rsid w:val="000A3295"/>
    <w:rsid w:val="001008A5"/>
    <w:rsid w:val="001C129D"/>
    <w:rsid w:val="00247C77"/>
    <w:rsid w:val="00314787"/>
    <w:rsid w:val="00333EED"/>
    <w:rsid w:val="00462054"/>
    <w:rsid w:val="00687982"/>
    <w:rsid w:val="007379CA"/>
    <w:rsid w:val="008157B4"/>
    <w:rsid w:val="0084393E"/>
    <w:rsid w:val="00933B86"/>
    <w:rsid w:val="00A50F90"/>
    <w:rsid w:val="00A84172"/>
    <w:rsid w:val="00AA4106"/>
    <w:rsid w:val="00B17FD3"/>
    <w:rsid w:val="00B8748D"/>
    <w:rsid w:val="00C63DBA"/>
    <w:rsid w:val="00D17563"/>
    <w:rsid w:val="00D3074F"/>
    <w:rsid w:val="00D82B7B"/>
    <w:rsid w:val="00F26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B4D582"/>
  <w15:docId w15:val="{11418F34-E719-974F-AFFB-C8547F4B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3354"/>
    <w:rPr>
      <w:rFonts w:ascii="Century Gothic" w:hAnsi="Century Gothic"/>
      <w:sz w:val="20"/>
    </w:rPr>
  </w:style>
  <w:style w:type="paragraph" w:styleId="Heading1">
    <w:name w:val="heading 1"/>
    <w:basedOn w:val="Normal"/>
    <w:next w:val="BodyText"/>
    <w:uiPriority w:val="9"/>
    <w:qFormat/>
    <w:rsid w:val="001008A5"/>
    <w:pPr>
      <w:keepNext/>
      <w:keepLines/>
      <w:spacing w:before="120" w:after="120"/>
      <w:outlineLvl w:val="0"/>
    </w:pPr>
    <w:rPr>
      <w:rFonts w:eastAsiaTheme="majorEastAsia" w:cstheme="majorBidi"/>
      <w:b/>
      <w:bCs/>
      <w:color w:val="000000" w:themeColor="text1"/>
    </w:rPr>
  </w:style>
  <w:style w:type="paragraph" w:styleId="Heading2">
    <w:name w:val="heading 2"/>
    <w:basedOn w:val="Heading1"/>
    <w:next w:val="BodyText"/>
    <w:uiPriority w:val="9"/>
    <w:unhideWhenUsed/>
    <w:qFormat/>
    <w:rsid w:val="00273EF4"/>
    <w:pPr>
      <w:outlineLvl w:val="1"/>
    </w:pPr>
  </w:style>
  <w:style w:type="paragraph" w:styleId="Heading3">
    <w:name w:val="heading 3"/>
    <w:basedOn w:val="Heading2"/>
    <w:next w:val="BodyText"/>
    <w:uiPriority w:val="9"/>
    <w:unhideWhenUsed/>
    <w:qFormat/>
    <w:rsid w:val="00273EF4"/>
    <w:pPr>
      <w:outlineLvl w:val="2"/>
    </w:pPr>
  </w:style>
  <w:style w:type="paragraph" w:styleId="Heading4">
    <w:name w:val="heading 4"/>
    <w:basedOn w:val="Heading3"/>
    <w:next w:val="BodyText"/>
    <w:uiPriority w:val="9"/>
    <w:unhideWhenUsed/>
    <w:qFormat/>
    <w:rsid w:val="00273EF4"/>
    <w:pPr>
      <w:outlineLvl w:val="3"/>
    </w:p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F09EF"/>
    <w:pPr>
      <w:spacing w:before="180" w:after="180"/>
    </w:pPr>
  </w:style>
  <w:style w:type="paragraph" w:customStyle="1" w:styleId="FirstParagraph">
    <w:name w:val="First Paragraph"/>
    <w:basedOn w:val="BodyText"/>
    <w:next w:val="BodyText"/>
    <w:qFormat/>
    <w:rsid w:val="002F09EF"/>
  </w:style>
  <w:style w:type="paragraph" w:customStyle="1" w:styleId="Compact">
    <w:name w:val="Compact"/>
    <w:basedOn w:val="BodyText"/>
    <w:qFormat/>
    <w:pPr>
      <w:spacing w:before="36" w:after="36"/>
    </w:pPr>
  </w:style>
  <w:style w:type="paragraph" w:styleId="Title">
    <w:name w:val="Title"/>
    <w:basedOn w:val="Normal"/>
    <w:next w:val="BodyText"/>
    <w:qFormat/>
    <w:rsid w:val="00784D76"/>
    <w:pPr>
      <w:keepNext/>
      <w:keepLines/>
      <w:spacing w:after="240"/>
      <w:ind w:left="-2268" w:right="-2268"/>
      <w:jc w:val="center"/>
    </w:pPr>
    <w:rPr>
      <w:rFonts w:eastAsiaTheme="majorEastAsia" w:cstheme="majorBidi"/>
      <w:b/>
      <w:bCs/>
      <w:color w:val="9BBB59" w:themeColor="accent3"/>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2F09EF"/>
    <w:pPr>
      <w:keepNext/>
      <w:keepLines/>
      <w:jc w:val="center"/>
    </w:pPr>
    <w:rPr>
      <w:rFonts w:ascii="Century Gothic" w:hAnsi="Century Gothic"/>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2F09EF"/>
    <w:pPr>
      <w:keepNext/>
    </w:pPr>
    <w:rPr>
      <w:sz w:val="14"/>
    </w:rPr>
  </w:style>
  <w:style w:type="paragraph" w:customStyle="1" w:styleId="ImageCaption">
    <w:name w:val="Image Caption"/>
    <w:basedOn w:val="Caption"/>
    <w:rsid w:val="002F09EF"/>
    <w:rPr>
      <w:sz w:val="14"/>
    </w:rPr>
  </w:style>
  <w:style w:type="paragraph" w:customStyle="1" w:styleId="Figure">
    <w:name w:val="Figure"/>
    <w:basedOn w:val="Normal"/>
  </w:style>
  <w:style w:type="paragraph" w:customStyle="1" w:styleId="CaptionedFigure">
    <w:name w:val="Captioned Figure"/>
    <w:basedOn w:val="Figure"/>
    <w:rsid w:val="00813354"/>
    <w:pPr>
      <w:keepNext/>
    </w:pPr>
  </w:style>
  <w:style w:type="character" w:customStyle="1" w:styleId="CaptionChar">
    <w:name w:val="Caption Char"/>
    <w:basedOn w:val="DefaultParagraphFont"/>
    <w:link w:val="Caption"/>
    <w:rPr>
      <w:rFonts w:ascii="Century Gothic" w:hAnsi="Century Gothic"/>
      <w:sz w:val="20"/>
    </w:rPr>
  </w:style>
  <w:style w:type="character" w:customStyle="1" w:styleId="VerbatimChar">
    <w:name w:val="Verbatim Char"/>
    <w:basedOn w:val="CaptionChar"/>
    <w:link w:val="SourceCode"/>
    <w:rPr>
      <w:rFonts w:ascii="Consolas" w:hAnsi="Consolas"/>
      <w:sz w:val="22"/>
    </w:rPr>
  </w:style>
  <w:style w:type="paragraph" w:styleId="Header">
    <w:name w:val="header"/>
    <w:basedOn w:val="Normal"/>
    <w:link w:val="HeaderChar"/>
    <w:rsid w:val="003A1CE4"/>
    <w:pPr>
      <w:tabs>
        <w:tab w:val="center" w:pos="4513"/>
        <w:tab w:val="right" w:pos="9026"/>
      </w:tabs>
      <w:spacing w:after="0"/>
    </w:pPr>
  </w:style>
  <w:style w:type="character" w:styleId="FootnoteReference">
    <w:name w:val="footnote reference"/>
    <w:basedOn w:val="CaptionChar"/>
    <w:rPr>
      <w:rFonts w:ascii="Century Gothic" w:hAnsi="Century Gothic"/>
      <w:sz w:val="20"/>
      <w:vertAlign w:val="superscript"/>
    </w:rPr>
  </w:style>
  <w:style w:type="character" w:styleId="Hyperlink">
    <w:name w:val="Hyperlink"/>
    <w:basedOn w:val="CaptionChar"/>
    <w:uiPriority w:val="99"/>
    <w:rPr>
      <w:rFonts w:ascii="Century Gothic" w:hAnsi="Century Gothic"/>
      <w:color w:val="4F81BD" w:themeColor="accent1"/>
      <w:sz w:val="20"/>
    </w:rPr>
  </w:style>
  <w:style w:type="paragraph" w:styleId="TOCHeading">
    <w:name w:val="TOC Heading"/>
    <w:basedOn w:val="Heading1"/>
    <w:next w:val="BodyText"/>
    <w:uiPriority w:val="39"/>
    <w:unhideWhenUsed/>
    <w:qFormat/>
    <w:rsid w:val="002F09EF"/>
    <w:pPr>
      <w:spacing w:before="240" w:line="259" w:lineRule="auto"/>
      <w:outlineLvl w:val="9"/>
    </w:pPr>
    <w:rPr>
      <w:szCs w:val="2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F09EF"/>
    <w:pPr>
      <w:spacing w:after="100"/>
    </w:pPr>
  </w:style>
  <w:style w:type="paragraph" w:styleId="TOC2">
    <w:name w:val="toc 2"/>
    <w:basedOn w:val="Normal"/>
    <w:next w:val="Normal"/>
    <w:autoRedefine/>
    <w:uiPriority w:val="39"/>
    <w:rsid w:val="002F09EF"/>
    <w:pPr>
      <w:spacing w:after="100"/>
      <w:ind w:left="240"/>
    </w:pPr>
  </w:style>
  <w:style w:type="paragraph" w:styleId="TOC3">
    <w:name w:val="toc 3"/>
    <w:basedOn w:val="Normal"/>
    <w:next w:val="Normal"/>
    <w:autoRedefine/>
    <w:uiPriority w:val="39"/>
    <w:rsid w:val="002F09EF"/>
    <w:pPr>
      <w:spacing w:after="100"/>
      <w:ind w:left="480"/>
    </w:pPr>
  </w:style>
  <w:style w:type="character" w:customStyle="1" w:styleId="HeaderChar">
    <w:name w:val="Header Char"/>
    <w:basedOn w:val="DefaultParagraphFont"/>
    <w:link w:val="Header"/>
    <w:rsid w:val="003A1CE4"/>
    <w:rPr>
      <w:rFonts w:ascii="Century Gothic" w:hAnsi="Century Gothic"/>
      <w:sz w:val="20"/>
    </w:rPr>
  </w:style>
  <w:style w:type="character" w:customStyle="1" w:styleId="BodyTextChar">
    <w:name w:val="Body Text Char"/>
    <w:basedOn w:val="DefaultParagraphFont"/>
    <w:link w:val="BodyText"/>
    <w:rsid w:val="002F09EF"/>
    <w:rPr>
      <w:rFonts w:ascii="Century Gothic" w:hAnsi="Century Gothic"/>
      <w:sz w:val="20"/>
    </w:rPr>
  </w:style>
  <w:style w:type="paragraph" w:styleId="Footer">
    <w:name w:val="footer"/>
    <w:basedOn w:val="Normal"/>
    <w:link w:val="FooterChar"/>
    <w:rsid w:val="003A1CE4"/>
    <w:pPr>
      <w:tabs>
        <w:tab w:val="center" w:pos="4513"/>
        <w:tab w:val="right" w:pos="9026"/>
      </w:tabs>
      <w:spacing w:after="0"/>
    </w:pPr>
  </w:style>
  <w:style w:type="character" w:customStyle="1" w:styleId="FooterChar">
    <w:name w:val="Footer Char"/>
    <w:basedOn w:val="DefaultParagraphFont"/>
    <w:link w:val="Footer"/>
    <w:rsid w:val="003A1CE4"/>
    <w:rPr>
      <w:rFonts w:ascii="Century Gothic" w:hAnsi="Century Gothic"/>
      <w:sz w:val="20"/>
    </w:rPr>
  </w:style>
  <w:style w:type="numbering" w:customStyle="1" w:styleId="CurrentList1">
    <w:name w:val="Current List1"/>
    <w:uiPriority w:val="99"/>
    <w:rsid w:val="00563E2D"/>
    <w:pPr>
      <w:numPr>
        <w:numId w:val="17"/>
      </w:numPr>
    </w:pPr>
  </w:style>
  <w:style w:type="numbering" w:customStyle="1" w:styleId="CurrentList2">
    <w:name w:val="Current List2"/>
    <w:uiPriority w:val="99"/>
    <w:rsid w:val="00563E2D"/>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nicd.ac.za/wp-content/uploads/2022/09/NMCSS-Data-Interpretation-Infographic-final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NOTIFIABLE MEDICAL CONDITIONS SURVEILLANCE SYSTEM</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NOTIFIABLE MEDICAL CONDITIONS SURVEILLANCE SYSTEM - IDSR Weekly reporting</dc:title>
  <dc:creator>the National Institute for Communicable Diseases</dc:creator>
  <cp:keywords/>
  <cp:lastModifiedBy>Brian Brummer</cp:lastModifiedBy>
  <cp:revision>7</cp:revision>
  <dcterms:created xsi:type="dcterms:W3CDTF">2024-02-29T09:05:00Z</dcterms:created>
  <dcterms:modified xsi:type="dcterms:W3CDTF">2024-02-29T09:14:00Z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Figure</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 of Figures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 of Listings</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 of Tables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output">
    <vt:lpwstr/>
  </property>
  <property fmtid="{D5CDD505-2E9C-101B-9397-08002B2CF9AE}" pid="47" name="pairDelim">
    <vt:lpwstr>, </vt:lpwstr>
  </property>
  <property fmtid="{D5CDD505-2E9C-101B-9397-08002B2CF9AE}" pid="48" name="rangeDelim">
    <vt:lpwstr>-</vt:lpwstr>
  </property>
  <property fmtid="{D5CDD505-2E9C-101B-9397-08002B2CF9AE}" pid="49" name="refDelim">
    <vt:lpwstr>, </vt:lpwstr>
  </property>
  <property fmtid="{D5CDD505-2E9C-101B-9397-08002B2CF9AE}" pid="50" name="refIndexTemplate">
    <vt:lpwstr>isuf</vt:lpwstr>
  </property>
  <property fmtid="{D5CDD505-2E9C-101B-9397-08002B2CF9AE}" pid="51" name="secHeaderDelim">
    <vt:lpwstr> </vt:lpwstr>
  </property>
  <property fmtid="{D5CDD505-2E9C-101B-9397-08002B2CF9AE}" pid="52" name="secHeaderTemplate">
    <vt:lpwstr>isecHeaderDelim[n]t</vt:lpwstr>
  </property>
  <property fmtid="{D5CDD505-2E9C-101B-9397-08002B2CF9AE}" pid="53" name="secLabels">
    <vt:lpwstr>arabic</vt:lpwstr>
  </property>
  <property fmtid="{D5CDD505-2E9C-101B-9397-08002B2CF9AE}" pid="54" name="secPrefix">
    <vt:lpwstr/>
  </property>
  <property fmtid="{D5CDD505-2E9C-101B-9397-08002B2CF9AE}" pid="55" name="secPrefixTemplate">
    <vt:lpwstr>p i</vt:lpwstr>
  </property>
  <property fmtid="{D5CDD505-2E9C-101B-9397-08002B2CF9AE}" pid="56" name="sectionsDepth">
    <vt:lpwstr>0</vt:lpwstr>
  </property>
  <property fmtid="{D5CDD505-2E9C-101B-9397-08002B2CF9AE}" pid="57" name="subfigGrid">
    <vt:lpwstr>False</vt:lpwstr>
  </property>
  <property fmtid="{D5CDD505-2E9C-101B-9397-08002B2CF9AE}" pid="58" name="subfigLabels">
    <vt:lpwstr>alpha a</vt:lpwstr>
  </property>
  <property fmtid="{D5CDD505-2E9C-101B-9397-08002B2CF9AE}" pid="59" name="subfigureChildTemplate">
    <vt:lpwstr>i</vt:lpwstr>
  </property>
  <property fmtid="{D5CDD505-2E9C-101B-9397-08002B2CF9AE}" pid="60" name="subfigureRefIndexTemplate">
    <vt:lpwstr>isuf (s)</vt:lpwstr>
  </property>
  <property fmtid="{D5CDD505-2E9C-101B-9397-08002B2CF9AE}" pid="61" name="subfigureTemplate">
    <vt:lpwstr>figureTitle ititleDelim t. ccs</vt:lpwstr>
  </property>
  <property fmtid="{D5CDD505-2E9C-101B-9397-08002B2CF9AE}" pid="62" name="tableEqns">
    <vt:lpwstr>False</vt:lpwstr>
  </property>
  <property fmtid="{D5CDD505-2E9C-101B-9397-08002B2CF9AE}" pid="63" name="tableTemplate">
    <vt:lpwstr>tableTitle ititleDelim t</vt:lpwstr>
  </property>
  <property fmtid="{D5CDD505-2E9C-101B-9397-08002B2CF9AE}" pid="64" name="tableTitle">
    <vt:lpwstr>Table</vt:lpwstr>
  </property>
  <property fmtid="{D5CDD505-2E9C-101B-9397-08002B2CF9AE}" pid="65" name="tblLabels">
    <vt:lpwstr>arabic</vt:lpwstr>
  </property>
  <property fmtid="{D5CDD505-2E9C-101B-9397-08002B2CF9AE}" pid="66" name="tblPrefix">
    <vt:lpwstr/>
  </property>
  <property fmtid="{D5CDD505-2E9C-101B-9397-08002B2CF9AE}" pid="67" name="tblPrefixTemplate">
    <vt:lpwstr>p i</vt:lpwstr>
  </property>
  <property fmtid="{D5CDD505-2E9C-101B-9397-08002B2CF9AE}" pid="68" name="titleDelim">
    <vt:lpwstr>:</vt:lpwstr>
  </property>
</Properties>
</file>