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9BD52" w14:textId="77777777" w:rsidR="0012307F" w:rsidRPr="001141DF" w:rsidRDefault="0012307F">
      <w:pPr>
        <w:pStyle w:val="NoSpacing"/>
        <w:jc w:val="center"/>
        <w:rPr>
          <w:rFonts w:asciiTheme="majorHAnsi" w:eastAsia="MingLiU-ExtB" w:hAnsiTheme="majorHAnsi" w:cstheme="majorHAnsi"/>
          <w:sz w:val="72"/>
          <w:szCs w:val="72"/>
        </w:rPr>
      </w:pPr>
    </w:p>
    <w:p w14:paraId="1860E249" w14:textId="6080A29E" w:rsidR="0012307F" w:rsidRPr="001141DF" w:rsidRDefault="00B83A3D" w:rsidP="00B83A3D">
      <w:pPr>
        <w:pStyle w:val="NoSpacing"/>
        <w:jc w:val="center"/>
        <w:rPr>
          <w:rFonts w:asciiTheme="majorHAnsi" w:eastAsia="MingLiU-ExtB" w:hAnsiTheme="majorHAnsi" w:cstheme="majorHAnsi"/>
          <w:sz w:val="72"/>
          <w:szCs w:val="72"/>
        </w:rPr>
      </w:pPr>
      <w:r w:rsidRPr="001141DF">
        <w:rPr>
          <w:rFonts w:asciiTheme="majorHAnsi" w:eastAsia="MingLiU-ExtB" w:hAnsiTheme="majorHAnsi" w:cstheme="majorHAnsi"/>
          <w:noProof/>
          <w:sz w:val="72"/>
          <w:szCs w:val="72"/>
        </w:rPr>
        <w:drawing>
          <wp:inline distT="0" distB="0" distL="0" distR="0" wp14:anchorId="0ADFB073" wp14:editId="3DDEFAEB">
            <wp:extent cx="4737735" cy="4582826"/>
            <wp:effectExtent l="0" t="0" r="12065" b="0"/>
            <wp:docPr id="2" name="Picture 2" descr="../Desktop/Bridge%20Protocol/Newest%20Bridge%20Logos/bridge_logo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ridge%20Protocol/Newest%20Bridge%20Logos/bridge_logo_7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4793" cy="4589653"/>
                    </a:xfrm>
                    <a:prstGeom prst="rect">
                      <a:avLst/>
                    </a:prstGeom>
                    <a:noFill/>
                    <a:ln>
                      <a:noFill/>
                    </a:ln>
                  </pic:spPr>
                </pic:pic>
              </a:graphicData>
            </a:graphic>
          </wp:inline>
        </w:drawing>
      </w:r>
    </w:p>
    <w:p w14:paraId="57D5C8C9" w14:textId="77777777" w:rsidR="0012307F" w:rsidRPr="001141DF" w:rsidRDefault="0012307F">
      <w:pPr>
        <w:pStyle w:val="NoSpacing"/>
        <w:rPr>
          <w:rFonts w:asciiTheme="majorHAnsi" w:eastAsia="MingLiU-ExtB" w:hAnsiTheme="majorHAnsi" w:cstheme="majorHAnsi"/>
          <w:sz w:val="72"/>
          <w:szCs w:val="72"/>
        </w:rPr>
      </w:pPr>
    </w:p>
    <w:p w14:paraId="3F849EB0" w14:textId="77777777" w:rsidR="0012307F" w:rsidRPr="001141DF" w:rsidRDefault="0012307F">
      <w:pPr>
        <w:pStyle w:val="NoSpacing"/>
        <w:rPr>
          <w:rFonts w:asciiTheme="majorHAnsi" w:eastAsia="MingLiU-ExtB" w:hAnsiTheme="majorHAnsi" w:cstheme="majorHAnsi"/>
          <w:sz w:val="72"/>
          <w:szCs w:val="72"/>
        </w:rPr>
      </w:pPr>
    </w:p>
    <w:p w14:paraId="5DC88D58" w14:textId="77777777" w:rsidR="0012307F" w:rsidRPr="001141DF" w:rsidRDefault="007D2739">
      <w:pPr>
        <w:pStyle w:val="NoSpacing"/>
        <w:jc w:val="center"/>
        <w:rPr>
          <w:rFonts w:asciiTheme="majorHAnsi" w:eastAsia="MingLiU-ExtB" w:hAnsiTheme="majorHAnsi" w:cstheme="majorHAnsi"/>
          <w:sz w:val="96"/>
          <w:szCs w:val="48"/>
        </w:rPr>
      </w:pPr>
      <w:r w:rsidRPr="001141DF">
        <w:rPr>
          <w:rFonts w:asciiTheme="majorHAnsi" w:eastAsia="MingLiU-ExtB" w:hAnsiTheme="majorHAnsi" w:cstheme="majorHAnsi"/>
          <w:sz w:val="96"/>
          <w:szCs w:val="48"/>
        </w:rPr>
        <w:t>WHITEPAPER</w:t>
      </w:r>
    </w:p>
    <w:p w14:paraId="71E346C7" w14:textId="77777777" w:rsidR="0012307F" w:rsidRPr="001141DF" w:rsidRDefault="007D2739">
      <w:pPr>
        <w:pStyle w:val="NoSpacing"/>
        <w:jc w:val="center"/>
        <w:rPr>
          <w:rFonts w:asciiTheme="majorHAnsi" w:eastAsia="MingLiU-ExtB" w:hAnsiTheme="majorHAnsi" w:cstheme="majorHAnsi"/>
          <w:sz w:val="48"/>
          <w:szCs w:val="48"/>
        </w:rPr>
      </w:pPr>
      <w:r w:rsidRPr="001141DF">
        <w:rPr>
          <w:rFonts w:asciiTheme="majorHAnsi" w:eastAsia="MingLiU-ExtB" w:hAnsiTheme="majorHAnsi" w:cstheme="majorHAnsi"/>
          <w:sz w:val="48"/>
          <w:szCs w:val="48"/>
        </w:rPr>
        <w:t>Bridge. Identity, Secured.</w:t>
      </w:r>
    </w:p>
    <w:p w14:paraId="371F2A05" w14:textId="77777777" w:rsidR="0012307F" w:rsidRPr="001141DF" w:rsidRDefault="0012307F">
      <w:pPr>
        <w:pStyle w:val="NoSpacing"/>
        <w:jc w:val="center"/>
        <w:rPr>
          <w:rFonts w:asciiTheme="majorHAnsi" w:eastAsia="MingLiU-ExtB" w:hAnsiTheme="majorHAnsi" w:cstheme="majorHAnsi"/>
          <w:sz w:val="20"/>
          <w:szCs w:val="20"/>
        </w:rPr>
      </w:pPr>
    </w:p>
    <w:p w14:paraId="419BC0AE" w14:textId="77777777" w:rsidR="0012307F" w:rsidRPr="001141DF" w:rsidRDefault="0012307F">
      <w:pPr>
        <w:pStyle w:val="NoSpacing"/>
        <w:jc w:val="center"/>
        <w:rPr>
          <w:rFonts w:asciiTheme="majorHAnsi" w:eastAsia="MingLiU-ExtB" w:hAnsiTheme="majorHAnsi" w:cstheme="majorHAnsi"/>
          <w:sz w:val="20"/>
          <w:szCs w:val="20"/>
        </w:rPr>
      </w:pPr>
    </w:p>
    <w:p w14:paraId="0F3BBC44" w14:textId="77777777" w:rsidR="0012307F" w:rsidRPr="001141DF" w:rsidRDefault="0012307F">
      <w:pPr>
        <w:pStyle w:val="NoSpacing"/>
        <w:jc w:val="center"/>
        <w:rPr>
          <w:rFonts w:asciiTheme="majorHAnsi" w:eastAsia="MingLiU-ExtB" w:hAnsiTheme="majorHAnsi" w:cstheme="majorHAnsi"/>
          <w:sz w:val="20"/>
          <w:szCs w:val="20"/>
        </w:rPr>
      </w:pPr>
    </w:p>
    <w:p w14:paraId="29FAFCE3" w14:textId="77777777" w:rsidR="0012307F" w:rsidRPr="001141DF" w:rsidRDefault="0012307F">
      <w:pPr>
        <w:pStyle w:val="NoSpacing"/>
        <w:jc w:val="center"/>
        <w:rPr>
          <w:rFonts w:asciiTheme="majorHAnsi" w:eastAsia="MingLiU-ExtB" w:hAnsiTheme="majorHAnsi" w:cstheme="majorHAnsi"/>
          <w:sz w:val="20"/>
          <w:szCs w:val="20"/>
        </w:rPr>
      </w:pPr>
    </w:p>
    <w:p w14:paraId="6D3DECCF" w14:textId="5A6BCD53" w:rsidR="0012307F" w:rsidRPr="001141DF" w:rsidRDefault="00150B19" w:rsidP="00B04AF8">
      <w:pPr>
        <w:pStyle w:val="NoSpacing"/>
        <w:jc w:val="center"/>
        <w:rPr>
          <w:rFonts w:asciiTheme="majorHAnsi" w:eastAsia="Times New Roman" w:hAnsiTheme="majorHAnsi" w:cstheme="majorHAnsi"/>
          <w:kern w:val="2"/>
          <w:sz w:val="36"/>
          <w:szCs w:val="36"/>
        </w:rPr>
      </w:pPr>
      <w:r w:rsidRPr="001141DF">
        <w:rPr>
          <w:rFonts w:asciiTheme="majorHAnsi" w:eastAsia="MingLiU-ExtB" w:hAnsiTheme="majorHAnsi" w:cstheme="majorHAnsi"/>
          <w:sz w:val="20"/>
          <w:szCs w:val="20"/>
        </w:rPr>
        <w:t>RELEASE V1.0</w:t>
      </w:r>
      <w:r w:rsidR="007D2739" w:rsidRPr="001141DF">
        <w:rPr>
          <w:rFonts w:asciiTheme="majorHAnsi" w:hAnsiTheme="majorHAnsi" w:cstheme="majorHAnsi"/>
        </w:rPr>
        <w:br w:type="page"/>
      </w:r>
      <w:r w:rsidR="007D2739" w:rsidRPr="001141DF">
        <w:rPr>
          <w:rFonts w:asciiTheme="majorHAnsi" w:eastAsia="Times New Roman" w:hAnsiTheme="majorHAnsi" w:cstheme="majorHAnsi"/>
          <w:kern w:val="2"/>
          <w:sz w:val="36"/>
          <w:szCs w:val="36"/>
        </w:rPr>
        <w:lastRenderedPageBreak/>
        <w:t>TABLE OF CONTENTS</w:t>
      </w:r>
    </w:p>
    <w:sdt>
      <w:sdtPr>
        <w:rPr>
          <w:rFonts w:eastAsiaTheme="minorEastAsia" w:cstheme="majorHAnsi"/>
          <w:b w:val="0"/>
          <w:bCs w:val="0"/>
          <w:color w:val="auto"/>
          <w:sz w:val="24"/>
          <w:szCs w:val="24"/>
        </w:rPr>
        <w:id w:val="1753442187"/>
        <w:docPartObj>
          <w:docPartGallery w:val="Table of Contents"/>
          <w:docPartUnique/>
        </w:docPartObj>
      </w:sdtPr>
      <w:sdtEndPr/>
      <w:sdtContent>
        <w:p w14:paraId="7BB29FD5" w14:textId="2386930D" w:rsidR="0012307F" w:rsidRPr="001141DF" w:rsidRDefault="0012307F">
          <w:pPr>
            <w:pStyle w:val="TOCHeading"/>
            <w:rPr>
              <w:rFonts w:cstheme="majorHAnsi"/>
              <w:color w:val="auto"/>
            </w:rPr>
          </w:pPr>
        </w:p>
        <w:p w14:paraId="31EBBB93" w14:textId="78BBBC0E" w:rsidR="00B67B2D" w:rsidRDefault="007D2739">
          <w:pPr>
            <w:pStyle w:val="TOC1"/>
            <w:tabs>
              <w:tab w:val="right" w:leader="dot" w:pos="9350"/>
            </w:tabs>
            <w:rPr>
              <w:rFonts w:asciiTheme="minorHAnsi" w:hAnsiTheme="minorHAnsi" w:cstheme="minorBidi"/>
              <w:b w:val="0"/>
              <w:noProof/>
              <w:color w:val="auto"/>
              <w:sz w:val="22"/>
              <w:szCs w:val="22"/>
            </w:rPr>
          </w:pPr>
          <w:r w:rsidRPr="001141DF">
            <w:rPr>
              <w:rFonts w:cstheme="majorHAnsi"/>
              <w:color w:val="auto"/>
            </w:rPr>
            <w:fldChar w:fldCharType="begin"/>
          </w:r>
          <w:r w:rsidRPr="001141DF">
            <w:rPr>
              <w:rFonts w:cstheme="majorHAnsi"/>
              <w:color w:val="auto"/>
            </w:rPr>
            <w:instrText>TOC \z \o "1-3" \u \h</w:instrText>
          </w:r>
          <w:r w:rsidRPr="001141DF">
            <w:rPr>
              <w:rFonts w:cstheme="majorHAnsi"/>
              <w:color w:val="auto"/>
            </w:rPr>
            <w:fldChar w:fldCharType="separate"/>
          </w:r>
          <w:hyperlink w:anchor="_Toc504511278" w:history="1">
            <w:r w:rsidR="00B67B2D" w:rsidRPr="009D7E47">
              <w:rPr>
                <w:rStyle w:val="Hyperlink"/>
                <w:rFonts w:cstheme="majorHAnsi"/>
                <w:bCs/>
                <w:smallCaps/>
                <w:noProof/>
                <w:spacing w:val="5"/>
              </w:rPr>
              <w:t>ABSTRACT</w:t>
            </w:r>
            <w:r w:rsidR="00B67B2D">
              <w:rPr>
                <w:noProof/>
                <w:webHidden/>
              </w:rPr>
              <w:tab/>
            </w:r>
            <w:r w:rsidR="00B67B2D">
              <w:rPr>
                <w:noProof/>
                <w:webHidden/>
              </w:rPr>
              <w:fldChar w:fldCharType="begin"/>
            </w:r>
            <w:r w:rsidR="00B67B2D">
              <w:rPr>
                <w:noProof/>
                <w:webHidden/>
              </w:rPr>
              <w:instrText xml:space="preserve"> PAGEREF _Toc504511278 \h </w:instrText>
            </w:r>
            <w:r w:rsidR="00B67B2D">
              <w:rPr>
                <w:noProof/>
                <w:webHidden/>
              </w:rPr>
            </w:r>
            <w:r w:rsidR="00B67B2D">
              <w:rPr>
                <w:noProof/>
                <w:webHidden/>
              </w:rPr>
              <w:fldChar w:fldCharType="separate"/>
            </w:r>
            <w:r w:rsidR="00506F8A">
              <w:rPr>
                <w:noProof/>
                <w:webHidden/>
              </w:rPr>
              <w:t>3</w:t>
            </w:r>
            <w:r w:rsidR="00B67B2D">
              <w:rPr>
                <w:noProof/>
                <w:webHidden/>
              </w:rPr>
              <w:fldChar w:fldCharType="end"/>
            </w:r>
          </w:hyperlink>
        </w:p>
        <w:p w14:paraId="3B87BAF6" w14:textId="20E2B245" w:rsidR="00B67B2D" w:rsidRDefault="00B67B2D">
          <w:pPr>
            <w:pStyle w:val="TOC1"/>
            <w:tabs>
              <w:tab w:val="right" w:leader="dot" w:pos="9350"/>
            </w:tabs>
            <w:rPr>
              <w:rFonts w:asciiTheme="minorHAnsi" w:hAnsiTheme="minorHAnsi" w:cstheme="minorBidi"/>
              <w:b w:val="0"/>
              <w:noProof/>
              <w:color w:val="auto"/>
              <w:sz w:val="22"/>
              <w:szCs w:val="22"/>
            </w:rPr>
          </w:pPr>
          <w:hyperlink w:anchor="_Toc504511279" w:history="1">
            <w:r w:rsidRPr="009D7E47">
              <w:rPr>
                <w:rStyle w:val="Hyperlink"/>
                <w:rFonts w:cstheme="majorHAnsi"/>
                <w:bCs/>
                <w:smallCaps/>
                <w:noProof/>
                <w:spacing w:val="5"/>
              </w:rPr>
              <w:t>INITIAL COIN OFFERINGS</w:t>
            </w:r>
            <w:r>
              <w:rPr>
                <w:noProof/>
                <w:webHidden/>
              </w:rPr>
              <w:tab/>
            </w:r>
            <w:r>
              <w:rPr>
                <w:noProof/>
                <w:webHidden/>
              </w:rPr>
              <w:fldChar w:fldCharType="begin"/>
            </w:r>
            <w:r>
              <w:rPr>
                <w:noProof/>
                <w:webHidden/>
              </w:rPr>
              <w:instrText xml:space="preserve"> PAGEREF _Toc504511279 \h </w:instrText>
            </w:r>
            <w:r>
              <w:rPr>
                <w:noProof/>
                <w:webHidden/>
              </w:rPr>
            </w:r>
            <w:r>
              <w:rPr>
                <w:noProof/>
                <w:webHidden/>
              </w:rPr>
              <w:fldChar w:fldCharType="separate"/>
            </w:r>
            <w:r w:rsidR="00506F8A">
              <w:rPr>
                <w:noProof/>
                <w:webHidden/>
              </w:rPr>
              <w:t>4</w:t>
            </w:r>
            <w:r>
              <w:rPr>
                <w:noProof/>
                <w:webHidden/>
              </w:rPr>
              <w:fldChar w:fldCharType="end"/>
            </w:r>
          </w:hyperlink>
        </w:p>
        <w:p w14:paraId="611C50EC" w14:textId="5DF36CAE"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0" w:history="1">
            <w:r w:rsidRPr="009D7E47">
              <w:rPr>
                <w:rStyle w:val="Hyperlink"/>
                <w:rFonts w:cstheme="majorHAnsi"/>
                <w:bCs/>
                <w:smallCaps/>
                <w:noProof/>
                <w:spacing w:val="5"/>
              </w:rPr>
              <w:t>PROBLEM STATEMENT</w:t>
            </w:r>
            <w:r>
              <w:rPr>
                <w:noProof/>
                <w:webHidden/>
              </w:rPr>
              <w:tab/>
            </w:r>
            <w:r>
              <w:rPr>
                <w:noProof/>
                <w:webHidden/>
              </w:rPr>
              <w:fldChar w:fldCharType="begin"/>
            </w:r>
            <w:r>
              <w:rPr>
                <w:noProof/>
                <w:webHidden/>
              </w:rPr>
              <w:instrText xml:space="preserve"> PAGEREF _Toc504511280 \h </w:instrText>
            </w:r>
            <w:r>
              <w:rPr>
                <w:noProof/>
                <w:webHidden/>
              </w:rPr>
            </w:r>
            <w:r>
              <w:rPr>
                <w:noProof/>
                <w:webHidden/>
              </w:rPr>
              <w:fldChar w:fldCharType="separate"/>
            </w:r>
            <w:r w:rsidR="00506F8A">
              <w:rPr>
                <w:noProof/>
                <w:webHidden/>
              </w:rPr>
              <w:t>5</w:t>
            </w:r>
            <w:r>
              <w:rPr>
                <w:noProof/>
                <w:webHidden/>
              </w:rPr>
              <w:fldChar w:fldCharType="end"/>
            </w:r>
          </w:hyperlink>
        </w:p>
        <w:p w14:paraId="16595A9C" w14:textId="5116C88C"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1" w:history="1">
            <w:r w:rsidRPr="009D7E47">
              <w:rPr>
                <w:rStyle w:val="Hyperlink"/>
                <w:rFonts w:cstheme="majorHAnsi"/>
                <w:bCs/>
                <w:smallCaps/>
                <w:noProof/>
                <w:spacing w:val="5"/>
              </w:rPr>
              <w:t>THE BRIDGE PROTOCOL</w:t>
            </w:r>
            <w:r>
              <w:rPr>
                <w:noProof/>
                <w:webHidden/>
              </w:rPr>
              <w:tab/>
            </w:r>
            <w:r>
              <w:rPr>
                <w:noProof/>
                <w:webHidden/>
              </w:rPr>
              <w:fldChar w:fldCharType="begin"/>
            </w:r>
            <w:r>
              <w:rPr>
                <w:noProof/>
                <w:webHidden/>
              </w:rPr>
              <w:instrText xml:space="preserve"> PAGEREF _Toc504511281 \h </w:instrText>
            </w:r>
            <w:r>
              <w:rPr>
                <w:noProof/>
                <w:webHidden/>
              </w:rPr>
            </w:r>
            <w:r>
              <w:rPr>
                <w:noProof/>
                <w:webHidden/>
              </w:rPr>
              <w:fldChar w:fldCharType="separate"/>
            </w:r>
            <w:r w:rsidR="00506F8A">
              <w:rPr>
                <w:noProof/>
                <w:webHidden/>
              </w:rPr>
              <w:t>6</w:t>
            </w:r>
            <w:r>
              <w:rPr>
                <w:noProof/>
                <w:webHidden/>
              </w:rPr>
              <w:fldChar w:fldCharType="end"/>
            </w:r>
          </w:hyperlink>
        </w:p>
        <w:p w14:paraId="7CF5C339" w14:textId="2EBFC45C"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2" w:history="1">
            <w:r w:rsidRPr="009D7E47">
              <w:rPr>
                <w:rStyle w:val="Hyperlink"/>
                <w:rFonts w:cstheme="majorHAnsi"/>
                <w:bCs/>
                <w:smallCaps/>
                <w:noProof/>
                <w:spacing w:val="5"/>
              </w:rPr>
              <w:t>SOLUTION FOR ICOs</w:t>
            </w:r>
            <w:r>
              <w:rPr>
                <w:noProof/>
                <w:webHidden/>
              </w:rPr>
              <w:tab/>
            </w:r>
            <w:r>
              <w:rPr>
                <w:noProof/>
                <w:webHidden/>
              </w:rPr>
              <w:fldChar w:fldCharType="begin"/>
            </w:r>
            <w:r>
              <w:rPr>
                <w:noProof/>
                <w:webHidden/>
              </w:rPr>
              <w:instrText xml:space="preserve"> PAGEREF _Toc504511282 \h </w:instrText>
            </w:r>
            <w:r>
              <w:rPr>
                <w:noProof/>
                <w:webHidden/>
              </w:rPr>
            </w:r>
            <w:r>
              <w:rPr>
                <w:noProof/>
                <w:webHidden/>
              </w:rPr>
              <w:fldChar w:fldCharType="separate"/>
            </w:r>
            <w:r w:rsidR="00506F8A">
              <w:rPr>
                <w:noProof/>
                <w:webHidden/>
              </w:rPr>
              <w:t>7</w:t>
            </w:r>
            <w:r>
              <w:rPr>
                <w:noProof/>
                <w:webHidden/>
              </w:rPr>
              <w:fldChar w:fldCharType="end"/>
            </w:r>
          </w:hyperlink>
        </w:p>
        <w:p w14:paraId="7B4F5684" w14:textId="6852A404"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3" w:history="1">
            <w:r w:rsidRPr="009D7E47">
              <w:rPr>
                <w:rStyle w:val="Hyperlink"/>
                <w:rFonts w:cstheme="majorHAnsi"/>
                <w:bCs/>
                <w:smallCaps/>
                <w:noProof/>
                <w:spacing w:val="5"/>
              </w:rPr>
              <w:t>SOLUTION FOR LEGAL PROCESSES</w:t>
            </w:r>
            <w:r>
              <w:rPr>
                <w:noProof/>
                <w:webHidden/>
              </w:rPr>
              <w:tab/>
            </w:r>
            <w:r>
              <w:rPr>
                <w:noProof/>
                <w:webHidden/>
              </w:rPr>
              <w:fldChar w:fldCharType="begin"/>
            </w:r>
            <w:r>
              <w:rPr>
                <w:noProof/>
                <w:webHidden/>
              </w:rPr>
              <w:instrText xml:space="preserve"> PAGEREF _Toc504511283 \h </w:instrText>
            </w:r>
            <w:r>
              <w:rPr>
                <w:noProof/>
                <w:webHidden/>
              </w:rPr>
            </w:r>
            <w:r>
              <w:rPr>
                <w:noProof/>
                <w:webHidden/>
              </w:rPr>
              <w:fldChar w:fldCharType="separate"/>
            </w:r>
            <w:r w:rsidR="00506F8A">
              <w:rPr>
                <w:noProof/>
                <w:webHidden/>
              </w:rPr>
              <w:t>9</w:t>
            </w:r>
            <w:r>
              <w:rPr>
                <w:noProof/>
                <w:webHidden/>
              </w:rPr>
              <w:fldChar w:fldCharType="end"/>
            </w:r>
          </w:hyperlink>
        </w:p>
        <w:p w14:paraId="2DB70D0D" w14:textId="3825C159"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4" w:history="1">
            <w:r w:rsidRPr="009D7E47">
              <w:rPr>
                <w:rStyle w:val="Hyperlink"/>
                <w:rFonts w:cstheme="majorHAnsi"/>
                <w:bCs/>
                <w:smallCaps/>
                <w:noProof/>
                <w:spacing w:val="5"/>
              </w:rPr>
              <w:t>MARKETPLACES</w:t>
            </w:r>
            <w:r>
              <w:rPr>
                <w:noProof/>
                <w:webHidden/>
              </w:rPr>
              <w:tab/>
            </w:r>
            <w:r>
              <w:rPr>
                <w:noProof/>
                <w:webHidden/>
              </w:rPr>
              <w:fldChar w:fldCharType="begin"/>
            </w:r>
            <w:r>
              <w:rPr>
                <w:noProof/>
                <w:webHidden/>
              </w:rPr>
              <w:instrText xml:space="preserve"> PAGEREF _Toc504511284 \h </w:instrText>
            </w:r>
            <w:r>
              <w:rPr>
                <w:noProof/>
                <w:webHidden/>
              </w:rPr>
            </w:r>
            <w:r>
              <w:rPr>
                <w:noProof/>
                <w:webHidden/>
              </w:rPr>
              <w:fldChar w:fldCharType="separate"/>
            </w:r>
            <w:r w:rsidR="00506F8A">
              <w:rPr>
                <w:noProof/>
                <w:webHidden/>
              </w:rPr>
              <w:t>10</w:t>
            </w:r>
            <w:r>
              <w:rPr>
                <w:noProof/>
                <w:webHidden/>
              </w:rPr>
              <w:fldChar w:fldCharType="end"/>
            </w:r>
          </w:hyperlink>
        </w:p>
        <w:p w14:paraId="627C7261" w14:textId="486B7E97"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5" w:history="1">
            <w:r w:rsidRPr="009D7E47">
              <w:rPr>
                <w:rStyle w:val="Hyperlink"/>
                <w:rFonts w:cstheme="majorHAnsi"/>
                <w:bCs/>
                <w:smallCaps/>
                <w:noProof/>
                <w:spacing w:val="5"/>
              </w:rPr>
              <w:t>BRIDGE TIER STOREFRONT</w:t>
            </w:r>
            <w:r>
              <w:rPr>
                <w:noProof/>
                <w:webHidden/>
              </w:rPr>
              <w:tab/>
            </w:r>
            <w:r>
              <w:rPr>
                <w:noProof/>
                <w:webHidden/>
              </w:rPr>
              <w:fldChar w:fldCharType="begin"/>
            </w:r>
            <w:r>
              <w:rPr>
                <w:noProof/>
                <w:webHidden/>
              </w:rPr>
              <w:instrText xml:space="preserve"> PAGEREF _Toc504511285 \h </w:instrText>
            </w:r>
            <w:r>
              <w:rPr>
                <w:noProof/>
                <w:webHidden/>
              </w:rPr>
            </w:r>
            <w:r>
              <w:rPr>
                <w:noProof/>
                <w:webHidden/>
              </w:rPr>
              <w:fldChar w:fldCharType="separate"/>
            </w:r>
            <w:r w:rsidR="00506F8A">
              <w:rPr>
                <w:noProof/>
                <w:webHidden/>
              </w:rPr>
              <w:t>11</w:t>
            </w:r>
            <w:r>
              <w:rPr>
                <w:noProof/>
                <w:webHidden/>
              </w:rPr>
              <w:fldChar w:fldCharType="end"/>
            </w:r>
          </w:hyperlink>
        </w:p>
        <w:p w14:paraId="5B3CD817" w14:textId="76AC71A9"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6" w:history="1">
            <w:r w:rsidRPr="009D7E47">
              <w:rPr>
                <w:rStyle w:val="Hyperlink"/>
                <w:rFonts w:cstheme="majorHAnsi"/>
                <w:bCs/>
                <w:smallCaps/>
                <w:noProof/>
                <w:spacing w:val="5"/>
              </w:rPr>
              <w:t>DISTRIBUTION MECHANISM</w:t>
            </w:r>
            <w:r>
              <w:rPr>
                <w:noProof/>
                <w:webHidden/>
              </w:rPr>
              <w:tab/>
            </w:r>
            <w:r>
              <w:rPr>
                <w:noProof/>
                <w:webHidden/>
              </w:rPr>
              <w:fldChar w:fldCharType="begin"/>
            </w:r>
            <w:r>
              <w:rPr>
                <w:noProof/>
                <w:webHidden/>
              </w:rPr>
              <w:instrText xml:space="preserve"> PAGEREF _Toc504511286 \h </w:instrText>
            </w:r>
            <w:r>
              <w:rPr>
                <w:noProof/>
                <w:webHidden/>
              </w:rPr>
            </w:r>
            <w:r>
              <w:rPr>
                <w:noProof/>
                <w:webHidden/>
              </w:rPr>
              <w:fldChar w:fldCharType="separate"/>
            </w:r>
            <w:r w:rsidR="00506F8A">
              <w:rPr>
                <w:noProof/>
                <w:webHidden/>
              </w:rPr>
              <w:t>12</w:t>
            </w:r>
            <w:r>
              <w:rPr>
                <w:noProof/>
                <w:webHidden/>
              </w:rPr>
              <w:fldChar w:fldCharType="end"/>
            </w:r>
          </w:hyperlink>
        </w:p>
        <w:p w14:paraId="483AD6ED" w14:textId="711A4305"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7" w:history="1">
            <w:r w:rsidRPr="009D7E47">
              <w:rPr>
                <w:rStyle w:val="Hyperlink"/>
                <w:rFonts w:cstheme="majorHAnsi"/>
                <w:bCs/>
                <w:smallCaps/>
                <w:noProof/>
                <w:spacing w:val="5"/>
              </w:rPr>
              <w:t>CONCLUSION</w:t>
            </w:r>
            <w:r>
              <w:rPr>
                <w:noProof/>
                <w:webHidden/>
              </w:rPr>
              <w:tab/>
            </w:r>
            <w:r>
              <w:rPr>
                <w:noProof/>
                <w:webHidden/>
              </w:rPr>
              <w:fldChar w:fldCharType="begin"/>
            </w:r>
            <w:r>
              <w:rPr>
                <w:noProof/>
                <w:webHidden/>
              </w:rPr>
              <w:instrText xml:space="preserve"> PAGEREF _Toc504511287 \h </w:instrText>
            </w:r>
            <w:r>
              <w:rPr>
                <w:noProof/>
                <w:webHidden/>
              </w:rPr>
            </w:r>
            <w:r>
              <w:rPr>
                <w:noProof/>
                <w:webHidden/>
              </w:rPr>
              <w:fldChar w:fldCharType="separate"/>
            </w:r>
            <w:r w:rsidR="00506F8A">
              <w:rPr>
                <w:noProof/>
                <w:webHidden/>
              </w:rPr>
              <w:t>13</w:t>
            </w:r>
            <w:r>
              <w:rPr>
                <w:noProof/>
                <w:webHidden/>
              </w:rPr>
              <w:fldChar w:fldCharType="end"/>
            </w:r>
          </w:hyperlink>
        </w:p>
        <w:p w14:paraId="14542382" w14:textId="269698AB" w:rsidR="00B67B2D" w:rsidRDefault="00B67B2D">
          <w:pPr>
            <w:pStyle w:val="TOC1"/>
            <w:tabs>
              <w:tab w:val="right" w:leader="dot" w:pos="9350"/>
            </w:tabs>
            <w:rPr>
              <w:rFonts w:asciiTheme="minorHAnsi" w:hAnsiTheme="minorHAnsi" w:cstheme="minorBidi"/>
              <w:b w:val="0"/>
              <w:noProof/>
              <w:color w:val="auto"/>
              <w:sz w:val="22"/>
              <w:szCs w:val="22"/>
            </w:rPr>
          </w:pPr>
          <w:hyperlink w:anchor="_Toc504511288" w:history="1">
            <w:r w:rsidRPr="009D7E47">
              <w:rPr>
                <w:rStyle w:val="Hyperlink"/>
                <w:rFonts w:cstheme="majorHAnsi"/>
                <w:bCs/>
                <w:smallCaps/>
                <w:noProof/>
                <w:spacing w:val="5"/>
              </w:rPr>
              <w:t>IMPORTANT NOTICES</w:t>
            </w:r>
            <w:r>
              <w:rPr>
                <w:noProof/>
                <w:webHidden/>
              </w:rPr>
              <w:tab/>
            </w:r>
            <w:r>
              <w:rPr>
                <w:noProof/>
                <w:webHidden/>
              </w:rPr>
              <w:fldChar w:fldCharType="begin"/>
            </w:r>
            <w:r>
              <w:rPr>
                <w:noProof/>
                <w:webHidden/>
              </w:rPr>
              <w:instrText xml:space="preserve"> PAGEREF _Toc504511288 \h </w:instrText>
            </w:r>
            <w:r>
              <w:rPr>
                <w:noProof/>
                <w:webHidden/>
              </w:rPr>
            </w:r>
            <w:r>
              <w:rPr>
                <w:noProof/>
                <w:webHidden/>
              </w:rPr>
              <w:fldChar w:fldCharType="separate"/>
            </w:r>
            <w:r w:rsidR="00506F8A">
              <w:rPr>
                <w:noProof/>
                <w:webHidden/>
              </w:rPr>
              <w:t>14</w:t>
            </w:r>
            <w:r>
              <w:rPr>
                <w:noProof/>
                <w:webHidden/>
              </w:rPr>
              <w:fldChar w:fldCharType="end"/>
            </w:r>
          </w:hyperlink>
        </w:p>
        <w:p w14:paraId="29CF77F9" w14:textId="7993B09F" w:rsidR="0012307F" w:rsidRPr="001141DF" w:rsidRDefault="007D2739">
          <w:pPr>
            <w:rPr>
              <w:rFonts w:asciiTheme="majorHAnsi" w:hAnsiTheme="majorHAnsi" w:cstheme="majorHAnsi"/>
            </w:rPr>
          </w:pPr>
          <w:r w:rsidRPr="001141DF">
            <w:rPr>
              <w:rFonts w:asciiTheme="majorHAnsi" w:hAnsiTheme="majorHAnsi" w:cstheme="majorHAnsi"/>
            </w:rPr>
            <w:fldChar w:fldCharType="end"/>
          </w:r>
        </w:p>
      </w:sdtContent>
    </w:sdt>
    <w:p w14:paraId="173A5D22" w14:textId="37893F85" w:rsidR="00752243" w:rsidRPr="001141DF" w:rsidRDefault="00752243">
      <w:pPr>
        <w:rPr>
          <w:rFonts w:asciiTheme="majorHAnsi" w:eastAsia="Times New Roman" w:hAnsiTheme="majorHAnsi" w:cstheme="majorHAnsi"/>
          <w:kern w:val="2"/>
          <w:sz w:val="36"/>
          <w:szCs w:val="36"/>
        </w:rPr>
      </w:pPr>
      <w:r w:rsidRPr="001141DF">
        <w:rPr>
          <w:rFonts w:asciiTheme="majorHAnsi" w:eastAsia="Times New Roman" w:hAnsiTheme="majorHAnsi" w:cstheme="majorHAnsi"/>
          <w:kern w:val="2"/>
          <w:sz w:val="36"/>
          <w:szCs w:val="36"/>
        </w:rPr>
        <w:br w:type="page"/>
      </w:r>
    </w:p>
    <w:p w14:paraId="35139461" w14:textId="77777777" w:rsidR="0012307F" w:rsidRPr="001141DF" w:rsidRDefault="007D2739">
      <w:pPr>
        <w:pBdr>
          <w:bottom w:val="single" w:sz="4" w:space="1" w:color="2FA3EE"/>
        </w:pBdr>
        <w:spacing w:before="400" w:after="40"/>
        <w:outlineLvl w:val="0"/>
        <w:rPr>
          <w:rStyle w:val="IntenseReference"/>
          <w:rFonts w:asciiTheme="majorHAnsi" w:hAnsiTheme="majorHAnsi" w:cstheme="majorHAnsi"/>
          <w:color w:val="auto"/>
          <w:sz w:val="40"/>
          <w:szCs w:val="36"/>
        </w:rPr>
      </w:pPr>
      <w:bookmarkStart w:id="0" w:name="_Toc504511278"/>
      <w:r w:rsidRPr="001141DF">
        <w:rPr>
          <w:rStyle w:val="IntenseReference"/>
          <w:rFonts w:asciiTheme="majorHAnsi" w:hAnsiTheme="majorHAnsi" w:cstheme="majorHAnsi"/>
          <w:color w:val="auto"/>
          <w:sz w:val="40"/>
          <w:szCs w:val="36"/>
        </w:rPr>
        <w:lastRenderedPageBreak/>
        <w:t>ABSTRACT</w:t>
      </w:r>
      <w:bookmarkEnd w:id="0"/>
    </w:p>
    <w:p w14:paraId="4B301B77" w14:textId="77777777" w:rsidR="0012307F" w:rsidRPr="001141DF" w:rsidRDefault="0012307F">
      <w:pPr>
        <w:ind w:firstLine="720"/>
        <w:rPr>
          <w:rFonts w:asciiTheme="majorHAnsi" w:eastAsia="Times New Roman" w:hAnsiTheme="majorHAnsi" w:cstheme="majorHAnsi"/>
          <w:bCs/>
        </w:rPr>
      </w:pPr>
    </w:p>
    <w:p w14:paraId="0F9A6FFC" w14:textId="77777777" w:rsidR="0012307F" w:rsidRPr="001141DF" w:rsidRDefault="007D2739" w:rsidP="00752243">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bCs/>
        </w:rPr>
        <w:t>The Bridge</w:t>
      </w:r>
      <w:r w:rsidRPr="001141DF">
        <w:rPr>
          <w:rFonts w:asciiTheme="majorHAnsi" w:eastAsia="Times New Roman" w:hAnsiTheme="majorHAnsi" w:cstheme="majorHAnsi"/>
          <w:b/>
          <w:bCs/>
        </w:rPr>
        <w:t xml:space="preserve"> </w:t>
      </w:r>
      <w:r w:rsidRPr="001141DF">
        <w:rPr>
          <w:rFonts w:asciiTheme="majorHAnsi" w:eastAsia="Times New Roman" w:hAnsiTheme="majorHAnsi" w:cstheme="majorHAnsi"/>
        </w:rPr>
        <w:t>Protocol</w:t>
      </w:r>
      <w:r w:rsidRPr="001141DF">
        <w:rPr>
          <w:rFonts w:asciiTheme="majorHAnsi" w:eastAsia="Times New Roman" w:hAnsiTheme="majorHAnsi" w:cstheme="majorHAnsi"/>
          <w:bCs/>
        </w:rPr>
        <w:t xml:space="preserve"> is an</w:t>
      </w:r>
      <w:r w:rsidRPr="001141DF">
        <w:rPr>
          <w:rFonts w:asciiTheme="majorHAnsi" w:eastAsia="Times New Roman" w:hAnsiTheme="majorHAnsi" w:cstheme="majorHAnsi"/>
        </w:rPr>
        <w:t xml:space="preserve"> open, distributed network of trusted machines and users promoting behaviors, standards and enforcement mechanisms to provide real-world value and application. The system facilitates an ability for users to deploy business processes that comply to existing standards and regulations.</w:t>
      </w:r>
    </w:p>
    <w:p w14:paraId="32C6E286" w14:textId="77777777" w:rsidR="0012307F" w:rsidRPr="001141DF" w:rsidRDefault="0012307F" w:rsidP="00752243">
      <w:pPr>
        <w:spacing w:line="360" w:lineRule="auto"/>
        <w:ind w:firstLine="720"/>
        <w:jc w:val="both"/>
        <w:rPr>
          <w:rFonts w:asciiTheme="majorHAnsi" w:eastAsia="Times New Roman" w:hAnsiTheme="majorHAnsi" w:cstheme="majorHAnsi"/>
        </w:rPr>
      </w:pPr>
    </w:p>
    <w:p w14:paraId="12ED0F91" w14:textId="13AA77D1" w:rsidR="0012307F" w:rsidRPr="001141DF" w:rsidRDefault="007D2739" w:rsidP="00752243">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Our private blockchain will provide secure processing of assets, with an aim to guarantee trusted execution using smart contracts, </w:t>
      </w:r>
      <w:r w:rsidR="005F5ECB" w:rsidRPr="001141DF">
        <w:rPr>
          <w:rFonts w:asciiTheme="majorHAnsi" w:eastAsia="Times New Roman" w:hAnsiTheme="majorHAnsi" w:cstheme="majorHAnsi"/>
        </w:rPr>
        <w:t xml:space="preserve">eventually </w:t>
      </w:r>
      <w:r w:rsidRPr="001141DF">
        <w:rPr>
          <w:rFonts w:asciiTheme="majorHAnsi" w:eastAsia="Times New Roman" w:hAnsiTheme="majorHAnsi" w:cstheme="majorHAnsi"/>
        </w:rPr>
        <w:t>backed by real-world regulatory compliance in the nation which they occur. The system will be comprised of trusted virtual machines, providing user accessible functions for enterprise-grade business operations.</w:t>
      </w:r>
    </w:p>
    <w:p w14:paraId="2B7ADBD5" w14:textId="77777777" w:rsidR="0012307F" w:rsidRPr="001141DF" w:rsidRDefault="0012307F" w:rsidP="00752243">
      <w:pPr>
        <w:spacing w:line="360" w:lineRule="auto"/>
        <w:ind w:firstLine="720"/>
        <w:jc w:val="both"/>
        <w:rPr>
          <w:rFonts w:asciiTheme="majorHAnsi" w:eastAsia="Times New Roman" w:hAnsiTheme="majorHAnsi" w:cstheme="majorHAnsi"/>
        </w:rPr>
      </w:pPr>
    </w:p>
    <w:p w14:paraId="23505006" w14:textId="18BB956F" w:rsidR="0012307F" w:rsidRPr="001141DF" w:rsidRDefault="007D2739" w:rsidP="00752243">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The Bridge Protocol Corporation will begin issuing digital identities to permit individuals and businesses to engage securely and freely, while building extensive real-world trust networks. Early identities will be centrally issued and managed by the company to promote a trusted and stable foundation to the Protocol. For wider adaptation and versatility, this management system will allow self-sovereign identities to be recognized and managed. The first service offered on the Protocol is a Tier flagging of these identities, which coupled with contract logic developed by the Bridge Protocol Corporation, will allow for an Initial Coin Offering (ICO) to have auditable Know-Your-Customer (KYC) information to ensure regulatory compliance.</w:t>
      </w:r>
    </w:p>
    <w:p w14:paraId="6F6092D2" w14:textId="77777777" w:rsidR="00752243" w:rsidRPr="001141DF" w:rsidRDefault="00752243" w:rsidP="00752243">
      <w:pPr>
        <w:spacing w:line="360" w:lineRule="auto"/>
        <w:jc w:val="both"/>
        <w:rPr>
          <w:rFonts w:asciiTheme="majorHAnsi" w:eastAsia="Times New Roman" w:hAnsiTheme="majorHAnsi" w:cstheme="majorHAnsi"/>
        </w:rPr>
      </w:pPr>
    </w:p>
    <w:p w14:paraId="5C74527E" w14:textId="77777777" w:rsidR="00752243" w:rsidRPr="001141DF" w:rsidRDefault="00752243">
      <w:pPr>
        <w:rPr>
          <w:rStyle w:val="IntenseReference"/>
          <w:rFonts w:asciiTheme="majorHAnsi" w:hAnsiTheme="majorHAnsi" w:cstheme="majorHAnsi"/>
          <w:color w:val="auto"/>
          <w:sz w:val="36"/>
          <w:szCs w:val="36"/>
        </w:rPr>
      </w:pPr>
      <w:r w:rsidRPr="001141DF">
        <w:rPr>
          <w:rStyle w:val="IntenseReference"/>
          <w:rFonts w:asciiTheme="majorHAnsi" w:hAnsiTheme="majorHAnsi" w:cstheme="majorHAnsi"/>
          <w:color w:val="auto"/>
          <w:sz w:val="36"/>
          <w:szCs w:val="36"/>
        </w:rPr>
        <w:br w:type="page"/>
      </w:r>
    </w:p>
    <w:p w14:paraId="5B1AC142" w14:textId="7BDCB0B7" w:rsidR="0012307F" w:rsidRPr="001141DF" w:rsidRDefault="007D2739" w:rsidP="00B04AF8">
      <w:pPr>
        <w:pBdr>
          <w:bottom w:val="single" w:sz="4" w:space="1" w:color="2FA3EE"/>
        </w:pBdr>
        <w:spacing w:before="400" w:after="40"/>
        <w:jc w:val="both"/>
        <w:outlineLvl w:val="0"/>
        <w:rPr>
          <w:rStyle w:val="IntenseReference"/>
          <w:rFonts w:asciiTheme="majorHAnsi" w:hAnsiTheme="majorHAnsi" w:cstheme="majorHAnsi"/>
          <w:color w:val="auto"/>
          <w:sz w:val="40"/>
          <w:szCs w:val="36"/>
        </w:rPr>
      </w:pPr>
      <w:bookmarkStart w:id="1" w:name="_Toc504511279"/>
      <w:r w:rsidRPr="001141DF">
        <w:rPr>
          <w:rStyle w:val="IntenseReference"/>
          <w:rFonts w:asciiTheme="majorHAnsi" w:hAnsiTheme="majorHAnsi" w:cstheme="majorHAnsi"/>
          <w:color w:val="auto"/>
          <w:sz w:val="40"/>
          <w:szCs w:val="36"/>
        </w:rPr>
        <w:lastRenderedPageBreak/>
        <w:t>INITIAL COIN OFFERINGS</w:t>
      </w:r>
      <w:bookmarkEnd w:id="1"/>
    </w:p>
    <w:p w14:paraId="2C74DAF8" w14:textId="77777777" w:rsidR="0012307F" w:rsidRPr="001141DF" w:rsidRDefault="0012307F" w:rsidP="00752243">
      <w:pPr>
        <w:spacing w:line="360" w:lineRule="auto"/>
        <w:jc w:val="both"/>
        <w:rPr>
          <w:rFonts w:asciiTheme="majorHAnsi" w:eastAsia="Times New Roman" w:hAnsiTheme="majorHAnsi" w:cstheme="majorHAnsi"/>
        </w:rPr>
      </w:pPr>
    </w:p>
    <w:p w14:paraId="1A011557" w14:textId="77777777" w:rsidR="0012307F" w:rsidRPr="001141DF" w:rsidRDefault="007D2739" w:rsidP="00752243">
      <w:pPr>
        <w:spacing w:after="120" w:line="360" w:lineRule="auto"/>
        <w:jc w:val="both"/>
        <w:rPr>
          <w:rFonts w:asciiTheme="majorHAnsi" w:eastAsia="Times New Roman" w:hAnsiTheme="majorHAnsi" w:cstheme="majorHAnsi"/>
        </w:rPr>
      </w:pPr>
      <w:r w:rsidRPr="001141DF">
        <w:rPr>
          <w:rFonts w:asciiTheme="majorHAnsi" w:eastAsia="Times New Roman" w:hAnsiTheme="majorHAnsi" w:cstheme="majorHAnsi"/>
        </w:rPr>
        <w:t>Recently, smart contracts have been used for ICOs, more commonly known as token sales. These tokens usually conform to a standard (e.g. ERC20/ERC223, NEP-5), which allows them to be offered for sale and traded on a variety of online platforms. The global adoption of ICO fundraising structures has led to an explosion of new capital formation which has outpaced both the seed and venture capital investment markets. ICOs have raised $3.7 billion (USD) to date; In 2017 alone, ICO funding surpassed $1.2 billion (USD). Unfortunately, some ICOs have provided inaccurate, and in some cases, fraudulent claims while attempting to raise funds. Naturally, this has attracted the attention of regulators in many countries around the world.</w:t>
      </w:r>
    </w:p>
    <w:p w14:paraId="369C7BC1" w14:textId="77777777" w:rsidR="0012307F" w:rsidRPr="001141DF" w:rsidRDefault="007D2739" w:rsidP="00752243">
      <w:pPr>
        <w:spacing w:after="120"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There are two kinds of tokens sold in an ICO: utility tokens and security tokens. </w:t>
      </w:r>
    </w:p>
    <w:p w14:paraId="2C446A17" w14:textId="4211F80F" w:rsidR="0012307F" w:rsidRPr="001141DF" w:rsidRDefault="007D2739" w:rsidP="00752243">
      <w:pPr>
        <w:spacing w:after="120" w:line="360" w:lineRule="auto"/>
        <w:jc w:val="both"/>
        <w:rPr>
          <w:rFonts w:asciiTheme="majorHAnsi" w:eastAsia="Times New Roman" w:hAnsiTheme="majorHAnsi" w:cstheme="majorHAnsi"/>
        </w:rPr>
      </w:pPr>
      <w:r w:rsidRPr="001141DF">
        <w:rPr>
          <w:rFonts w:asciiTheme="majorHAnsi" w:eastAsia="Times New Roman" w:hAnsiTheme="majorHAnsi" w:cstheme="majorHAnsi"/>
        </w:rPr>
        <w:t>Utility tokens are used to access services or assets, which are themselves, often based on smart contract technology. The purchase of a utility token is akin to purchasing the rights to use a software or a product. These tokens are like in-game currencies or pay-per-use Software-As-A-Service (SaaS) offerings. As a general rule, tokens representing the sale of products are exempt from the Securities Act in the United States, provided they do not constitute an “investment contract” as defined by the Howey Test</w:t>
      </w:r>
      <w:r w:rsidR="00A36272" w:rsidRPr="001141DF">
        <w:rPr>
          <w:rFonts w:asciiTheme="majorHAnsi" w:eastAsia="Times New Roman" w:hAnsiTheme="majorHAnsi" w:cstheme="majorHAnsi"/>
        </w:rPr>
        <w:t>:</w:t>
      </w:r>
    </w:p>
    <w:p w14:paraId="46663E2D" w14:textId="5835B870" w:rsidR="00B817FD" w:rsidRPr="001141DF" w:rsidRDefault="00123AA6" w:rsidP="00752243">
      <w:pPr>
        <w:spacing w:after="120" w:line="360" w:lineRule="auto"/>
        <w:jc w:val="both"/>
        <w:rPr>
          <w:rFonts w:asciiTheme="majorHAnsi" w:eastAsia="Times New Roman" w:hAnsiTheme="majorHAnsi" w:cstheme="majorHAnsi"/>
          <w:i/>
        </w:rPr>
      </w:pPr>
      <w:r w:rsidRPr="001141DF">
        <w:rPr>
          <w:rFonts w:asciiTheme="majorHAnsi" w:hAnsiTheme="majorHAnsi" w:cstheme="majorHAnsi"/>
          <w:i/>
        </w:rPr>
        <w:t>"In other words, an investment contract for purposes of the Securities Act means a contract, transaction or scheme whereby a person invests his money in a common enterprise and is led to expect profits solely from the efforts of the promoter or a third party, it being immaterial whether the shares in the enterprise are evidenced by formal certificates or by nominal interests in the physical assets employed in the enterprise."</w:t>
      </w:r>
      <w:sdt>
        <w:sdtPr>
          <w:rPr>
            <w:rFonts w:asciiTheme="majorHAnsi" w:hAnsiTheme="majorHAnsi" w:cstheme="majorHAnsi"/>
            <w:i/>
          </w:rPr>
          <w:id w:val="-193765356"/>
          <w:citation/>
        </w:sdtPr>
        <w:sdtEndPr/>
        <w:sdtContent>
          <w:r w:rsidRPr="001141DF">
            <w:rPr>
              <w:rFonts w:asciiTheme="majorHAnsi" w:hAnsiTheme="majorHAnsi" w:cstheme="majorHAnsi"/>
              <w:i/>
            </w:rPr>
            <w:fldChar w:fldCharType="begin"/>
          </w:r>
          <w:r w:rsidR="003F15DD" w:rsidRPr="001141DF">
            <w:rPr>
              <w:rFonts w:asciiTheme="majorHAnsi" w:hAnsiTheme="majorHAnsi" w:cstheme="majorHAnsi"/>
              <w:i/>
            </w:rPr>
            <w:instrText xml:space="preserve">CITATION SEC18 \l 1033 </w:instrText>
          </w:r>
          <w:r w:rsidRPr="001141DF">
            <w:rPr>
              <w:rFonts w:asciiTheme="majorHAnsi" w:hAnsiTheme="majorHAnsi" w:cstheme="majorHAnsi"/>
              <w:i/>
            </w:rPr>
            <w:fldChar w:fldCharType="separate"/>
          </w:r>
          <w:r w:rsidR="003F15DD" w:rsidRPr="001141DF">
            <w:rPr>
              <w:rFonts w:asciiTheme="majorHAnsi" w:hAnsiTheme="majorHAnsi" w:cstheme="majorHAnsi"/>
              <w:i/>
              <w:noProof/>
            </w:rPr>
            <w:t xml:space="preserve"> </w:t>
          </w:r>
          <w:r w:rsidR="003F15DD" w:rsidRPr="001141DF">
            <w:rPr>
              <w:rFonts w:asciiTheme="majorHAnsi" w:hAnsiTheme="majorHAnsi" w:cstheme="majorHAnsi"/>
              <w:noProof/>
            </w:rPr>
            <w:t>(SEC v. W. J. Howey Co. n.d.)</w:t>
          </w:r>
          <w:r w:rsidRPr="001141DF">
            <w:rPr>
              <w:rFonts w:asciiTheme="majorHAnsi" w:hAnsiTheme="majorHAnsi" w:cstheme="majorHAnsi"/>
              <w:i/>
            </w:rPr>
            <w:fldChar w:fldCharType="end"/>
          </w:r>
        </w:sdtContent>
      </w:sdt>
    </w:p>
    <w:p w14:paraId="57A6B910" w14:textId="62C4D937" w:rsidR="0012307F" w:rsidRPr="001141DF" w:rsidRDefault="007D2739" w:rsidP="00752243">
      <w:pPr>
        <w:spacing w:after="120"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If the resultant token is deemed to be a securities offering, token issuers need to ensure that sales comply with all applicable securities laws or run the risk of severe penalties. In contrast to traditional securities offerings, the general public still does not have a good grasp on the products and technology underlying ICOs. Securities regulators are still developing rules for this space and regulatory bodies have temporarily resorted to issuing warnings. ICO investors are cautioned about the investment and enforcement risks of ICOs as well as issuers, who are still subject to </w:t>
      </w:r>
      <w:r w:rsidRPr="001141DF">
        <w:rPr>
          <w:rFonts w:asciiTheme="majorHAnsi" w:eastAsia="Times New Roman" w:hAnsiTheme="majorHAnsi" w:cstheme="majorHAnsi"/>
        </w:rPr>
        <w:lastRenderedPageBreak/>
        <w:t xml:space="preserve">securities laws. Regulators are applying increasing legal scrutiny towards token sales to ensure compliance. Due to lingering enforcement to stay within compliance of </w:t>
      </w:r>
      <w:r w:rsidR="003F15DD" w:rsidRPr="001141DF">
        <w:rPr>
          <w:rFonts w:asciiTheme="majorHAnsi" w:eastAsia="Times New Roman" w:hAnsiTheme="majorHAnsi" w:cstheme="majorHAnsi"/>
        </w:rPr>
        <w:t>securities</w:t>
      </w:r>
      <w:r w:rsidRPr="001141DF">
        <w:rPr>
          <w:rFonts w:asciiTheme="majorHAnsi" w:eastAsia="Times New Roman" w:hAnsiTheme="majorHAnsi" w:cstheme="majorHAnsi"/>
        </w:rPr>
        <w:t xml:space="preserve"> laws, some ICOs have cancelled their offerings after discussions with regulators, while others face the risk and follow through with their ICOs. </w:t>
      </w:r>
    </w:p>
    <w:p w14:paraId="39A807FF" w14:textId="77777777" w:rsidR="00AB36BA" w:rsidRPr="001141DF" w:rsidRDefault="00AB36BA" w:rsidP="00B04AF8">
      <w:pPr>
        <w:spacing w:after="240"/>
        <w:jc w:val="both"/>
        <w:rPr>
          <w:rFonts w:asciiTheme="majorHAnsi" w:eastAsia="Times New Roman" w:hAnsiTheme="majorHAnsi" w:cstheme="majorHAnsi"/>
        </w:rPr>
      </w:pPr>
    </w:p>
    <w:p w14:paraId="3B6416BE" w14:textId="77777777" w:rsidR="00150B19" w:rsidRPr="001141DF" w:rsidRDefault="00150B19" w:rsidP="00B04AF8">
      <w:pPr>
        <w:spacing w:after="240"/>
        <w:jc w:val="both"/>
        <w:rPr>
          <w:rFonts w:asciiTheme="majorHAnsi" w:eastAsia="Times New Roman" w:hAnsiTheme="majorHAnsi" w:cstheme="majorHAnsi"/>
        </w:rPr>
      </w:pPr>
    </w:p>
    <w:p w14:paraId="25C4B6F7" w14:textId="77777777" w:rsidR="0012307F" w:rsidRPr="001141DF" w:rsidRDefault="007D2739" w:rsidP="00B04AF8">
      <w:pPr>
        <w:pBdr>
          <w:bottom w:val="single" w:sz="4" w:space="1" w:color="2FA3EE"/>
        </w:pBdr>
        <w:spacing w:before="400" w:after="40"/>
        <w:jc w:val="both"/>
        <w:outlineLvl w:val="0"/>
        <w:rPr>
          <w:rStyle w:val="IntenseReference"/>
          <w:rFonts w:asciiTheme="majorHAnsi" w:hAnsiTheme="majorHAnsi" w:cstheme="majorHAnsi"/>
          <w:color w:val="auto"/>
          <w:sz w:val="40"/>
          <w:szCs w:val="36"/>
        </w:rPr>
      </w:pPr>
      <w:bookmarkStart w:id="2" w:name="_Toc504511280"/>
      <w:r w:rsidRPr="001141DF">
        <w:rPr>
          <w:rStyle w:val="IntenseReference"/>
          <w:rFonts w:asciiTheme="majorHAnsi" w:hAnsiTheme="majorHAnsi" w:cstheme="majorHAnsi"/>
          <w:color w:val="auto"/>
          <w:sz w:val="40"/>
          <w:szCs w:val="36"/>
        </w:rPr>
        <w:t>PROBLEM STATEMENT</w:t>
      </w:r>
      <w:bookmarkEnd w:id="2"/>
    </w:p>
    <w:p w14:paraId="06ABF967" w14:textId="77777777" w:rsidR="0012307F" w:rsidRPr="001141DF" w:rsidRDefault="0012307F" w:rsidP="00E340E1">
      <w:pPr>
        <w:spacing w:line="360" w:lineRule="auto"/>
        <w:ind w:firstLine="720"/>
        <w:jc w:val="both"/>
        <w:rPr>
          <w:rFonts w:asciiTheme="majorHAnsi" w:eastAsia="Times New Roman" w:hAnsiTheme="majorHAnsi" w:cstheme="majorHAnsi"/>
        </w:rPr>
      </w:pPr>
    </w:p>
    <w:p w14:paraId="2A4D9A0C" w14:textId="2377777F" w:rsidR="00752243"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Private businesses and legal groups are aiming to create standards of procedure for </w:t>
      </w:r>
      <w:r w:rsidR="00310A37" w:rsidRPr="001141DF">
        <w:rPr>
          <w:rFonts w:asciiTheme="majorHAnsi" w:eastAsia="Times New Roman" w:hAnsiTheme="majorHAnsi" w:cstheme="majorHAnsi"/>
        </w:rPr>
        <w:t>an</w:t>
      </w:r>
      <w:r w:rsidRPr="001141DF">
        <w:rPr>
          <w:rFonts w:asciiTheme="majorHAnsi" w:eastAsia="Times New Roman" w:hAnsiTheme="majorHAnsi" w:cstheme="majorHAnsi"/>
        </w:rPr>
        <w:t xml:space="preserve"> I</w:t>
      </w:r>
      <w:r w:rsidR="00310A37" w:rsidRPr="001141DF">
        <w:rPr>
          <w:rFonts w:asciiTheme="majorHAnsi" w:eastAsia="Times New Roman" w:hAnsiTheme="majorHAnsi" w:cstheme="majorHAnsi"/>
        </w:rPr>
        <w:t xml:space="preserve">nitial </w:t>
      </w:r>
      <w:r w:rsidRPr="001141DF">
        <w:rPr>
          <w:rFonts w:asciiTheme="majorHAnsi" w:eastAsia="Times New Roman" w:hAnsiTheme="majorHAnsi" w:cstheme="majorHAnsi"/>
        </w:rPr>
        <w:t>C</w:t>
      </w:r>
      <w:r w:rsidR="00310A37" w:rsidRPr="001141DF">
        <w:rPr>
          <w:rFonts w:asciiTheme="majorHAnsi" w:eastAsia="Times New Roman" w:hAnsiTheme="majorHAnsi" w:cstheme="majorHAnsi"/>
        </w:rPr>
        <w:t xml:space="preserve">oin </w:t>
      </w:r>
      <w:r w:rsidRPr="001141DF">
        <w:rPr>
          <w:rFonts w:asciiTheme="majorHAnsi" w:eastAsia="Times New Roman" w:hAnsiTheme="majorHAnsi" w:cstheme="majorHAnsi"/>
        </w:rPr>
        <w:t>O</w:t>
      </w:r>
      <w:r w:rsidR="00310A37" w:rsidRPr="001141DF">
        <w:rPr>
          <w:rFonts w:asciiTheme="majorHAnsi" w:eastAsia="Times New Roman" w:hAnsiTheme="majorHAnsi" w:cstheme="majorHAnsi"/>
        </w:rPr>
        <w:t>ffering</w:t>
      </w:r>
      <w:r w:rsidRPr="001141DF">
        <w:rPr>
          <w:rFonts w:asciiTheme="majorHAnsi" w:eastAsia="Times New Roman" w:hAnsiTheme="majorHAnsi" w:cstheme="majorHAnsi"/>
        </w:rPr>
        <w:t xml:space="preserve">, defining the “right” way to transact between participants and token issuers. </w:t>
      </w:r>
      <w:r w:rsidR="00AB36BA" w:rsidRPr="001141DF">
        <w:rPr>
          <w:rFonts w:asciiTheme="majorHAnsi" w:eastAsia="Times New Roman" w:hAnsiTheme="majorHAnsi" w:cstheme="majorHAnsi"/>
        </w:rPr>
        <w:t>The Bridge Team and their c</w:t>
      </w:r>
      <w:r w:rsidRPr="001141DF">
        <w:rPr>
          <w:rFonts w:asciiTheme="majorHAnsi" w:eastAsia="Times New Roman" w:hAnsiTheme="majorHAnsi" w:cstheme="majorHAnsi"/>
        </w:rPr>
        <w:t xml:space="preserve">onsulting experience </w:t>
      </w:r>
      <w:r w:rsidR="00310A37" w:rsidRPr="001141DF">
        <w:rPr>
          <w:rFonts w:asciiTheme="majorHAnsi" w:eastAsia="Times New Roman" w:hAnsiTheme="majorHAnsi" w:cstheme="majorHAnsi"/>
        </w:rPr>
        <w:t>with</w:t>
      </w:r>
      <w:r w:rsidRPr="001141DF">
        <w:rPr>
          <w:rFonts w:asciiTheme="majorHAnsi" w:eastAsia="Times New Roman" w:hAnsiTheme="majorHAnsi" w:cstheme="majorHAnsi"/>
        </w:rPr>
        <w:t xml:space="preserve"> </w:t>
      </w:r>
      <w:proofErr w:type="spellStart"/>
      <w:r w:rsidRPr="001141DF">
        <w:rPr>
          <w:rFonts w:asciiTheme="majorHAnsi" w:eastAsia="Times New Roman" w:hAnsiTheme="majorHAnsi" w:cstheme="majorHAnsi"/>
        </w:rPr>
        <w:t>ProjectICO</w:t>
      </w:r>
      <w:proofErr w:type="spellEnd"/>
      <w:r w:rsidRPr="001141DF">
        <w:rPr>
          <w:rFonts w:asciiTheme="majorHAnsi" w:eastAsia="Times New Roman" w:hAnsiTheme="majorHAnsi" w:cstheme="majorHAnsi"/>
        </w:rPr>
        <w:t xml:space="preserve"> </w:t>
      </w:r>
      <w:r w:rsidR="00310A37" w:rsidRPr="001141DF">
        <w:rPr>
          <w:rFonts w:asciiTheme="majorHAnsi" w:eastAsia="Times New Roman" w:hAnsiTheme="majorHAnsi" w:cstheme="majorHAnsi"/>
        </w:rPr>
        <w:t>have</w:t>
      </w:r>
      <w:r w:rsidRPr="001141DF">
        <w:rPr>
          <w:rFonts w:asciiTheme="majorHAnsi" w:eastAsia="Times New Roman" w:hAnsiTheme="majorHAnsi" w:cstheme="majorHAnsi"/>
        </w:rPr>
        <w:t xml:space="preserve"> </w:t>
      </w:r>
      <w:r w:rsidR="003F15DD" w:rsidRPr="001141DF">
        <w:rPr>
          <w:rFonts w:asciiTheme="majorHAnsi" w:eastAsia="Times New Roman" w:hAnsiTheme="majorHAnsi" w:cstheme="majorHAnsi"/>
        </w:rPr>
        <w:t>noted</w:t>
      </w:r>
      <w:r w:rsidRPr="001141DF">
        <w:rPr>
          <w:rFonts w:asciiTheme="majorHAnsi" w:eastAsia="Times New Roman" w:hAnsiTheme="majorHAnsi" w:cstheme="majorHAnsi"/>
        </w:rPr>
        <w:t xml:space="preserve"> </w:t>
      </w:r>
      <w:r w:rsidR="003F15DD" w:rsidRPr="001141DF">
        <w:rPr>
          <w:rFonts w:asciiTheme="majorHAnsi" w:eastAsia="Times New Roman" w:hAnsiTheme="majorHAnsi" w:cstheme="majorHAnsi"/>
        </w:rPr>
        <w:t>concepts</w:t>
      </w:r>
      <w:r w:rsidRPr="001141DF">
        <w:rPr>
          <w:rFonts w:asciiTheme="majorHAnsi" w:eastAsia="Times New Roman" w:hAnsiTheme="majorHAnsi" w:cstheme="majorHAnsi"/>
        </w:rPr>
        <w:t xml:space="preserve"> that would benefit from having a token </w:t>
      </w:r>
      <w:r w:rsidR="001B11D4" w:rsidRPr="001141DF">
        <w:rPr>
          <w:rFonts w:asciiTheme="majorHAnsi" w:eastAsia="Times New Roman" w:hAnsiTheme="majorHAnsi" w:cstheme="majorHAnsi"/>
        </w:rPr>
        <w:t>sale</w:t>
      </w:r>
      <w:r w:rsidR="003F15DD" w:rsidRPr="001141DF">
        <w:rPr>
          <w:rFonts w:asciiTheme="majorHAnsi" w:eastAsia="Times New Roman" w:hAnsiTheme="majorHAnsi" w:cstheme="majorHAnsi"/>
        </w:rPr>
        <w:t>,</w:t>
      </w:r>
      <w:r w:rsidR="001B11D4" w:rsidRPr="001141DF">
        <w:rPr>
          <w:rFonts w:asciiTheme="majorHAnsi" w:eastAsia="Times New Roman" w:hAnsiTheme="majorHAnsi" w:cstheme="majorHAnsi"/>
        </w:rPr>
        <w:t xml:space="preserve"> but</w:t>
      </w:r>
      <w:r w:rsidR="003F15DD" w:rsidRPr="001141DF">
        <w:rPr>
          <w:rFonts w:asciiTheme="majorHAnsi" w:eastAsia="Times New Roman" w:hAnsiTheme="majorHAnsi" w:cstheme="majorHAnsi"/>
        </w:rPr>
        <w:t xml:space="preserve"> are prevented due to</w:t>
      </w:r>
      <w:r w:rsidRPr="001141DF">
        <w:rPr>
          <w:rFonts w:asciiTheme="majorHAnsi" w:eastAsia="Times New Roman" w:hAnsiTheme="majorHAnsi" w:cstheme="majorHAnsi"/>
        </w:rPr>
        <w:t xml:space="preserve"> financial obstacles</w:t>
      </w:r>
      <w:r w:rsidR="003F15DD" w:rsidRPr="001141DF">
        <w:rPr>
          <w:rFonts w:asciiTheme="majorHAnsi" w:eastAsia="Times New Roman" w:hAnsiTheme="majorHAnsi" w:cstheme="majorHAnsi"/>
        </w:rPr>
        <w:t xml:space="preserve"> and lack of knowledge</w:t>
      </w:r>
      <w:r w:rsidRPr="001141DF">
        <w:rPr>
          <w:rFonts w:asciiTheme="majorHAnsi" w:eastAsia="Times New Roman" w:hAnsiTheme="majorHAnsi" w:cstheme="majorHAnsi"/>
        </w:rPr>
        <w:t xml:space="preserve">. The existing legal groups possessing expertise in this space charge $125,000 to $250,000 for corporate structuring and general counsel for upcoming token sales. Though these firms are aiming to create a higher standard, Bridge believes it has done the opposite and created unnecessary cost barriers, restricted many entrepreneurs, and lined attorneys’ pockets. </w:t>
      </w:r>
    </w:p>
    <w:p w14:paraId="56C125BE" w14:textId="77777777" w:rsidR="00752243" w:rsidRPr="001141DF" w:rsidRDefault="00752243" w:rsidP="00E340E1">
      <w:pPr>
        <w:spacing w:line="360" w:lineRule="auto"/>
        <w:jc w:val="both"/>
        <w:rPr>
          <w:rFonts w:asciiTheme="majorHAnsi" w:eastAsia="Times New Roman" w:hAnsiTheme="majorHAnsi" w:cstheme="majorHAnsi"/>
        </w:rPr>
      </w:pPr>
    </w:p>
    <w:p w14:paraId="0E8B8577" w14:textId="38C49C39"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creation of the Simple Agreement for Future Tokens (SAFT) was modeled off prior </w:t>
      </w:r>
      <w:r w:rsidR="00550207" w:rsidRPr="001141DF">
        <w:rPr>
          <w:rFonts w:asciiTheme="majorHAnsi" w:eastAsia="Times New Roman" w:hAnsiTheme="majorHAnsi" w:cstheme="majorHAnsi"/>
        </w:rPr>
        <w:t>securities</w:t>
      </w:r>
      <w:r w:rsidRPr="001141DF">
        <w:rPr>
          <w:rFonts w:asciiTheme="majorHAnsi" w:eastAsia="Times New Roman" w:hAnsiTheme="majorHAnsi" w:cstheme="majorHAnsi"/>
        </w:rPr>
        <w:t xml:space="preserve"> agreements as a precautionary measure, but doesn’t solve some the underlying problems which revolve around Know-Your-Customer (KYC) identity verification and cost. Traditional KYC has cost our clients from $30,000 - $50,000 to verify basic identities</w:t>
      </w:r>
      <w:r w:rsidR="001B11D4" w:rsidRPr="001141DF">
        <w:rPr>
          <w:rFonts w:asciiTheme="majorHAnsi" w:eastAsia="Times New Roman" w:hAnsiTheme="majorHAnsi" w:cstheme="majorHAnsi"/>
        </w:rPr>
        <w:t>,</w:t>
      </w:r>
      <w:r w:rsidRPr="001141DF">
        <w:rPr>
          <w:rFonts w:asciiTheme="majorHAnsi" w:eastAsia="Times New Roman" w:hAnsiTheme="majorHAnsi" w:cstheme="majorHAnsi"/>
        </w:rPr>
        <w:t xml:space="preserve"> which then need to be re-verified </w:t>
      </w:r>
      <w:r w:rsidR="00D54998" w:rsidRPr="001141DF">
        <w:rPr>
          <w:rFonts w:asciiTheme="majorHAnsi" w:eastAsia="Times New Roman" w:hAnsiTheme="majorHAnsi" w:cstheme="majorHAnsi"/>
        </w:rPr>
        <w:t>in each individual ICO</w:t>
      </w:r>
      <w:r w:rsidRPr="001141DF">
        <w:rPr>
          <w:rFonts w:asciiTheme="majorHAnsi" w:eastAsia="Times New Roman" w:hAnsiTheme="majorHAnsi" w:cstheme="majorHAnsi"/>
        </w:rPr>
        <w:t xml:space="preserve">. Data exchange in this manner </w:t>
      </w:r>
      <w:r w:rsidR="001B11D4" w:rsidRPr="001141DF">
        <w:rPr>
          <w:rFonts w:asciiTheme="majorHAnsi" w:eastAsia="Times New Roman" w:hAnsiTheme="majorHAnsi" w:cstheme="majorHAnsi"/>
        </w:rPr>
        <w:t xml:space="preserve">is cumbersome and raises the risk of </w:t>
      </w:r>
      <w:r w:rsidRPr="001141DF">
        <w:rPr>
          <w:rFonts w:asciiTheme="majorHAnsi" w:eastAsia="Times New Roman" w:hAnsiTheme="majorHAnsi" w:cstheme="majorHAnsi"/>
        </w:rPr>
        <w:t>consumer</w:t>
      </w:r>
      <w:r w:rsidR="001B11D4" w:rsidRPr="001141DF">
        <w:rPr>
          <w:rFonts w:asciiTheme="majorHAnsi" w:eastAsia="Times New Roman" w:hAnsiTheme="majorHAnsi" w:cstheme="majorHAnsi"/>
        </w:rPr>
        <w:t xml:space="preserve"> data being compromised</w:t>
      </w:r>
      <w:r w:rsidR="00D54998" w:rsidRPr="001141DF">
        <w:rPr>
          <w:rFonts w:asciiTheme="majorHAnsi" w:eastAsia="Times New Roman" w:hAnsiTheme="majorHAnsi" w:cstheme="majorHAnsi"/>
        </w:rPr>
        <w:t>. Many ICO teams</w:t>
      </w:r>
      <w:r w:rsidRPr="001141DF">
        <w:rPr>
          <w:rFonts w:asciiTheme="majorHAnsi" w:eastAsia="Times New Roman" w:hAnsiTheme="majorHAnsi" w:cstheme="majorHAnsi"/>
        </w:rPr>
        <w:t xml:space="preserve"> are using in-house computer systems to store a participant’s </w:t>
      </w:r>
      <w:r w:rsidR="001B11D4" w:rsidRPr="001141DF">
        <w:rPr>
          <w:rFonts w:asciiTheme="majorHAnsi" w:eastAsia="Times New Roman" w:hAnsiTheme="majorHAnsi" w:cstheme="majorHAnsi"/>
        </w:rPr>
        <w:t>confidential data</w:t>
      </w:r>
      <w:r w:rsidRPr="001141DF">
        <w:rPr>
          <w:rFonts w:asciiTheme="majorHAnsi" w:eastAsia="Times New Roman" w:hAnsiTheme="majorHAnsi" w:cstheme="majorHAnsi"/>
        </w:rPr>
        <w:t xml:space="preserve">, while providing </w:t>
      </w:r>
      <w:r w:rsidR="00014B5C" w:rsidRPr="001141DF">
        <w:rPr>
          <w:rFonts w:asciiTheme="majorHAnsi" w:eastAsia="Times New Roman" w:hAnsiTheme="majorHAnsi" w:cstheme="majorHAnsi"/>
        </w:rPr>
        <w:t xml:space="preserve">limited or no protections whatsoever. </w:t>
      </w:r>
    </w:p>
    <w:p w14:paraId="5009430B" w14:textId="77777777" w:rsidR="00E340E1" w:rsidRPr="001141DF" w:rsidRDefault="00E340E1" w:rsidP="00E340E1">
      <w:pPr>
        <w:spacing w:line="360" w:lineRule="auto"/>
        <w:jc w:val="both"/>
        <w:rPr>
          <w:rFonts w:asciiTheme="majorHAnsi" w:eastAsia="Times New Roman" w:hAnsiTheme="majorHAnsi" w:cstheme="majorHAnsi"/>
        </w:rPr>
      </w:pPr>
    </w:p>
    <w:p w14:paraId="25C41F93" w14:textId="7B3A7533" w:rsidR="0012307F" w:rsidRPr="001141DF" w:rsidRDefault="00971653"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In addition, t</w:t>
      </w:r>
      <w:r w:rsidR="007D2739" w:rsidRPr="001141DF">
        <w:rPr>
          <w:rFonts w:asciiTheme="majorHAnsi" w:eastAsia="Times New Roman" w:hAnsiTheme="majorHAnsi" w:cstheme="majorHAnsi"/>
        </w:rPr>
        <w:t>hese processes are still using traditional business models</w:t>
      </w:r>
      <w:r w:rsidR="001B11D4" w:rsidRPr="001141DF">
        <w:rPr>
          <w:rFonts w:asciiTheme="majorHAnsi" w:eastAsia="Times New Roman" w:hAnsiTheme="majorHAnsi" w:cstheme="majorHAnsi"/>
        </w:rPr>
        <w:t>, systems</w:t>
      </w:r>
      <w:r w:rsidR="007D2739" w:rsidRPr="001141DF">
        <w:rPr>
          <w:rFonts w:asciiTheme="majorHAnsi" w:eastAsia="Times New Roman" w:hAnsiTheme="majorHAnsi" w:cstheme="majorHAnsi"/>
        </w:rPr>
        <w:t xml:space="preserve"> and fees</w:t>
      </w:r>
      <w:r w:rsidRPr="001141DF">
        <w:rPr>
          <w:rFonts w:asciiTheme="majorHAnsi" w:eastAsia="Times New Roman" w:hAnsiTheme="majorHAnsi" w:cstheme="majorHAnsi"/>
        </w:rPr>
        <w:t>.</w:t>
      </w:r>
      <w:r w:rsidR="007D2739" w:rsidRPr="001141DF">
        <w:rPr>
          <w:rFonts w:asciiTheme="majorHAnsi" w:eastAsia="Times New Roman" w:hAnsiTheme="majorHAnsi" w:cstheme="majorHAnsi"/>
        </w:rPr>
        <w:t xml:space="preserve"> </w:t>
      </w:r>
      <w:r w:rsidRPr="001141DF">
        <w:rPr>
          <w:rFonts w:asciiTheme="majorHAnsi" w:eastAsia="Times New Roman" w:hAnsiTheme="majorHAnsi" w:cstheme="majorHAnsi"/>
        </w:rPr>
        <w:t>Until now, companies</w:t>
      </w:r>
      <w:r w:rsidR="00071925" w:rsidRPr="001141DF">
        <w:rPr>
          <w:rFonts w:asciiTheme="majorHAnsi" w:eastAsia="Times New Roman" w:hAnsiTheme="majorHAnsi" w:cstheme="majorHAnsi"/>
        </w:rPr>
        <w:t xml:space="preserve"> in this space</w:t>
      </w:r>
      <w:r w:rsidRPr="001141DF">
        <w:rPr>
          <w:rFonts w:asciiTheme="majorHAnsi" w:eastAsia="Times New Roman" w:hAnsiTheme="majorHAnsi" w:cstheme="majorHAnsi"/>
        </w:rPr>
        <w:t xml:space="preserve"> have </w:t>
      </w:r>
      <w:r w:rsidR="00071925" w:rsidRPr="001141DF">
        <w:rPr>
          <w:rFonts w:asciiTheme="majorHAnsi" w:eastAsia="Times New Roman" w:hAnsiTheme="majorHAnsi" w:cstheme="majorHAnsi"/>
        </w:rPr>
        <w:t>failed to</w:t>
      </w:r>
      <w:r w:rsidRPr="001141DF">
        <w:rPr>
          <w:rFonts w:asciiTheme="majorHAnsi" w:eastAsia="Times New Roman" w:hAnsiTheme="majorHAnsi" w:cstheme="majorHAnsi"/>
        </w:rPr>
        <w:t xml:space="preserve"> </w:t>
      </w:r>
      <w:r w:rsidR="00071925" w:rsidRPr="001141DF">
        <w:rPr>
          <w:rFonts w:asciiTheme="majorHAnsi" w:eastAsia="Times New Roman" w:hAnsiTheme="majorHAnsi" w:cstheme="majorHAnsi"/>
        </w:rPr>
        <w:t>utilize</w:t>
      </w:r>
      <w:r w:rsidRPr="001141DF">
        <w:rPr>
          <w:rFonts w:asciiTheme="majorHAnsi" w:eastAsia="Times New Roman" w:hAnsiTheme="majorHAnsi" w:cstheme="majorHAnsi"/>
        </w:rPr>
        <w:t xml:space="preserve"> the blockchain to protect </w:t>
      </w:r>
      <w:r w:rsidR="00071925" w:rsidRPr="001141DF">
        <w:rPr>
          <w:rFonts w:asciiTheme="majorHAnsi" w:eastAsia="Times New Roman" w:hAnsiTheme="majorHAnsi" w:cstheme="majorHAnsi"/>
        </w:rPr>
        <w:t>their customers and reduce fees.</w:t>
      </w:r>
    </w:p>
    <w:p w14:paraId="22EA277C" w14:textId="77777777" w:rsidR="0012307F" w:rsidRPr="001141DF" w:rsidRDefault="007D2739" w:rsidP="00B04AF8">
      <w:pPr>
        <w:pBdr>
          <w:bottom w:val="single" w:sz="4" w:space="1" w:color="2FA3EE"/>
        </w:pBdr>
        <w:spacing w:before="400" w:after="40"/>
        <w:jc w:val="both"/>
        <w:outlineLvl w:val="0"/>
        <w:rPr>
          <w:rStyle w:val="IntenseReference"/>
          <w:rFonts w:asciiTheme="majorHAnsi" w:hAnsiTheme="majorHAnsi" w:cstheme="majorHAnsi"/>
          <w:color w:val="auto"/>
          <w:sz w:val="40"/>
          <w:szCs w:val="40"/>
        </w:rPr>
      </w:pPr>
      <w:bookmarkStart w:id="3" w:name="_Toc504511281"/>
      <w:r w:rsidRPr="001141DF">
        <w:rPr>
          <w:rStyle w:val="IntenseReference"/>
          <w:rFonts w:asciiTheme="majorHAnsi" w:hAnsiTheme="majorHAnsi" w:cstheme="majorHAnsi"/>
          <w:color w:val="auto"/>
          <w:sz w:val="40"/>
          <w:szCs w:val="40"/>
        </w:rPr>
        <w:lastRenderedPageBreak/>
        <w:t>THE BRIDGE PROTOCOL</w:t>
      </w:r>
      <w:bookmarkEnd w:id="3"/>
    </w:p>
    <w:p w14:paraId="2B78D1E9" w14:textId="77777777" w:rsidR="0012307F" w:rsidRPr="001141DF" w:rsidRDefault="0012307F" w:rsidP="00E340E1">
      <w:pPr>
        <w:spacing w:line="360" w:lineRule="auto"/>
        <w:ind w:firstLine="720"/>
        <w:jc w:val="both"/>
        <w:rPr>
          <w:rFonts w:asciiTheme="majorHAnsi" w:eastAsia="Times New Roman" w:hAnsiTheme="majorHAnsi" w:cstheme="majorHAnsi"/>
        </w:rPr>
      </w:pPr>
    </w:p>
    <w:p w14:paraId="0818EAD5" w14:textId="77777777" w:rsidR="002F5728"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Bridge Protocol Corporation </w:t>
      </w:r>
      <w:r w:rsidR="005F5ECB" w:rsidRPr="001141DF">
        <w:rPr>
          <w:rFonts w:asciiTheme="majorHAnsi" w:eastAsia="Times New Roman" w:hAnsiTheme="majorHAnsi" w:cstheme="majorHAnsi"/>
        </w:rPr>
        <w:t>is</w:t>
      </w:r>
      <w:r w:rsidR="001C1053" w:rsidRPr="001141DF">
        <w:rPr>
          <w:rFonts w:asciiTheme="majorHAnsi" w:eastAsia="Times New Roman" w:hAnsiTheme="majorHAnsi" w:cstheme="majorHAnsi"/>
        </w:rPr>
        <w:t xml:space="preserve"> implementing a microservices architecture </w:t>
      </w:r>
      <w:r w:rsidR="005F5ECB" w:rsidRPr="001141DF">
        <w:rPr>
          <w:rFonts w:asciiTheme="majorHAnsi" w:eastAsia="Times New Roman" w:hAnsiTheme="majorHAnsi" w:cstheme="majorHAnsi"/>
        </w:rPr>
        <w:t xml:space="preserve">for business applications that uses the blockchain for management of </w:t>
      </w:r>
      <w:r w:rsidR="002F5728" w:rsidRPr="001141DF">
        <w:rPr>
          <w:rFonts w:asciiTheme="majorHAnsi" w:eastAsia="Times New Roman" w:hAnsiTheme="majorHAnsi" w:cstheme="majorHAnsi"/>
        </w:rPr>
        <w:t>activities relating to smart contracts, services and general logic processing on its network</w:t>
      </w:r>
      <w:r w:rsidR="005F5ECB" w:rsidRPr="001141DF">
        <w:rPr>
          <w:rFonts w:asciiTheme="majorHAnsi" w:eastAsia="Times New Roman" w:hAnsiTheme="majorHAnsi" w:cstheme="majorHAnsi"/>
        </w:rPr>
        <w:t xml:space="preserve">. </w:t>
      </w:r>
    </w:p>
    <w:p w14:paraId="51658B9A" w14:textId="77777777" w:rsidR="002F5728" w:rsidRPr="001141DF" w:rsidRDefault="002F5728" w:rsidP="00E340E1">
      <w:pPr>
        <w:spacing w:line="360" w:lineRule="auto"/>
        <w:ind w:firstLine="720"/>
        <w:jc w:val="both"/>
        <w:rPr>
          <w:rFonts w:asciiTheme="majorHAnsi" w:eastAsia="Times New Roman" w:hAnsiTheme="majorHAnsi" w:cstheme="majorHAnsi"/>
        </w:rPr>
      </w:pPr>
    </w:p>
    <w:p w14:paraId="074ABABF" w14:textId="0AE34F44" w:rsidR="001C1053" w:rsidRPr="001141DF" w:rsidRDefault="005F5ECB"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A microservices-based architecture will promote continuous development of applications available on the Protocol, </w:t>
      </w:r>
      <w:r w:rsidR="002F5728" w:rsidRPr="001141DF">
        <w:rPr>
          <w:rFonts w:asciiTheme="majorHAnsi" w:eastAsia="Times New Roman" w:hAnsiTheme="majorHAnsi" w:cstheme="majorHAnsi"/>
        </w:rPr>
        <w:t xml:space="preserve">consistently enhancing service granularity </w:t>
      </w:r>
      <w:r w:rsidR="00940F37" w:rsidRPr="001141DF">
        <w:rPr>
          <w:rFonts w:asciiTheme="majorHAnsi" w:eastAsia="Times New Roman" w:hAnsiTheme="majorHAnsi" w:cstheme="majorHAnsi"/>
        </w:rPr>
        <w:t>to</w:t>
      </w:r>
      <w:r w:rsidR="002F5728" w:rsidRPr="001141DF">
        <w:rPr>
          <w:rFonts w:asciiTheme="majorHAnsi" w:eastAsia="Times New Roman" w:hAnsiTheme="majorHAnsi" w:cstheme="majorHAnsi"/>
        </w:rPr>
        <w:t xml:space="preserve"> provide a robust marketplace </w:t>
      </w:r>
      <w:r w:rsidR="00133234" w:rsidRPr="001141DF">
        <w:rPr>
          <w:rFonts w:asciiTheme="majorHAnsi" w:eastAsia="Times New Roman" w:hAnsiTheme="majorHAnsi" w:cstheme="majorHAnsi"/>
        </w:rPr>
        <w:t>for businesses. Through this principle, Bridge will create an environment where cross-blockchain interface development can take place and be rapidly deployable, modular and trusted.</w:t>
      </w:r>
    </w:p>
    <w:p w14:paraId="53326DDA" w14:textId="1F9CDB82" w:rsidR="005F5ECB" w:rsidRPr="001141DF" w:rsidRDefault="00133234"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ab/>
      </w:r>
    </w:p>
    <w:p w14:paraId="03B0B434" w14:textId="10708EDD" w:rsidR="00133234" w:rsidRPr="001141DF" w:rsidRDefault="00133234" w:rsidP="00E340E1">
      <w:pPr>
        <w:spacing w:line="360" w:lineRule="auto"/>
        <w:jc w:val="both"/>
        <w:rPr>
          <w:rFonts w:asciiTheme="majorHAnsi" w:hAnsiTheme="majorHAnsi" w:cstheme="majorHAnsi"/>
        </w:rPr>
      </w:pPr>
      <w:r w:rsidRPr="001141DF">
        <w:rPr>
          <w:rFonts w:asciiTheme="majorHAnsi" w:eastAsia="Times New Roman" w:hAnsiTheme="majorHAnsi" w:cstheme="majorHAnsi"/>
        </w:rPr>
        <w:t xml:space="preserve">The Corporation will operate as a Certificate Authority on a Blockchain. The Protocol </w:t>
      </w:r>
      <w:r w:rsidR="00922492" w:rsidRPr="001141DF">
        <w:rPr>
          <w:rFonts w:asciiTheme="majorHAnsi" w:eastAsia="Times New Roman" w:hAnsiTheme="majorHAnsi" w:cstheme="majorHAnsi"/>
        </w:rPr>
        <w:t>is designed</w:t>
      </w:r>
      <w:r w:rsidRPr="001141DF">
        <w:rPr>
          <w:rFonts w:asciiTheme="majorHAnsi" w:eastAsia="Times New Roman" w:hAnsiTheme="majorHAnsi" w:cstheme="majorHAnsi"/>
        </w:rPr>
        <w:t xml:space="preserve"> to provide identification services that have high assurance, portability and broad application. This first service </w:t>
      </w:r>
      <w:r w:rsidR="00922492" w:rsidRPr="001141DF">
        <w:rPr>
          <w:rFonts w:asciiTheme="majorHAnsi" w:eastAsia="Times New Roman" w:hAnsiTheme="majorHAnsi" w:cstheme="majorHAnsi"/>
        </w:rPr>
        <w:t xml:space="preserve">offered </w:t>
      </w:r>
      <w:r w:rsidRPr="001141DF">
        <w:rPr>
          <w:rFonts w:asciiTheme="majorHAnsi" w:eastAsia="Times New Roman" w:hAnsiTheme="majorHAnsi" w:cstheme="majorHAnsi"/>
        </w:rPr>
        <w:t>will foster growth in the Bridge marketplace and address those issues previously highlighted in this document.</w:t>
      </w:r>
    </w:p>
    <w:p w14:paraId="5F9DDC32" w14:textId="75D190E6" w:rsidR="00133234" w:rsidRPr="001141DF" w:rsidRDefault="00133234" w:rsidP="00E340E1">
      <w:pPr>
        <w:spacing w:line="360" w:lineRule="auto"/>
        <w:jc w:val="both"/>
        <w:rPr>
          <w:rFonts w:asciiTheme="majorHAnsi" w:eastAsia="Times New Roman" w:hAnsiTheme="majorHAnsi" w:cstheme="majorHAnsi"/>
        </w:rPr>
      </w:pPr>
    </w:p>
    <w:p w14:paraId="677B8ABD" w14:textId="691ED6E1" w:rsidR="00E340E1"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The NEO blockchain has been chosen for its observance of existing standards</w:t>
      </w:r>
      <w:r w:rsidR="00705441" w:rsidRPr="001141DF">
        <w:rPr>
          <w:rFonts w:asciiTheme="majorHAnsi" w:eastAsia="Times New Roman" w:hAnsiTheme="majorHAnsi" w:cstheme="majorHAnsi"/>
        </w:rPr>
        <w:t xml:space="preserve"> and the development potential it offers Bridge </w:t>
      </w:r>
      <w:r w:rsidR="0085405D" w:rsidRPr="001141DF">
        <w:rPr>
          <w:rFonts w:asciiTheme="majorHAnsi" w:eastAsia="Times New Roman" w:hAnsiTheme="majorHAnsi" w:cstheme="majorHAnsi"/>
        </w:rPr>
        <w:t>in</w:t>
      </w:r>
      <w:r w:rsidRPr="001141DF">
        <w:rPr>
          <w:rFonts w:asciiTheme="majorHAnsi" w:eastAsia="Times New Roman" w:hAnsiTheme="majorHAnsi" w:cstheme="majorHAnsi"/>
        </w:rPr>
        <w:t xml:space="preserve"> establish</w:t>
      </w:r>
      <w:r w:rsidR="0085405D" w:rsidRPr="001141DF">
        <w:rPr>
          <w:rFonts w:asciiTheme="majorHAnsi" w:eastAsia="Times New Roman" w:hAnsiTheme="majorHAnsi" w:cstheme="majorHAnsi"/>
        </w:rPr>
        <w:t xml:space="preserve">ing </w:t>
      </w:r>
      <w:r w:rsidR="00705441" w:rsidRPr="001141DF">
        <w:rPr>
          <w:rFonts w:asciiTheme="majorHAnsi" w:eastAsia="Times New Roman" w:hAnsiTheme="majorHAnsi" w:cstheme="majorHAnsi"/>
        </w:rPr>
        <w:t xml:space="preserve">a </w:t>
      </w:r>
      <w:r w:rsidRPr="001141DF">
        <w:rPr>
          <w:rFonts w:asciiTheme="majorHAnsi" w:eastAsia="Times New Roman" w:hAnsiTheme="majorHAnsi" w:cstheme="majorHAnsi"/>
        </w:rPr>
        <w:t>Public Key Infrastructure (PKI)</w:t>
      </w:r>
      <w:r w:rsidR="004A3C0D" w:rsidRPr="001141DF">
        <w:rPr>
          <w:rFonts w:asciiTheme="majorHAnsi" w:eastAsia="Times New Roman" w:hAnsiTheme="majorHAnsi" w:cstheme="majorHAnsi"/>
        </w:rPr>
        <w:t xml:space="preserve"> </w:t>
      </w:r>
      <w:r w:rsidR="00705441" w:rsidRPr="001141DF">
        <w:rPr>
          <w:rFonts w:asciiTheme="majorHAnsi" w:eastAsia="Times New Roman" w:hAnsiTheme="majorHAnsi" w:cstheme="majorHAnsi"/>
        </w:rPr>
        <w:t>for its userbase.</w:t>
      </w:r>
      <w:r w:rsidRPr="001141DF">
        <w:rPr>
          <w:rFonts w:asciiTheme="majorHAnsi" w:eastAsia="Times New Roman" w:hAnsiTheme="majorHAnsi" w:cstheme="majorHAnsi"/>
        </w:rPr>
        <w:t xml:space="preserve"> The NEO blockchain </w:t>
      </w:r>
      <w:r w:rsidR="000121B6" w:rsidRPr="001141DF">
        <w:rPr>
          <w:rFonts w:asciiTheme="majorHAnsi" w:eastAsia="Times New Roman" w:hAnsiTheme="majorHAnsi" w:cstheme="majorHAnsi"/>
        </w:rPr>
        <w:t>will</w:t>
      </w:r>
      <w:r w:rsidRPr="001141DF">
        <w:rPr>
          <w:rFonts w:asciiTheme="majorHAnsi" w:eastAsia="Times New Roman" w:hAnsiTheme="majorHAnsi" w:cstheme="majorHAnsi"/>
        </w:rPr>
        <w:t xml:space="preserve"> </w:t>
      </w:r>
      <w:r w:rsidR="000121B6" w:rsidRPr="001141DF">
        <w:rPr>
          <w:rFonts w:asciiTheme="majorHAnsi" w:eastAsia="Times New Roman" w:hAnsiTheme="majorHAnsi" w:cstheme="majorHAnsi"/>
        </w:rPr>
        <w:t>support</w:t>
      </w:r>
      <w:r w:rsidRPr="001141DF">
        <w:rPr>
          <w:rFonts w:asciiTheme="majorHAnsi" w:eastAsia="Times New Roman" w:hAnsiTheme="majorHAnsi" w:cstheme="majorHAnsi"/>
        </w:rPr>
        <w:t xml:space="preserve"> a set of Internet Engineering Task Force (IETF) X.509</w:t>
      </w:r>
      <w:r w:rsidR="00E44166" w:rsidRPr="001141DF">
        <w:rPr>
          <w:rFonts w:asciiTheme="majorHAnsi" w:eastAsia="Times New Roman" w:hAnsiTheme="majorHAnsi" w:cstheme="majorHAnsi"/>
        </w:rPr>
        <w:t xml:space="preserve"> </w:t>
      </w:r>
      <w:r w:rsidRPr="001141DF">
        <w:rPr>
          <w:rFonts w:asciiTheme="majorHAnsi" w:eastAsia="Times New Roman" w:hAnsiTheme="majorHAnsi" w:cstheme="majorHAnsi"/>
        </w:rPr>
        <w:t>compatible digital identity standards</w:t>
      </w:r>
      <w:r w:rsidR="00705441" w:rsidRPr="001141DF">
        <w:rPr>
          <w:rFonts w:asciiTheme="majorHAnsi" w:eastAsia="Times New Roman" w:hAnsiTheme="majorHAnsi" w:cstheme="majorHAnsi"/>
        </w:rPr>
        <w:t xml:space="preserve">, as well as providing a blockchain-based Online Certificate Status Protocol (OCSP) to manage and record the X.509 Certificate Revocation List (CRL). </w:t>
      </w:r>
    </w:p>
    <w:p w14:paraId="4A65497F" w14:textId="77777777" w:rsidR="00E340E1" w:rsidRPr="001141DF" w:rsidRDefault="00E340E1" w:rsidP="00E340E1">
      <w:pPr>
        <w:spacing w:line="360" w:lineRule="auto"/>
        <w:jc w:val="both"/>
        <w:rPr>
          <w:rFonts w:asciiTheme="majorHAnsi" w:eastAsia="Times New Roman" w:hAnsiTheme="majorHAnsi" w:cstheme="majorHAnsi"/>
        </w:rPr>
      </w:pPr>
    </w:p>
    <w:p w14:paraId="174C1698" w14:textId="3339C5C8" w:rsidR="00940F37"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Bridge Protocol will contribute to this development and further these efforts by implementing a certification path validation algorithm </w:t>
      </w:r>
      <w:r w:rsidR="00705441" w:rsidRPr="001141DF">
        <w:rPr>
          <w:rFonts w:asciiTheme="majorHAnsi" w:eastAsia="Times New Roman" w:hAnsiTheme="majorHAnsi" w:cstheme="majorHAnsi"/>
        </w:rPr>
        <w:t>to</w:t>
      </w:r>
      <w:r w:rsidRPr="001141DF">
        <w:rPr>
          <w:rFonts w:asciiTheme="majorHAnsi" w:eastAsia="Times New Roman" w:hAnsiTheme="majorHAnsi" w:cstheme="majorHAnsi"/>
        </w:rPr>
        <w:t xml:space="preserve"> </w:t>
      </w:r>
      <w:r w:rsidR="00705441" w:rsidRPr="001141DF">
        <w:rPr>
          <w:rFonts w:asciiTheme="majorHAnsi" w:eastAsia="Times New Roman" w:hAnsiTheme="majorHAnsi" w:cstheme="majorHAnsi"/>
        </w:rPr>
        <w:t>build</w:t>
      </w:r>
      <w:r w:rsidRPr="001141DF">
        <w:rPr>
          <w:rFonts w:asciiTheme="majorHAnsi" w:eastAsia="Times New Roman" w:hAnsiTheme="majorHAnsi" w:cstheme="majorHAnsi"/>
        </w:rPr>
        <w:t xml:space="preserve"> the trust network through intermediate </w:t>
      </w:r>
      <w:r w:rsidR="00705441" w:rsidRPr="001141DF">
        <w:rPr>
          <w:rFonts w:asciiTheme="majorHAnsi" w:eastAsia="Times New Roman" w:hAnsiTheme="majorHAnsi" w:cstheme="majorHAnsi"/>
        </w:rPr>
        <w:t>authorities,</w:t>
      </w:r>
      <w:r w:rsidR="000121B6" w:rsidRPr="001141DF">
        <w:rPr>
          <w:rFonts w:asciiTheme="majorHAnsi" w:eastAsia="Times New Roman" w:hAnsiTheme="majorHAnsi" w:cstheme="majorHAnsi"/>
        </w:rPr>
        <w:t xml:space="preserve"> so business applications can be realized</w:t>
      </w:r>
      <w:r w:rsidR="00705441" w:rsidRPr="001141DF">
        <w:rPr>
          <w:rFonts w:asciiTheme="majorHAnsi" w:eastAsia="Times New Roman" w:hAnsiTheme="majorHAnsi" w:cstheme="majorHAnsi"/>
        </w:rPr>
        <w:t xml:space="preserve"> on a vast scale</w:t>
      </w:r>
      <w:r w:rsidR="000121B6" w:rsidRPr="001141DF">
        <w:rPr>
          <w:rFonts w:asciiTheme="majorHAnsi" w:eastAsia="Times New Roman" w:hAnsiTheme="majorHAnsi" w:cstheme="majorHAnsi"/>
        </w:rPr>
        <w:t>.</w:t>
      </w:r>
      <w:r w:rsidR="000121B6" w:rsidRPr="001141DF">
        <w:rPr>
          <w:rFonts w:asciiTheme="majorHAnsi" w:hAnsiTheme="majorHAnsi" w:cstheme="majorHAnsi"/>
        </w:rPr>
        <w:t xml:space="preserve"> </w:t>
      </w:r>
    </w:p>
    <w:p w14:paraId="48DDA6EA" w14:textId="77777777" w:rsidR="00F36B71" w:rsidRPr="001141DF" w:rsidRDefault="00F36B71" w:rsidP="00E340E1">
      <w:pPr>
        <w:spacing w:line="360" w:lineRule="auto"/>
        <w:ind w:firstLine="720"/>
        <w:jc w:val="both"/>
        <w:rPr>
          <w:rFonts w:asciiTheme="majorHAnsi" w:eastAsia="Times New Roman" w:hAnsiTheme="majorHAnsi" w:cstheme="majorHAnsi"/>
        </w:rPr>
      </w:pPr>
    </w:p>
    <w:p w14:paraId="378B7B5A" w14:textId="18D6CB1D" w:rsidR="00C778AD" w:rsidRPr="001141DF" w:rsidRDefault="00922492" w:rsidP="00E340E1">
      <w:pPr>
        <w:spacing w:line="360" w:lineRule="auto"/>
        <w:jc w:val="both"/>
        <w:rPr>
          <w:rFonts w:asciiTheme="majorHAnsi" w:hAnsiTheme="majorHAnsi" w:cstheme="majorHAnsi"/>
        </w:rPr>
      </w:pPr>
      <w:r w:rsidRPr="001141DF">
        <w:rPr>
          <w:rFonts w:asciiTheme="majorHAnsi" w:eastAsia="Times New Roman" w:hAnsiTheme="majorHAnsi" w:cstheme="majorHAnsi"/>
        </w:rPr>
        <w:t xml:space="preserve">The </w:t>
      </w:r>
      <w:r w:rsidR="001C1053" w:rsidRPr="001141DF">
        <w:rPr>
          <w:rFonts w:asciiTheme="majorHAnsi" w:eastAsia="Times New Roman" w:hAnsiTheme="majorHAnsi" w:cstheme="majorHAnsi"/>
        </w:rPr>
        <w:t>Bridge</w:t>
      </w:r>
      <w:r w:rsidRPr="001141DF">
        <w:rPr>
          <w:rFonts w:asciiTheme="majorHAnsi" w:eastAsia="Times New Roman" w:hAnsiTheme="majorHAnsi" w:cstheme="majorHAnsi"/>
        </w:rPr>
        <w:t xml:space="preserve"> Identity Management System </w:t>
      </w:r>
      <w:r w:rsidR="00F47A23" w:rsidRPr="001141DF">
        <w:rPr>
          <w:rFonts w:asciiTheme="majorHAnsi" w:eastAsia="Times New Roman" w:hAnsiTheme="majorHAnsi" w:cstheme="majorHAnsi"/>
        </w:rPr>
        <w:t>(</w:t>
      </w:r>
      <w:proofErr w:type="spellStart"/>
      <w:r w:rsidR="00F47A23" w:rsidRPr="001141DF">
        <w:rPr>
          <w:rFonts w:asciiTheme="majorHAnsi" w:eastAsia="Times New Roman" w:hAnsiTheme="majorHAnsi" w:cstheme="majorHAnsi"/>
        </w:rPr>
        <w:t>bIMS</w:t>
      </w:r>
      <w:proofErr w:type="spellEnd"/>
      <w:r w:rsidR="00F47A23" w:rsidRPr="001141DF">
        <w:rPr>
          <w:rFonts w:asciiTheme="majorHAnsi" w:eastAsia="Times New Roman" w:hAnsiTheme="majorHAnsi" w:cstheme="majorHAnsi"/>
        </w:rPr>
        <w:t xml:space="preserve">) </w:t>
      </w:r>
      <w:r w:rsidR="008F5070" w:rsidRPr="001141DF">
        <w:rPr>
          <w:rFonts w:asciiTheme="majorHAnsi" w:eastAsia="Times New Roman" w:hAnsiTheme="majorHAnsi" w:cstheme="majorHAnsi"/>
        </w:rPr>
        <w:t xml:space="preserve">will issue </w:t>
      </w:r>
      <w:r w:rsidR="00256008" w:rsidRPr="001141DF">
        <w:rPr>
          <w:rFonts w:asciiTheme="majorHAnsi" w:eastAsia="Times New Roman" w:hAnsiTheme="majorHAnsi" w:cstheme="majorHAnsi"/>
        </w:rPr>
        <w:t>certificates</w:t>
      </w:r>
      <w:r w:rsidR="008F5070" w:rsidRPr="001141DF">
        <w:rPr>
          <w:rFonts w:asciiTheme="majorHAnsi" w:eastAsia="Times New Roman" w:hAnsiTheme="majorHAnsi" w:cstheme="majorHAnsi"/>
        </w:rPr>
        <w:t xml:space="preserve"> </w:t>
      </w:r>
      <w:r w:rsidR="00256008" w:rsidRPr="001141DF">
        <w:rPr>
          <w:rFonts w:asciiTheme="majorHAnsi" w:eastAsia="Times New Roman" w:hAnsiTheme="majorHAnsi" w:cstheme="majorHAnsi"/>
        </w:rPr>
        <w:t>observant to</w:t>
      </w:r>
      <w:r w:rsidR="008F5070" w:rsidRPr="001141DF">
        <w:rPr>
          <w:rFonts w:asciiTheme="majorHAnsi" w:eastAsia="Times New Roman" w:hAnsiTheme="majorHAnsi" w:cstheme="majorHAnsi"/>
        </w:rPr>
        <w:t xml:space="preserve"> </w:t>
      </w:r>
      <w:r w:rsidR="0059030E" w:rsidRPr="001141DF">
        <w:rPr>
          <w:rFonts w:asciiTheme="majorHAnsi" w:eastAsia="Times New Roman" w:hAnsiTheme="majorHAnsi" w:cstheme="majorHAnsi"/>
        </w:rPr>
        <w:t>X.509 formatting standards, while</w:t>
      </w:r>
      <w:r w:rsidR="001C1053" w:rsidRPr="001141DF">
        <w:rPr>
          <w:rFonts w:asciiTheme="majorHAnsi" w:eastAsia="Times New Roman" w:hAnsiTheme="majorHAnsi" w:cstheme="majorHAnsi"/>
        </w:rPr>
        <w:t xml:space="preserve"> </w:t>
      </w:r>
      <w:r w:rsidR="0059030E" w:rsidRPr="001141DF">
        <w:rPr>
          <w:rFonts w:asciiTheme="majorHAnsi" w:eastAsia="Times New Roman" w:hAnsiTheme="majorHAnsi" w:cstheme="majorHAnsi"/>
        </w:rPr>
        <w:t>providing extensions</w:t>
      </w:r>
      <w:r w:rsidR="00313CBD" w:rsidRPr="001141DF">
        <w:rPr>
          <w:rFonts w:asciiTheme="majorHAnsi" w:eastAsia="Times New Roman" w:hAnsiTheme="majorHAnsi" w:cstheme="majorHAnsi"/>
        </w:rPr>
        <w:t xml:space="preserve"> (application policies, key usage, etc.)</w:t>
      </w:r>
      <w:r w:rsidR="0059030E" w:rsidRPr="001141DF">
        <w:rPr>
          <w:rFonts w:asciiTheme="majorHAnsi" w:eastAsia="Times New Roman" w:hAnsiTheme="majorHAnsi" w:cstheme="majorHAnsi"/>
        </w:rPr>
        <w:t xml:space="preserve"> </w:t>
      </w:r>
      <w:r w:rsidR="001C1053" w:rsidRPr="001141DF">
        <w:rPr>
          <w:rFonts w:asciiTheme="majorHAnsi" w:eastAsia="Times New Roman" w:hAnsiTheme="majorHAnsi" w:cstheme="majorHAnsi"/>
        </w:rPr>
        <w:t xml:space="preserve">to allow for application logic to be developed and utilized in processes run on </w:t>
      </w:r>
      <w:r w:rsidR="0059030E" w:rsidRPr="001141DF">
        <w:rPr>
          <w:rFonts w:asciiTheme="majorHAnsi" w:eastAsia="Times New Roman" w:hAnsiTheme="majorHAnsi" w:cstheme="majorHAnsi"/>
        </w:rPr>
        <w:t>Bridge’s</w:t>
      </w:r>
      <w:r w:rsidR="00940F37" w:rsidRPr="001141DF">
        <w:rPr>
          <w:rFonts w:asciiTheme="majorHAnsi" w:eastAsia="Times New Roman" w:hAnsiTheme="majorHAnsi" w:cstheme="majorHAnsi"/>
        </w:rPr>
        <w:t xml:space="preserve"> blockchain. </w:t>
      </w:r>
      <w:r w:rsidR="00F36B71" w:rsidRPr="001141DF">
        <w:rPr>
          <w:rFonts w:asciiTheme="majorHAnsi" w:eastAsia="Times New Roman" w:hAnsiTheme="majorHAnsi" w:cstheme="majorHAnsi"/>
        </w:rPr>
        <w:t xml:space="preserve">These </w:t>
      </w:r>
      <w:r w:rsidR="00F36B71" w:rsidRPr="001141DF">
        <w:rPr>
          <w:rFonts w:asciiTheme="majorHAnsi" w:eastAsia="Times New Roman" w:hAnsiTheme="majorHAnsi" w:cstheme="majorHAnsi"/>
        </w:rPr>
        <w:lastRenderedPageBreak/>
        <w:t xml:space="preserve">certificates </w:t>
      </w:r>
      <w:r w:rsidR="00256008" w:rsidRPr="001141DF">
        <w:rPr>
          <w:rFonts w:asciiTheme="majorHAnsi" w:eastAsia="Times New Roman" w:hAnsiTheme="majorHAnsi" w:cstheme="majorHAnsi"/>
        </w:rPr>
        <w:t>will be issued</w:t>
      </w:r>
      <w:r w:rsidR="00F36B71" w:rsidRPr="001141DF">
        <w:rPr>
          <w:rFonts w:asciiTheme="majorHAnsi" w:eastAsia="Times New Roman" w:hAnsiTheme="majorHAnsi" w:cstheme="majorHAnsi"/>
        </w:rPr>
        <w:t xml:space="preserve"> for use by real persons, machines and </w:t>
      </w:r>
      <w:r w:rsidR="00256008" w:rsidRPr="001141DF">
        <w:rPr>
          <w:rFonts w:asciiTheme="majorHAnsi" w:eastAsia="Times New Roman" w:hAnsiTheme="majorHAnsi" w:cstheme="majorHAnsi"/>
        </w:rPr>
        <w:t>“</w:t>
      </w:r>
      <w:r w:rsidR="00F36B71" w:rsidRPr="001141DF">
        <w:rPr>
          <w:rFonts w:asciiTheme="majorHAnsi" w:eastAsia="Times New Roman" w:hAnsiTheme="majorHAnsi" w:cstheme="majorHAnsi"/>
        </w:rPr>
        <w:t xml:space="preserve">virtual </w:t>
      </w:r>
      <w:r w:rsidR="00C33F3C" w:rsidRPr="001141DF">
        <w:rPr>
          <w:rFonts w:asciiTheme="majorHAnsi" w:eastAsia="Times New Roman" w:hAnsiTheme="majorHAnsi" w:cstheme="majorHAnsi"/>
        </w:rPr>
        <w:t>persons.”</w:t>
      </w:r>
      <w:r w:rsidR="00313CBD" w:rsidRPr="001141DF">
        <w:rPr>
          <w:rFonts w:asciiTheme="majorHAnsi" w:eastAsia="Times New Roman" w:hAnsiTheme="majorHAnsi" w:cstheme="majorHAnsi"/>
        </w:rPr>
        <w:t xml:space="preserve"> </w:t>
      </w:r>
      <w:proofErr w:type="spellStart"/>
      <w:r w:rsidR="00313CBD" w:rsidRPr="001141DF">
        <w:rPr>
          <w:rFonts w:asciiTheme="majorHAnsi" w:eastAsia="Times New Roman" w:hAnsiTheme="majorHAnsi" w:cstheme="majorHAnsi"/>
        </w:rPr>
        <w:t>bIMS</w:t>
      </w:r>
      <w:proofErr w:type="spellEnd"/>
      <w:r w:rsidR="0059030E" w:rsidRPr="001141DF">
        <w:rPr>
          <w:rFonts w:asciiTheme="majorHAnsi" w:eastAsia="Times New Roman" w:hAnsiTheme="majorHAnsi" w:cstheme="majorHAnsi"/>
        </w:rPr>
        <w:t xml:space="preserve"> provides interfacing for Personal Identity Verification (</w:t>
      </w:r>
      <w:r w:rsidR="00C778AD" w:rsidRPr="001141DF">
        <w:rPr>
          <w:rFonts w:asciiTheme="majorHAnsi" w:eastAsia="Times New Roman" w:hAnsiTheme="majorHAnsi" w:cstheme="majorHAnsi"/>
        </w:rPr>
        <w:t>PIV</w:t>
      </w:r>
      <w:r w:rsidR="0059030E" w:rsidRPr="001141DF">
        <w:rPr>
          <w:rFonts w:asciiTheme="majorHAnsi" w:eastAsia="Times New Roman" w:hAnsiTheme="majorHAnsi" w:cstheme="majorHAnsi"/>
        </w:rPr>
        <w:t xml:space="preserve">) </w:t>
      </w:r>
      <w:r w:rsidR="00313CBD" w:rsidRPr="001141DF">
        <w:rPr>
          <w:rFonts w:asciiTheme="majorHAnsi" w:eastAsia="Times New Roman" w:hAnsiTheme="majorHAnsi" w:cstheme="majorHAnsi"/>
        </w:rPr>
        <w:t xml:space="preserve">compatible hardware platforms, allowing for </w:t>
      </w:r>
      <w:r w:rsidR="005B2B7B" w:rsidRPr="001141DF">
        <w:rPr>
          <w:rFonts w:asciiTheme="majorHAnsi" w:eastAsia="Times New Roman" w:hAnsiTheme="majorHAnsi" w:cstheme="majorHAnsi"/>
        </w:rPr>
        <w:t xml:space="preserve">application integration </w:t>
      </w:r>
      <w:r w:rsidR="00313CBD" w:rsidRPr="001141DF">
        <w:rPr>
          <w:rFonts w:asciiTheme="majorHAnsi" w:eastAsia="Times New Roman" w:hAnsiTheme="majorHAnsi" w:cstheme="majorHAnsi"/>
        </w:rPr>
        <w:t xml:space="preserve">and </w:t>
      </w:r>
      <w:r w:rsidR="005B2B7B" w:rsidRPr="001141DF">
        <w:rPr>
          <w:rFonts w:asciiTheme="majorHAnsi" w:eastAsia="Times New Roman" w:hAnsiTheme="majorHAnsi" w:cstheme="majorHAnsi"/>
        </w:rPr>
        <w:t xml:space="preserve">use in </w:t>
      </w:r>
      <w:r w:rsidR="00313CBD" w:rsidRPr="001141DF">
        <w:rPr>
          <w:rFonts w:asciiTheme="majorHAnsi" w:eastAsia="Times New Roman" w:hAnsiTheme="majorHAnsi" w:cstheme="majorHAnsi"/>
        </w:rPr>
        <w:t>microservices provided through the marketplace.</w:t>
      </w:r>
    </w:p>
    <w:p w14:paraId="49BCAC37" w14:textId="77777777" w:rsidR="00E340E1" w:rsidRPr="001141DF" w:rsidRDefault="00E340E1" w:rsidP="00E340E1">
      <w:pPr>
        <w:spacing w:line="360" w:lineRule="auto"/>
        <w:jc w:val="both"/>
        <w:rPr>
          <w:rFonts w:asciiTheme="majorHAnsi" w:eastAsia="Times New Roman" w:hAnsiTheme="majorHAnsi" w:cstheme="majorHAnsi"/>
        </w:rPr>
      </w:pPr>
    </w:p>
    <w:p w14:paraId="6706228B" w14:textId="5CF59CE7" w:rsidR="00E44166" w:rsidRPr="001141DF" w:rsidRDefault="005B2B7B"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w:t>
      </w:r>
      <w:r w:rsidR="001C1053" w:rsidRPr="001141DF">
        <w:rPr>
          <w:rFonts w:asciiTheme="majorHAnsi" w:eastAsia="Times New Roman" w:hAnsiTheme="majorHAnsi" w:cstheme="majorHAnsi"/>
        </w:rPr>
        <w:t xml:space="preserve">Bridge </w:t>
      </w:r>
      <w:r w:rsidRPr="001141DF">
        <w:rPr>
          <w:rFonts w:asciiTheme="majorHAnsi" w:eastAsia="Times New Roman" w:hAnsiTheme="majorHAnsi" w:cstheme="majorHAnsi"/>
        </w:rPr>
        <w:t>Protocol provides</w:t>
      </w:r>
      <w:r w:rsidR="001C1053" w:rsidRPr="001141DF">
        <w:rPr>
          <w:rFonts w:asciiTheme="majorHAnsi" w:eastAsia="Times New Roman" w:hAnsiTheme="majorHAnsi" w:cstheme="majorHAnsi"/>
        </w:rPr>
        <w:t xml:space="preserve"> </w:t>
      </w:r>
      <w:r w:rsidRPr="001141DF">
        <w:rPr>
          <w:rFonts w:asciiTheme="majorHAnsi" w:eastAsia="Times New Roman" w:hAnsiTheme="majorHAnsi" w:cstheme="majorHAnsi"/>
        </w:rPr>
        <w:t>a</w:t>
      </w:r>
      <w:r w:rsidR="001C1053" w:rsidRPr="001141DF">
        <w:rPr>
          <w:rFonts w:asciiTheme="majorHAnsi" w:eastAsia="Times New Roman" w:hAnsiTheme="majorHAnsi" w:cstheme="majorHAnsi"/>
        </w:rPr>
        <w:t xml:space="preserve"> Bring-Your-Own-Key (BYOK) </w:t>
      </w:r>
      <w:r w:rsidR="009D491A" w:rsidRPr="001141DF">
        <w:rPr>
          <w:rFonts w:asciiTheme="majorHAnsi" w:eastAsia="Times New Roman" w:hAnsiTheme="majorHAnsi" w:cstheme="majorHAnsi"/>
        </w:rPr>
        <w:t>interface</w:t>
      </w:r>
      <w:r w:rsidR="001C1053" w:rsidRPr="001141DF">
        <w:rPr>
          <w:rFonts w:asciiTheme="majorHAnsi" w:eastAsia="Times New Roman" w:hAnsiTheme="majorHAnsi" w:cstheme="majorHAnsi"/>
        </w:rPr>
        <w:t xml:space="preserve"> </w:t>
      </w:r>
      <w:r w:rsidRPr="001141DF">
        <w:rPr>
          <w:rFonts w:asciiTheme="majorHAnsi" w:eastAsia="Times New Roman" w:hAnsiTheme="majorHAnsi" w:cstheme="majorHAnsi"/>
        </w:rPr>
        <w:t>to allow for user ownership of keys, data, and processes</w:t>
      </w:r>
      <w:r w:rsidR="009D491A" w:rsidRPr="001141DF">
        <w:rPr>
          <w:rFonts w:asciiTheme="majorHAnsi" w:eastAsia="Times New Roman" w:hAnsiTheme="majorHAnsi" w:cstheme="majorHAnsi"/>
        </w:rPr>
        <w:t>.</w:t>
      </w:r>
      <w:r w:rsidRPr="001141DF">
        <w:rPr>
          <w:rFonts w:asciiTheme="majorHAnsi" w:eastAsia="Times New Roman" w:hAnsiTheme="majorHAnsi" w:cstheme="majorHAnsi"/>
        </w:rPr>
        <w:t xml:space="preserve"> </w:t>
      </w:r>
      <w:r w:rsidR="009D491A" w:rsidRPr="001141DF">
        <w:rPr>
          <w:rFonts w:asciiTheme="majorHAnsi" w:eastAsia="Times New Roman" w:hAnsiTheme="majorHAnsi" w:cstheme="majorHAnsi"/>
        </w:rPr>
        <w:t xml:space="preserve">These methods will allow for wider adoption </w:t>
      </w:r>
      <w:r w:rsidR="007C3802" w:rsidRPr="001141DF">
        <w:rPr>
          <w:rFonts w:asciiTheme="majorHAnsi" w:eastAsia="Times New Roman" w:hAnsiTheme="majorHAnsi" w:cstheme="majorHAnsi"/>
        </w:rPr>
        <w:t>of</w:t>
      </w:r>
      <w:r w:rsidR="009D491A" w:rsidRPr="001141DF">
        <w:rPr>
          <w:rFonts w:asciiTheme="majorHAnsi" w:eastAsia="Times New Roman" w:hAnsiTheme="majorHAnsi" w:cstheme="majorHAnsi"/>
        </w:rPr>
        <w:t xml:space="preserve"> the network for individuals and organizations</w:t>
      </w:r>
      <w:r w:rsidR="007D2739" w:rsidRPr="001141DF">
        <w:rPr>
          <w:rFonts w:asciiTheme="majorHAnsi" w:eastAsia="Times New Roman" w:hAnsiTheme="majorHAnsi" w:cstheme="majorHAnsi"/>
        </w:rPr>
        <w:t>.</w:t>
      </w:r>
      <w:r w:rsidR="000D3868" w:rsidRPr="001141DF">
        <w:rPr>
          <w:rFonts w:asciiTheme="majorHAnsi" w:eastAsia="Times New Roman" w:hAnsiTheme="majorHAnsi" w:cstheme="majorHAnsi"/>
        </w:rPr>
        <w:t xml:space="preserve"> A focus on commercial off-the-</w:t>
      </w:r>
      <w:r w:rsidRPr="001141DF">
        <w:rPr>
          <w:rFonts w:asciiTheme="majorHAnsi" w:eastAsia="Times New Roman" w:hAnsiTheme="majorHAnsi" w:cstheme="majorHAnsi"/>
        </w:rPr>
        <w:t xml:space="preserve">shelf </w:t>
      </w:r>
      <w:r w:rsidR="000D3868" w:rsidRPr="001141DF">
        <w:rPr>
          <w:rFonts w:asciiTheme="majorHAnsi" w:eastAsia="Times New Roman" w:hAnsiTheme="majorHAnsi" w:cstheme="majorHAnsi"/>
        </w:rPr>
        <w:t xml:space="preserve">(COTS) </w:t>
      </w:r>
      <w:r w:rsidRPr="001141DF">
        <w:rPr>
          <w:rFonts w:asciiTheme="majorHAnsi" w:eastAsia="Times New Roman" w:hAnsiTheme="majorHAnsi" w:cstheme="majorHAnsi"/>
        </w:rPr>
        <w:t xml:space="preserve">hardware encryption modules opens </w:t>
      </w:r>
      <w:r w:rsidR="000B7F57" w:rsidRPr="001141DF">
        <w:rPr>
          <w:rFonts w:asciiTheme="majorHAnsi" w:eastAsia="Times New Roman" w:hAnsiTheme="majorHAnsi" w:cstheme="majorHAnsi"/>
        </w:rPr>
        <w:t xml:space="preserve">the network and its services </w:t>
      </w:r>
      <w:r w:rsidRPr="001141DF">
        <w:rPr>
          <w:rFonts w:asciiTheme="majorHAnsi" w:eastAsia="Times New Roman" w:hAnsiTheme="majorHAnsi" w:cstheme="majorHAnsi"/>
        </w:rPr>
        <w:t>at a cost point much lower than traditional offerings. Merging with existing infrastructure is also possible and encouraged through this approach.</w:t>
      </w:r>
    </w:p>
    <w:p w14:paraId="455C8ECA" w14:textId="77777777" w:rsidR="00E340E1" w:rsidRPr="001141DF" w:rsidRDefault="00E340E1" w:rsidP="00E340E1">
      <w:pPr>
        <w:spacing w:line="360" w:lineRule="auto"/>
        <w:jc w:val="both"/>
        <w:rPr>
          <w:rFonts w:asciiTheme="majorHAnsi" w:eastAsia="Times New Roman" w:hAnsiTheme="majorHAnsi" w:cstheme="majorHAnsi"/>
        </w:rPr>
      </w:pPr>
    </w:p>
    <w:p w14:paraId="189586E1" w14:textId="77777777" w:rsidR="00150B19" w:rsidRPr="001141DF" w:rsidRDefault="00150B19" w:rsidP="00E340E1">
      <w:pPr>
        <w:spacing w:line="360" w:lineRule="auto"/>
        <w:jc w:val="both"/>
        <w:rPr>
          <w:rFonts w:asciiTheme="majorHAnsi" w:eastAsia="Times New Roman" w:hAnsiTheme="majorHAnsi" w:cstheme="majorHAnsi"/>
        </w:rPr>
      </w:pPr>
    </w:p>
    <w:p w14:paraId="4FC30FE5" w14:textId="31718FDE" w:rsidR="00E340E1" w:rsidRPr="001141DF" w:rsidRDefault="007D2739" w:rsidP="00B04AF8">
      <w:pPr>
        <w:pBdr>
          <w:bottom w:val="single" w:sz="4" w:space="1" w:color="2FA3EE"/>
        </w:pBdr>
        <w:spacing w:before="400" w:after="40"/>
        <w:jc w:val="both"/>
        <w:outlineLvl w:val="0"/>
        <w:rPr>
          <w:rFonts w:asciiTheme="majorHAnsi" w:hAnsiTheme="majorHAnsi" w:cstheme="majorHAnsi"/>
          <w:b/>
          <w:bCs/>
          <w:smallCaps/>
          <w:spacing w:val="5"/>
          <w:sz w:val="40"/>
          <w:szCs w:val="36"/>
        </w:rPr>
      </w:pPr>
      <w:bookmarkStart w:id="4" w:name="_Toc504511282"/>
      <w:r w:rsidRPr="001141DF">
        <w:rPr>
          <w:rStyle w:val="IntenseReference"/>
          <w:rFonts w:asciiTheme="majorHAnsi" w:hAnsiTheme="majorHAnsi" w:cstheme="majorHAnsi"/>
          <w:color w:val="auto"/>
          <w:sz w:val="40"/>
          <w:szCs w:val="36"/>
        </w:rPr>
        <w:t>SOLUTION FOR ICOs</w:t>
      </w:r>
      <w:bookmarkEnd w:id="4"/>
    </w:p>
    <w:p w14:paraId="4CB90B4C" w14:textId="77777777" w:rsidR="00E340E1" w:rsidRPr="001141DF" w:rsidRDefault="00E340E1" w:rsidP="00B04AF8">
      <w:pPr>
        <w:jc w:val="both"/>
        <w:rPr>
          <w:rFonts w:asciiTheme="majorHAnsi" w:eastAsia="Times New Roman" w:hAnsiTheme="majorHAnsi" w:cstheme="majorHAnsi"/>
        </w:rPr>
      </w:pPr>
    </w:p>
    <w:p w14:paraId="047A24B8" w14:textId="0D86E246" w:rsidR="00E340E1" w:rsidRPr="001141DF" w:rsidRDefault="007D2739" w:rsidP="0043170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Bridge will aim to reduce legal costs and improve verification </w:t>
      </w:r>
      <w:r w:rsidR="00E44166" w:rsidRPr="001141DF">
        <w:rPr>
          <w:rFonts w:asciiTheme="majorHAnsi" w:eastAsia="Times New Roman" w:hAnsiTheme="majorHAnsi" w:cstheme="majorHAnsi"/>
        </w:rPr>
        <w:t>assurance</w:t>
      </w:r>
      <w:r w:rsidRPr="001141DF">
        <w:rPr>
          <w:rFonts w:asciiTheme="majorHAnsi" w:eastAsia="Times New Roman" w:hAnsiTheme="majorHAnsi" w:cstheme="majorHAnsi"/>
        </w:rPr>
        <w:t xml:space="preserve">. </w:t>
      </w:r>
      <w:r w:rsidR="00E44166" w:rsidRPr="001141DF">
        <w:rPr>
          <w:rFonts w:asciiTheme="majorHAnsi" w:eastAsia="Times New Roman" w:hAnsiTheme="majorHAnsi" w:cstheme="majorHAnsi"/>
        </w:rPr>
        <w:t xml:space="preserve">This will occur through </w:t>
      </w:r>
      <w:r w:rsidRPr="001141DF">
        <w:rPr>
          <w:rFonts w:asciiTheme="majorHAnsi" w:eastAsia="Times New Roman" w:hAnsiTheme="majorHAnsi" w:cstheme="majorHAnsi"/>
        </w:rPr>
        <w:t>digitalization of compliant standards</w:t>
      </w:r>
      <w:r w:rsidR="00E44166" w:rsidRPr="001141DF">
        <w:rPr>
          <w:rFonts w:asciiTheme="majorHAnsi" w:eastAsia="Times New Roman" w:hAnsiTheme="majorHAnsi" w:cstheme="majorHAnsi"/>
        </w:rPr>
        <w:t xml:space="preserve"> for deployment in ICOs</w:t>
      </w:r>
      <w:r w:rsidRPr="001141DF">
        <w:rPr>
          <w:rFonts w:asciiTheme="majorHAnsi" w:eastAsia="Times New Roman" w:hAnsiTheme="majorHAnsi" w:cstheme="majorHAnsi"/>
        </w:rPr>
        <w:t xml:space="preserve">. </w:t>
      </w:r>
      <w:r w:rsidR="006F2F3F" w:rsidRPr="001141DF">
        <w:rPr>
          <w:rFonts w:asciiTheme="majorHAnsi" w:eastAsia="Times New Roman" w:hAnsiTheme="majorHAnsi" w:cstheme="majorHAnsi"/>
        </w:rPr>
        <w:t>A Bri</w:t>
      </w:r>
      <w:r w:rsidR="0048182F" w:rsidRPr="001141DF">
        <w:rPr>
          <w:rFonts w:asciiTheme="majorHAnsi" w:eastAsia="Times New Roman" w:hAnsiTheme="majorHAnsi" w:cstheme="majorHAnsi"/>
        </w:rPr>
        <w:t>dge Certificate will be created</w:t>
      </w:r>
      <w:r w:rsidR="006F2F3F" w:rsidRPr="001141DF">
        <w:rPr>
          <w:rFonts w:asciiTheme="majorHAnsi" w:eastAsia="Times New Roman" w:hAnsiTheme="majorHAnsi" w:cstheme="majorHAnsi"/>
        </w:rPr>
        <w:t xml:space="preserve"> and u</w:t>
      </w:r>
      <w:r w:rsidRPr="001141DF">
        <w:rPr>
          <w:rFonts w:asciiTheme="majorHAnsi" w:eastAsia="Times New Roman" w:hAnsiTheme="majorHAnsi" w:cstheme="majorHAnsi"/>
        </w:rPr>
        <w:t xml:space="preserve">sers will </w:t>
      </w:r>
      <w:r w:rsidR="006F2F3F" w:rsidRPr="001141DF">
        <w:rPr>
          <w:rFonts w:asciiTheme="majorHAnsi" w:eastAsia="Times New Roman" w:hAnsiTheme="majorHAnsi" w:cstheme="majorHAnsi"/>
        </w:rPr>
        <w:t xml:space="preserve">begin network integration by </w:t>
      </w:r>
      <w:r w:rsidRPr="001141DF">
        <w:rPr>
          <w:rFonts w:asciiTheme="majorHAnsi" w:eastAsia="Times New Roman" w:hAnsiTheme="majorHAnsi" w:cstheme="majorHAnsi"/>
        </w:rPr>
        <w:t xml:space="preserve">selecting a preferred verifier </w:t>
      </w:r>
      <w:r w:rsidR="006F2F3F" w:rsidRPr="001141DF">
        <w:rPr>
          <w:rFonts w:asciiTheme="majorHAnsi" w:eastAsia="Times New Roman" w:hAnsiTheme="majorHAnsi" w:cstheme="majorHAnsi"/>
        </w:rPr>
        <w:t xml:space="preserve">service </w:t>
      </w:r>
      <w:r w:rsidRPr="001141DF">
        <w:rPr>
          <w:rFonts w:asciiTheme="majorHAnsi" w:eastAsia="Times New Roman" w:hAnsiTheme="majorHAnsi" w:cstheme="majorHAnsi"/>
        </w:rPr>
        <w:t>in the marketplace.</w:t>
      </w:r>
      <w:r w:rsidR="006F2F3F" w:rsidRPr="001141DF">
        <w:rPr>
          <w:rFonts w:asciiTheme="majorHAnsi" w:eastAsia="Times New Roman" w:hAnsiTheme="majorHAnsi" w:cstheme="majorHAnsi"/>
        </w:rPr>
        <w:t xml:space="preserve"> </w:t>
      </w:r>
    </w:p>
    <w:p w14:paraId="68B07585" w14:textId="77777777" w:rsidR="00E340E1" w:rsidRPr="001141DF" w:rsidRDefault="00E340E1" w:rsidP="00E340E1">
      <w:pPr>
        <w:jc w:val="both"/>
        <w:rPr>
          <w:rFonts w:asciiTheme="majorHAnsi" w:eastAsia="Times New Roman" w:hAnsiTheme="majorHAnsi" w:cstheme="majorHAnsi"/>
        </w:rPr>
      </w:pPr>
    </w:p>
    <w:p w14:paraId="4E8B7F56" w14:textId="77777777" w:rsidR="00F72F92" w:rsidRPr="001141DF" w:rsidRDefault="00B67D4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T</w:t>
      </w:r>
      <w:r w:rsidR="00E44166" w:rsidRPr="001141DF">
        <w:rPr>
          <w:rFonts w:asciiTheme="majorHAnsi" w:eastAsia="Times New Roman" w:hAnsiTheme="majorHAnsi" w:cstheme="majorHAnsi"/>
        </w:rPr>
        <w:t xml:space="preserve">hrough </w:t>
      </w:r>
      <w:r w:rsidR="003B35B5" w:rsidRPr="001141DF">
        <w:rPr>
          <w:rFonts w:asciiTheme="majorHAnsi" w:eastAsia="Times New Roman" w:hAnsiTheme="majorHAnsi" w:cstheme="majorHAnsi"/>
        </w:rPr>
        <w:t>key</w:t>
      </w:r>
      <w:r w:rsidR="006F2F3F" w:rsidRPr="001141DF">
        <w:rPr>
          <w:rFonts w:asciiTheme="majorHAnsi" w:eastAsia="Times New Roman" w:hAnsiTheme="majorHAnsi" w:cstheme="majorHAnsi"/>
        </w:rPr>
        <w:t xml:space="preserve"> usage </w:t>
      </w:r>
      <w:r w:rsidR="00E44166" w:rsidRPr="001141DF">
        <w:rPr>
          <w:rFonts w:asciiTheme="majorHAnsi" w:eastAsia="Times New Roman" w:hAnsiTheme="majorHAnsi" w:cstheme="majorHAnsi"/>
        </w:rPr>
        <w:t xml:space="preserve">extensions </w:t>
      </w:r>
      <w:r w:rsidR="006F2F3F" w:rsidRPr="001141DF">
        <w:rPr>
          <w:rFonts w:asciiTheme="majorHAnsi" w:eastAsia="Times New Roman" w:hAnsiTheme="majorHAnsi" w:cstheme="majorHAnsi"/>
        </w:rPr>
        <w:t>recognized by the</w:t>
      </w:r>
      <w:r w:rsidR="00E44166" w:rsidRPr="001141DF">
        <w:rPr>
          <w:rFonts w:asciiTheme="majorHAnsi" w:eastAsia="Times New Roman" w:hAnsiTheme="majorHAnsi" w:cstheme="majorHAnsi"/>
        </w:rPr>
        <w:t xml:space="preserve"> Bridge Identity Management System, </w:t>
      </w:r>
      <w:r w:rsidRPr="001141DF">
        <w:rPr>
          <w:rFonts w:asciiTheme="majorHAnsi" w:eastAsia="Times New Roman" w:hAnsiTheme="majorHAnsi" w:cstheme="majorHAnsi"/>
        </w:rPr>
        <w:t>Tiers are assigned</w:t>
      </w:r>
      <w:r w:rsidR="00352A68" w:rsidRPr="001141DF">
        <w:rPr>
          <w:rFonts w:asciiTheme="majorHAnsi" w:eastAsia="Times New Roman" w:hAnsiTheme="majorHAnsi" w:cstheme="majorHAnsi"/>
        </w:rPr>
        <w:t xml:space="preserve"> to</w:t>
      </w:r>
      <w:r w:rsidRPr="001141DF">
        <w:rPr>
          <w:rFonts w:asciiTheme="majorHAnsi" w:eastAsia="Times New Roman" w:hAnsiTheme="majorHAnsi" w:cstheme="majorHAnsi"/>
        </w:rPr>
        <w:t xml:space="preserve"> the certificate</w:t>
      </w:r>
      <w:r w:rsidR="00352A68" w:rsidRPr="001141DF">
        <w:rPr>
          <w:rFonts w:asciiTheme="majorHAnsi" w:eastAsia="Times New Roman" w:hAnsiTheme="majorHAnsi" w:cstheme="majorHAnsi"/>
        </w:rPr>
        <w:t>. It</w:t>
      </w:r>
      <w:r w:rsidRPr="001141DF">
        <w:rPr>
          <w:rFonts w:asciiTheme="majorHAnsi" w:eastAsia="Times New Roman" w:hAnsiTheme="majorHAnsi" w:cstheme="majorHAnsi"/>
        </w:rPr>
        <w:t xml:space="preserve"> is signed and ready for use</w:t>
      </w:r>
      <w:r w:rsidR="00352A68" w:rsidRPr="001141DF">
        <w:rPr>
          <w:rFonts w:asciiTheme="majorHAnsi" w:eastAsia="Times New Roman" w:hAnsiTheme="majorHAnsi" w:cstheme="majorHAnsi"/>
        </w:rPr>
        <w:t xml:space="preserve"> on the network,</w:t>
      </w:r>
      <w:r w:rsidRPr="001141DF">
        <w:rPr>
          <w:rFonts w:asciiTheme="majorHAnsi" w:eastAsia="Times New Roman" w:hAnsiTheme="majorHAnsi" w:cstheme="majorHAnsi"/>
        </w:rPr>
        <w:t xml:space="preserve"> </w:t>
      </w:r>
      <w:r w:rsidR="003C210E" w:rsidRPr="001141DF">
        <w:rPr>
          <w:rFonts w:asciiTheme="majorHAnsi" w:eastAsia="Times New Roman" w:hAnsiTheme="majorHAnsi" w:cstheme="majorHAnsi"/>
        </w:rPr>
        <w:t>accessible</w:t>
      </w:r>
      <w:r w:rsidR="007D2739" w:rsidRPr="001141DF">
        <w:rPr>
          <w:rFonts w:asciiTheme="majorHAnsi" w:eastAsia="Times New Roman" w:hAnsiTheme="majorHAnsi" w:cstheme="majorHAnsi"/>
        </w:rPr>
        <w:t xml:space="preserve"> to ICOs based </w:t>
      </w:r>
      <w:r w:rsidR="00352A68" w:rsidRPr="001141DF">
        <w:rPr>
          <w:rFonts w:asciiTheme="majorHAnsi" w:eastAsia="Times New Roman" w:hAnsiTheme="majorHAnsi" w:cstheme="majorHAnsi"/>
        </w:rPr>
        <w:t>incorporated logic in contract to whitelist participants</w:t>
      </w:r>
      <w:r w:rsidR="003C210E" w:rsidRPr="001141DF">
        <w:rPr>
          <w:rFonts w:asciiTheme="majorHAnsi" w:eastAsia="Times New Roman" w:hAnsiTheme="majorHAnsi" w:cstheme="majorHAnsi"/>
        </w:rPr>
        <w:t>; the T</w:t>
      </w:r>
      <w:r w:rsidR="007D2739" w:rsidRPr="001141DF">
        <w:rPr>
          <w:rFonts w:asciiTheme="majorHAnsi" w:eastAsia="Times New Roman" w:hAnsiTheme="majorHAnsi" w:cstheme="majorHAnsi"/>
        </w:rPr>
        <w:t xml:space="preserve">iers act as an immediate gatekeeper and layer of assurance to all parties. Our chain will never see or hold any of the user’s data. Verifiers must </w:t>
      </w:r>
      <w:r w:rsidR="001055C4" w:rsidRPr="001141DF">
        <w:rPr>
          <w:rFonts w:asciiTheme="majorHAnsi" w:eastAsia="Times New Roman" w:hAnsiTheme="majorHAnsi" w:cstheme="majorHAnsi"/>
        </w:rPr>
        <w:t>comply</w:t>
      </w:r>
      <w:r w:rsidR="00E23EA4" w:rsidRPr="001141DF">
        <w:rPr>
          <w:rFonts w:asciiTheme="majorHAnsi" w:eastAsia="Times New Roman" w:hAnsiTheme="majorHAnsi" w:cstheme="majorHAnsi"/>
        </w:rPr>
        <w:t xml:space="preserve"> to</w:t>
      </w:r>
      <w:r w:rsidR="00EF2659" w:rsidRPr="001141DF">
        <w:rPr>
          <w:rFonts w:asciiTheme="majorHAnsi" w:eastAsia="Times New Roman" w:hAnsiTheme="majorHAnsi" w:cstheme="majorHAnsi"/>
        </w:rPr>
        <w:t xml:space="preserve"> the</w:t>
      </w:r>
      <w:r w:rsidR="00E23EA4" w:rsidRPr="001141DF">
        <w:rPr>
          <w:rFonts w:asciiTheme="majorHAnsi" w:eastAsia="Times New Roman" w:hAnsiTheme="majorHAnsi" w:cstheme="majorHAnsi"/>
        </w:rPr>
        <w:t xml:space="preserve"> Protocol</w:t>
      </w:r>
      <w:r w:rsidR="00EF2659" w:rsidRPr="001141DF">
        <w:rPr>
          <w:rFonts w:asciiTheme="majorHAnsi" w:eastAsia="Times New Roman" w:hAnsiTheme="majorHAnsi" w:cstheme="majorHAnsi"/>
        </w:rPr>
        <w:t>,</w:t>
      </w:r>
      <w:r w:rsidR="001055C4" w:rsidRPr="001141DF">
        <w:rPr>
          <w:rFonts w:asciiTheme="majorHAnsi" w:eastAsia="Times New Roman" w:hAnsiTheme="majorHAnsi" w:cstheme="majorHAnsi"/>
        </w:rPr>
        <w:t xml:space="preserve"> which</w:t>
      </w:r>
      <w:r w:rsidR="00E23EA4" w:rsidRPr="001141DF">
        <w:rPr>
          <w:rFonts w:asciiTheme="majorHAnsi" w:eastAsia="Times New Roman" w:hAnsiTheme="majorHAnsi" w:cstheme="majorHAnsi"/>
        </w:rPr>
        <w:t xml:space="preserve"> </w:t>
      </w:r>
      <w:r w:rsidR="00EF2659" w:rsidRPr="001141DF">
        <w:rPr>
          <w:rFonts w:asciiTheme="majorHAnsi" w:eastAsia="Times New Roman" w:hAnsiTheme="majorHAnsi" w:cstheme="majorHAnsi"/>
        </w:rPr>
        <w:t>governs</w:t>
      </w:r>
      <w:r w:rsidR="007D2739" w:rsidRPr="001141DF">
        <w:rPr>
          <w:rFonts w:asciiTheme="majorHAnsi" w:eastAsia="Times New Roman" w:hAnsiTheme="majorHAnsi" w:cstheme="majorHAnsi"/>
        </w:rPr>
        <w:t xml:space="preserve"> </w:t>
      </w:r>
      <w:r w:rsidR="00EF2659" w:rsidRPr="001141DF">
        <w:rPr>
          <w:rFonts w:asciiTheme="majorHAnsi" w:eastAsia="Times New Roman" w:hAnsiTheme="majorHAnsi" w:cstheme="majorHAnsi"/>
        </w:rPr>
        <w:t>approval standards to be</w:t>
      </w:r>
      <w:r w:rsidR="00E23EA4" w:rsidRPr="001141DF">
        <w:rPr>
          <w:rFonts w:asciiTheme="majorHAnsi" w:eastAsia="Times New Roman" w:hAnsiTheme="majorHAnsi" w:cstheme="majorHAnsi"/>
        </w:rPr>
        <w:t xml:space="preserve"> </w:t>
      </w:r>
      <w:r w:rsidR="007D2739" w:rsidRPr="001141DF">
        <w:rPr>
          <w:rFonts w:asciiTheme="majorHAnsi" w:eastAsia="Times New Roman" w:hAnsiTheme="majorHAnsi" w:cstheme="majorHAnsi"/>
        </w:rPr>
        <w:t xml:space="preserve">listed </w:t>
      </w:r>
      <w:r w:rsidR="00E23EA4" w:rsidRPr="001141DF">
        <w:rPr>
          <w:rFonts w:asciiTheme="majorHAnsi" w:eastAsia="Times New Roman" w:hAnsiTheme="majorHAnsi" w:cstheme="majorHAnsi"/>
        </w:rPr>
        <w:t>i</w:t>
      </w:r>
      <w:r w:rsidR="007D2739" w:rsidRPr="001141DF">
        <w:rPr>
          <w:rFonts w:asciiTheme="majorHAnsi" w:eastAsia="Times New Roman" w:hAnsiTheme="majorHAnsi" w:cstheme="majorHAnsi"/>
        </w:rPr>
        <w:t xml:space="preserve">n </w:t>
      </w:r>
      <w:r w:rsidR="00E23EA4" w:rsidRPr="001141DF">
        <w:rPr>
          <w:rFonts w:asciiTheme="majorHAnsi" w:eastAsia="Times New Roman" w:hAnsiTheme="majorHAnsi" w:cstheme="majorHAnsi"/>
        </w:rPr>
        <w:t>the marketplace.</w:t>
      </w:r>
      <w:r w:rsidR="007D2739" w:rsidRPr="001141DF">
        <w:rPr>
          <w:rFonts w:asciiTheme="majorHAnsi" w:eastAsia="Times New Roman" w:hAnsiTheme="majorHAnsi" w:cstheme="majorHAnsi"/>
        </w:rPr>
        <w:t xml:space="preserve"> </w:t>
      </w:r>
      <w:r w:rsidR="00E23EA4" w:rsidRPr="001141DF">
        <w:rPr>
          <w:rFonts w:asciiTheme="majorHAnsi" w:eastAsia="Times New Roman" w:hAnsiTheme="majorHAnsi" w:cstheme="majorHAnsi"/>
        </w:rPr>
        <w:t>Data, if viewed or collected (where necessary), is destroyed by th</w:t>
      </w:r>
      <w:r w:rsidR="00EF2659" w:rsidRPr="001141DF">
        <w:rPr>
          <w:rFonts w:asciiTheme="majorHAnsi" w:eastAsia="Times New Roman" w:hAnsiTheme="majorHAnsi" w:cstheme="majorHAnsi"/>
        </w:rPr>
        <w:t>e v</w:t>
      </w:r>
      <w:r w:rsidR="00E23EA4" w:rsidRPr="001141DF">
        <w:rPr>
          <w:rFonts w:asciiTheme="majorHAnsi" w:eastAsia="Times New Roman" w:hAnsiTheme="majorHAnsi" w:cstheme="majorHAnsi"/>
        </w:rPr>
        <w:t xml:space="preserve">erifier. </w:t>
      </w:r>
      <w:r w:rsidR="007D2739" w:rsidRPr="001141DF">
        <w:rPr>
          <w:rFonts w:asciiTheme="majorHAnsi" w:eastAsia="Times New Roman" w:hAnsiTheme="majorHAnsi" w:cstheme="majorHAnsi"/>
        </w:rPr>
        <w:t>This ensures all</w:t>
      </w:r>
      <w:r w:rsidR="00AD5E4A" w:rsidRPr="001141DF">
        <w:rPr>
          <w:rFonts w:asciiTheme="majorHAnsi" w:eastAsia="Times New Roman" w:hAnsiTheme="majorHAnsi" w:cstheme="majorHAnsi"/>
        </w:rPr>
        <w:t xml:space="preserve"> personally identifiable information (</w:t>
      </w:r>
      <w:r w:rsidR="007D2739" w:rsidRPr="001141DF">
        <w:rPr>
          <w:rFonts w:asciiTheme="majorHAnsi" w:eastAsia="Times New Roman" w:hAnsiTheme="majorHAnsi" w:cstheme="majorHAnsi"/>
        </w:rPr>
        <w:t>PII</w:t>
      </w:r>
      <w:r w:rsidR="00AD5E4A" w:rsidRPr="001141DF">
        <w:rPr>
          <w:rFonts w:asciiTheme="majorHAnsi" w:eastAsia="Times New Roman" w:hAnsiTheme="majorHAnsi" w:cstheme="majorHAnsi"/>
        </w:rPr>
        <w:t>)</w:t>
      </w:r>
      <w:r w:rsidR="007D2739" w:rsidRPr="001141DF">
        <w:rPr>
          <w:rFonts w:asciiTheme="majorHAnsi" w:eastAsia="Times New Roman" w:hAnsiTheme="majorHAnsi" w:cstheme="majorHAnsi"/>
        </w:rPr>
        <w:t xml:space="preserve"> standards and data management quality </w:t>
      </w:r>
      <w:r w:rsidR="00E23EA4" w:rsidRPr="001141DF">
        <w:rPr>
          <w:rFonts w:asciiTheme="majorHAnsi" w:eastAsia="Times New Roman" w:hAnsiTheme="majorHAnsi" w:cstheme="majorHAnsi"/>
        </w:rPr>
        <w:t>can be</w:t>
      </w:r>
      <w:r w:rsidR="007D2739" w:rsidRPr="001141DF">
        <w:rPr>
          <w:rFonts w:asciiTheme="majorHAnsi" w:eastAsia="Times New Roman" w:hAnsiTheme="majorHAnsi" w:cstheme="majorHAnsi"/>
        </w:rPr>
        <w:t xml:space="preserve"> upheld.</w:t>
      </w:r>
    </w:p>
    <w:p w14:paraId="0764A845" w14:textId="77777777" w:rsidR="00F72F92" w:rsidRPr="001141DF" w:rsidRDefault="00F72F92" w:rsidP="00E340E1">
      <w:pPr>
        <w:spacing w:line="360" w:lineRule="auto"/>
        <w:jc w:val="both"/>
        <w:rPr>
          <w:rFonts w:asciiTheme="majorHAnsi" w:eastAsia="Times New Roman" w:hAnsiTheme="majorHAnsi" w:cstheme="majorHAnsi"/>
        </w:rPr>
      </w:pPr>
    </w:p>
    <w:p w14:paraId="3D729392" w14:textId="2163CD41" w:rsidR="00E340E1"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User’s now have a digital ID tied to a blockchain that </w:t>
      </w:r>
      <w:r w:rsidR="00E23EA4" w:rsidRPr="001141DF">
        <w:rPr>
          <w:rFonts w:asciiTheme="majorHAnsi" w:eastAsia="Times New Roman" w:hAnsiTheme="majorHAnsi" w:cstheme="majorHAnsi"/>
        </w:rPr>
        <w:t>acts as their digital pen, and much more.</w:t>
      </w:r>
      <w:r w:rsidRPr="001141DF">
        <w:rPr>
          <w:rFonts w:asciiTheme="majorHAnsi" w:eastAsia="Times New Roman" w:hAnsiTheme="majorHAnsi" w:cstheme="majorHAnsi"/>
        </w:rPr>
        <w:t xml:space="preserve"> </w:t>
      </w:r>
      <w:r w:rsidR="00E23EA4" w:rsidRPr="001141DF">
        <w:rPr>
          <w:rFonts w:asciiTheme="majorHAnsi" w:eastAsia="Times New Roman" w:hAnsiTheme="majorHAnsi" w:cstheme="majorHAnsi"/>
        </w:rPr>
        <w:t xml:space="preserve">Your identity is recorded, immutable and portable within the NEO smart economy. </w:t>
      </w:r>
      <w:r w:rsidRPr="001141DF">
        <w:rPr>
          <w:rFonts w:asciiTheme="majorHAnsi" w:eastAsia="Times New Roman" w:hAnsiTheme="majorHAnsi" w:cstheme="majorHAnsi"/>
        </w:rPr>
        <w:t xml:space="preserve"> </w:t>
      </w:r>
      <w:r w:rsidR="00E23EA4" w:rsidRPr="001141DF">
        <w:rPr>
          <w:rFonts w:asciiTheme="majorHAnsi" w:eastAsia="Times New Roman" w:hAnsiTheme="majorHAnsi" w:cstheme="majorHAnsi"/>
        </w:rPr>
        <w:t xml:space="preserve">Credentials are </w:t>
      </w:r>
      <w:r w:rsidR="00E23EA4" w:rsidRPr="001141DF">
        <w:rPr>
          <w:rFonts w:asciiTheme="majorHAnsi" w:eastAsia="Times New Roman" w:hAnsiTheme="majorHAnsi" w:cstheme="majorHAnsi"/>
        </w:rPr>
        <w:lastRenderedPageBreak/>
        <w:t xml:space="preserve">maintained by </w:t>
      </w:r>
      <w:proofErr w:type="spellStart"/>
      <w:r w:rsidR="00E23EA4" w:rsidRPr="001141DF">
        <w:rPr>
          <w:rFonts w:asciiTheme="majorHAnsi" w:eastAsia="Times New Roman" w:hAnsiTheme="majorHAnsi" w:cstheme="majorHAnsi"/>
        </w:rPr>
        <w:t>bIMS</w:t>
      </w:r>
      <w:proofErr w:type="spellEnd"/>
      <w:r w:rsidR="00E23EA4" w:rsidRPr="001141DF">
        <w:rPr>
          <w:rFonts w:asciiTheme="majorHAnsi" w:eastAsia="Times New Roman" w:hAnsiTheme="majorHAnsi" w:cstheme="majorHAnsi"/>
        </w:rPr>
        <w:t xml:space="preserve"> in near real time.</w:t>
      </w:r>
      <w:r w:rsidRPr="001141DF">
        <w:rPr>
          <w:rFonts w:asciiTheme="majorHAnsi" w:eastAsia="Times New Roman" w:hAnsiTheme="majorHAnsi" w:cstheme="majorHAnsi"/>
        </w:rPr>
        <w:t xml:space="preserve"> </w:t>
      </w:r>
      <w:r w:rsidR="00E23EA4" w:rsidRPr="001141DF">
        <w:rPr>
          <w:rFonts w:asciiTheme="majorHAnsi" w:eastAsia="Times New Roman" w:hAnsiTheme="majorHAnsi" w:cstheme="majorHAnsi"/>
        </w:rPr>
        <w:t xml:space="preserve">Certificate </w:t>
      </w:r>
      <w:r w:rsidRPr="001141DF">
        <w:rPr>
          <w:rFonts w:asciiTheme="majorHAnsi" w:eastAsia="Times New Roman" w:hAnsiTheme="majorHAnsi" w:cstheme="majorHAnsi"/>
        </w:rPr>
        <w:t xml:space="preserve">renewal will vary depending on </w:t>
      </w:r>
      <w:r w:rsidR="00E23EA4" w:rsidRPr="001141DF">
        <w:rPr>
          <w:rFonts w:asciiTheme="majorHAnsi" w:eastAsia="Times New Roman" w:hAnsiTheme="majorHAnsi" w:cstheme="majorHAnsi"/>
        </w:rPr>
        <w:t>T</w:t>
      </w:r>
      <w:r w:rsidRPr="001141DF">
        <w:rPr>
          <w:rFonts w:asciiTheme="majorHAnsi" w:eastAsia="Times New Roman" w:hAnsiTheme="majorHAnsi" w:cstheme="majorHAnsi"/>
        </w:rPr>
        <w:t xml:space="preserve">ier levels and regulations for groups like </w:t>
      </w:r>
      <w:r w:rsidR="00E23EA4" w:rsidRPr="001141DF">
        <w:rPr>
          <w:rFonts w:asciiTheme="majorHAnsi" w:eastAsia="Times New Roman" w:hAnsiTheme="majorHAnsi" w:cstheme="majorHAnsi"/>
        </w:rPr>
        <w:t>A</w:t>
      </w:r>
      <w:r w:rsidRPr="001141DF">
        <w:rPr>
          <w:rFonts w:asciiTheme="majorHAnsi" w:eastAsia="Times New Roman" w:hAnsiTheme="majorHAnsi" w:cstheme="majorHAnsi"/>
        </w:rPr>
        <w:t xml:space="preserve">ccredited </w:t>
      </w:r>
      <w:r w:rsidR="00E23EA4" w:rsidRPr="001141DF">
        <w:rPr>
          <w:rFonts w:asciiTheme="majorHAnsi" w:eastAsia="Times New Roman" w:hAnsiTheme="majorHAnsi" w:cstheme="majorHAnsi"/>
        </w:rPr>
        <w:t>I</w:t>
      </w:r>
      <w:r w:rsidRPr="001141DF">
        <w:rPr>
          <w:rFonts w:asciiTheme="majorHAnsi" w:eastAsia="Times New Roman" w:hAnsiTheme="majorHAnsi" w:cstheme="majorHAnsi"/>
        </w:rPr>
        <w:t xml:space="preserve">nvestors. </w:t>
      </w:r>
      <w:r w:rsidR="007148E6" w:rsidRPr="001141DF">
        <w:rPr>
          <w:rFonts w:asciiTheme="majorHAnsi" w:eastAsia="Times New Roman" w:hAnsiTheme="majorHAnsi" w:cstheme="majorHAnsi"/>
        </w:rPr>
        <w:t>As an example u</w:t>
      </w:r>
      <w:r w:rsidRPr="001141DF">
        <w:rPr>
          <w:rFonts w:asciiTheme="majorHAnsi" w:eastAsia="Times New Roman" w:hAnsiTheme="majorHAnsi" w:cstheme="majorHAnsi"/>
        </w:rPr>
        <w:t xml:space="preserve">nder </w:t>
      </w:r>
      <w:r w:rsidR="00E23EA4" w:rsidRPr="001141DF">
        <w:rPr>
          <w:rFonts w:asciiTheme="majorHAnsi" w:eastAsia="Times New Roman" w:hAnsiTheme="majorHAnsi" w:cstheme="majorHAnsi"/>
        </w:rPr>
        <w:t>R</w:t>
      </w:r>
      <w:r w:rsidRPr="001141DF">
        <w:rPr>
          <w:rFonts w:asciiTheme="majorHAnsi" w:eastAsia="Times New Roman" w:hAnsiTheme="majorHAnsi" w:cstheme="majorHAnsi"/>
        </w:rPr>
        <w:t>ule 506</w:t>
      </w:r>
      <w:r w:rsidR="005920D7" w:rsidRPr="001141DF">
        <w:rPr>
          <w:rFonts w:asciiTheme="majorHAnsi" w:eastAsia="Times New Roman" w:hAnsiTheme="majorHAnsi" w:cstheme="majorHAnsi"/>
        </w:rPr>
        <w:t>(</w:t>
      </w:r>
      <w:r w:rsidRPr="001141DF">
        <w:rPr>
          <w:rFonts w:asciiTheme="majorHAnsi" w:eastAsia="Times New Roman" w:hAnsiTheme="majorHAnsi" w:cstheme="majorHAnsi"/>
        </w:rPr>
        <w:t>c</w:t>
      </w:r>
      <w:r w:rsidR="005920D7" w:rsidRPr="001141DF">
        <w:rPr>
          <w:rFonts w:asciiTheme="majorHAnsi" w:eastAsia="Times New Roman" w:hAnsiTheme="majorHAnsi" w:cstheme="majorHAnsi"/>
        </w:rPr>
        <w:t>)</w:t>
      </w:r>
      <w:r w:rsidRPr="001141DF">
        <w:rPr>
          <w:rFonts w:asciiTheme="majorHAnsi" w:eastAsia="Times New Roman" w:hAnsiTheme="majorHAnsi" w:cstheme="majorHAnsi"/>
        </w:rPr>
        <w:t>,</w:t>
      </w:r>
      <w:r w:rsidR="005920D7" w:rsidRPr="001141DF">
        <w:rPr>
          <w:rFonts w:asciiTheme="majorHAnsi" w:eastAsia="Times New Roman" w:hAnsiTheme="majorHAnsi" w:cstheme="majorHAnsi"/>
        </w:rPr>
        <w:t xml:space="preserve"> General Solicitation in Regulation D Offerings; </w:t>
      </w:r>
      <w:r w:rsidRPr="001141DF">
        <w:rPr>
          <w:rFonts w:asciiTheme="majorHAnsi" w:eastAsia="Times New Roman" w:hAnsiTheme="majorHAnsi" w:cstheme="majorHAnsi"/>
        </w:rPr>
        <w:t>accredited investor</w:t>
      </w:r>
      <w:r w:rsidR="005920D7" w:rsidRPr="001141DF">
        <w:rPr>
          <w:rFonts w:asciiTheme="majorHAnsi" w:eastAsia="Times New Roman" w:hAnsiTheme="majorHAnsi" w:cstheme="majorHAnsi"/>
        </w:rPr>
        <w:t>s</w:t>
      </w:r>
      <w:r w:rsidRPr="001141DF">
        <w:rPr>
          <w:rFonts w:asciiTheme="majorHAnsi" w:eastAsia="Times New Roman" w:hAnsiTheme="majorHAnsi" w:cstheme="majorHAnsi"/>
        </w:rPr>
        <w:t xml:space="preserve"> must be certified within the prior 3 months and determination made of status. </w:t>
      </w:r>
    </w:p>
    <w:p w14:paraId="0CC60644" w14:textId="77777777" w:rsidR="00E73016" w:rsidRPr="001141DF" w:rsidRDefault="00E73016" w:rsidP="00E340E1">
      <w:pPr>
        <w:spacing w:line="360" w:lineRule="auto"/>
        <w:jc w:val="both"/>
        <w:rPr>
          <w:rFonts w:asciiTheme="majorHAnsi" w:eastAsia="Times New Roman" w:hAnsiTheme="majorHAnsi" w:cstheme="majorHAnsi"/>
        </w:rPr>
      </w:pPr>
    </w:p>
    <w:p w14:paraId="7D324C2A" w14:textId="3981FA8B"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Bridge </w:t>
      </w:r>
      <w:r w:rsidR="002D1A11" w:rsidRPr="001141DF">
        <w:rPr>
          <w:rFonts w:asciiTheme="majorHAnsi" w:eastAsia="Times New Roman" w:hAnsiTheme="majorHAnsi" w:cstheme="majorHAnsi"/>
        </w:rPr>
        <w:t>Certificate Authority will maintain a compliant Public Key Infrastructure in order to guarantee high assurance on its network.</w:t>
      </w:r>
      <w:r w:rsidRPr="001141DF">
        <w:rPr>
          <w:rFonts w:asciiTheme="majorHAnsi" w:eastAsia="Times New Roman" w:hAnsiTheme="majorHAnsi" w:cstheme="majorHAnsi"/>
        </w:rPr>
        <w:t xml:space="preserve"> Bridge will initially designate attorneys and trusted third parties to audit </w:t>
      </w:r>
      <w:r w:rsidR="002D1A11" w:rsidRPr="001141DF">
        <w:rPr>
          <w:rFonts w:asciiTheme="majorHAnsi" w:eastAsia="Times New Roman" w:hAnsiTheme="majorHAnsi" w:cstheme="majorHAnsi"/>
        </w:rPr>
        <w:t>microservices</w:t>
      </w:r>
      <w:r w:rsidR="000275A4" w:rsidRPr="001141DF">
        <w:rPr>
          <w:rFonts w:asciiTheme="majorHAnsi" w:eastAsia="Times New Roman" w:hAnsiTheme="majorHAnsi" w:cstheme="majorHAnsi"/>
        </w:rPr>
        <w:t xml:space="preserve"> where needed</w:t>
      </w:r>
      <w:r w:rsidRPr="001141DF">
        <w:rPr>
          <w:rFonts w:asciiTheme="majorHAnsi" w:eastAsia="Times New Roman" w:hAnsiTheme="majorHAnsi" w:cstheme="majorHAnsi"/>
        </w:rPr>
        <w:t xml:space="preserve">. </w:t>
      </w:r>
      <w:r w:rsidR="002D1A11" w:rsidRPr="001141DF">
        <w:rPr>
          <w:rFonts w:asciiTheme="majorHAnsi" w:eastAsia="Times New Roman" w:hAnsiTheme="majorHAnsi" w:cstheme="majorHAnsi"/>
        </w:rPr>
        <w:t>Cooperation between</w:t>
      </w:r>
      <w:r w:rsidRPr="001141DF">
        <w:rPr>
          <w:rFonts w:asciiTheme="majorHAnsi" w:eastAsia="Times New Roman" w:hAnsiTheme="majorHAnsi" w:cstheme="majorHAnsi"/>
        </w:rPr>
        <w:t xml:space="preserve"> these trusted third parties </w:t>
      </w:r>
      <w:r w:rsidR="002D1A11" w:rsidRPr="001141DF">
        <w:rPr>
          <w:rFonts w:asciiTheme="majorHAnsi" w:eastAsia="Times New Roman" w:hAnsiTheme="majorHAnsi" w:cstheme="majorHAnsi"/>
        </w:rPr>
        <w:t>and Bridge Corporation, will initially be used to</w:t>
      </w:r>
      <w:r w:rsidRPr="001141DF">
        <w:rPr>
          <w:rFonts w:asciiTheme="majorHAnsi" w:eastAsia="Times New Roman" w:hAnsiTheme="majorHAnsi" w:cstheme="majorHAnsi"/>
        </w:rPr>
        <w:t xml:space="preserve"> release smart contract </w:t>
      </w:r>
      <w:r w:rsidR="00C47313" w:rsidRPr="001141DF">
        <w:rPr>
          <w:rFonts w:asciiTheme="majorHAnsi" w:eastAsia="Times New Roman" w:hAnsiTheme="majorHAnsi" w:cstheme="majorHAnsi"/>
        </w:rPr>
        <w:t>services</w:t>
      </w:r>
      <w:r w:rsidRPr="001141DF">
        <w:rPr>
          <w:rFonts w:asciiTheme="majorHAnsi" w:eastAsia="Times New Roman" w:hAnsiTheme="majorHAnsi" w:cstheme="majorHAnsi"/>
        </w:rPr>
        <w:t xml:space="preserve"> and make changes</w:t>
      </w:r>
      <w:r w:rsidR="002D1A11" w:rsidRPr="001141DF">
        <w:rPr>
          <w:rFonts w:asciiTheme="majorHAnsi" w:eastAsia="Times New Roman" w:hAnsiTheme="majorHAnsi" w:cstheme="majorHAnsi"/>
        </w:rPr>
        <w:t xml:space="preserve"> to overall architecture</w:t>
      </w:r>
      <w:r w:rsidRPr="001141DF">
        <w:rPr>
          <w:rFonts w:asciiTheme="majorHAnsi" w:eastAsia="Times New Roman" w:hAnsiTheme="majorHAnsi" w:cstheme="majorHAnsi"/>
        </w:rPr>
        <w:t xml:space="preserve">. </w:t>
      </w:r>
      <w:r w:rsidR="002D1A11" w:rsidRPr="001141DF">
        <w:rPr>
          <w:rFonts w:asciiTheme="majorHAnsi" w:eastAsia="Times New Roman" w:hAnsiTheme="majorHAnsi" w:cstheme="majorHAnsi"/>
        </w:rPr>
        <w:t>These trusted third parties will be represented through</w:t>
      </w:r>
      <w:r w:rsidRPr="001141DF">
        <w:rPr>
          <w:rFonts w:asciiTheme="majorHAnsi" w:eastAsia="Times New Roman" w:hAnsiTheme="majorHAnsi" w:cstheme="majorHAnsi"/>
        </w:rPr>
        <w:t xml:space="preserve"> their </w:t>
      </w:r>
      <w:r w:rsidR="00C47313" w:rsidRPr="001141DF">
        <w:rPr>
          <w:rFonts w:asciiTheme="majorHAnsi" w:eastAsia="Times New Roman" w:hAnsiTheme="majorHAnsi" w:cstheme="majorHAnsi"/>
        </w:rPr>
        <w:t xml:space="preserve">hardware security devices (smart cards, USB tokens) </w:t>
      </w:r>
      <w:r w:rsidRPr="001141DF">
        <w:rPr>
          <w:rFonts w:asciiTheme="majorHAnsi" w:eastAsia="Times New Roman" w:hAnsiTheme="majorHAnsi" w:cstheme="majorHAnsi"/>
        </w:rPr>
        <w:t>which are given to access administrative rights.</w:t>
      </w:r>
    </w:p>
    <w:p w14:paraId="0D866C56" w14:textId="77777777" w:rsidR="00E340E1" w:rsidRPr="001141DF" w:rsidRDefault="00E340E1" w:rsidP="00E340E1">
      <w:pPr>
        <w:spacing w:line="360" w:lineRule="auto"/>
        <w:jc w:val="both"/>
        <w:rPr>
          <w:rFonts w:asciiTheme="majorHAnsi" w:eastAsia="Times New Roman" w:hAnsiTheme="majorHAnsi" w:cstheme="majorHAnsi"/>
        </w:rPr>
      </w:pPr>
    </w:p>
    <w:p w14:paraId="71580620" w14:textId="5A656672"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Our ledger will </w:t>
      </w:r>
      <w:r w:rsidR="00F60157" w:rsidRPr="001141DF">
        <w:rPr>
          <w:rFonts w:asciiTheme="majorHAnsi" w:eastAsia="Times New Roman" w:hAnsiTheme="majorHAnsi" w:cstheme="majorHAnsi"/>
        </w:rPr>
        <w:t>show</w:t>
      </w:r>
      <w:r w:rsidRPr="001141DF">
        <w:rPr>
          <w:rFonts w:asciiTheme="majorHAnsi" w:eastAsia="Times New Roman" w:hAnsiTheme="majorHAnsi" w:cstheme="majorHAnsi"/>
        </w:rPr>
        <w:t xml:space="preserve"> regulators a clear audit trail of the transaction and a verified identity based on our standard. The Bridge standard will follow United States Ant</w:t>
      </w:r>
      <w:r w:rsidR="00E23EA4" w:rsidRPr="001141DF">
        <w:rPr>
          <w:rFonts w:asciiTheme="majorHAnsi" w:eastAsia="Times New Roman" w:hAnsiTheme="majorHAnsi" w:cstheme="majorHAnsi"/>
        </w:rPr>
        <w:t>i</w:t>
      </w:r>
      <w:r w:rsidRPr="001141DF">
        <w:rPr>
          <w:rFonts w:asciiTheme="majorHAnsi" w:eastAsia="Times New Roman" w:hAnsiTheme="majorHAnsi" w:cstheme="majorHAnsi"/>
        </w:rPr>
        <w:t xml:space="preserve">-Money Laundering (AML) / </w:t>
      </w:r>
      <w:r w:rsidR="00D54998" w:rsidRPr="001141DF">
        <w:rPr>
          <w:rFonts w:asciiTheme="majorHAnsi" w:eastAsia="Times New Roman" w:hAnsiTheme="majorHAnsi" w:cstheme="majorHAnsi"/>
        </w:rPr>
        <w:t>Know-Your-Customer</w:t>
      </w:r>
      <w:r w:rsidRPr="001141DF">
        <w:rPr>
          <w:rFonts w:asciiTheme="majorHAnsi" w:eastAsia="Times New Roman" w:hAnsiTheme="majorHAnsi" w:cstheme="majorHAnsi"/>
        </w:rPr>
        <w:t xml:space="preserve"> (KYC) standards.</w:t>
      </w:r>
    </w:p>
    <w:p w14:paraId="0023CF41" w14:textId="77777777" w:rsidR="00810447" w:rsidRPr="001141DF" w:rsidRDefault="00810447" w:rsidP="00810447">
      <w:pPr>
        <w:spacing w:line="360" w:lineRule="auto"/>
        <w:jc w:val="both"/>
        <w:rPr>
          <w:rFonts w:asciiTheme="majorHAnsi" w:eastAsia="Times New Roman" w:hAnsiTheme="majorHAnsi" w:cstheme="majorHAnsi"/>
          <w:b/>
        </w:rPr>
      </w:pPr>
    </w:p>
    <w:p w14:paraId="07C63D8F" w14:textId="3D506BC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b/>
          <w:bCs/>
        </w:rPr>
        <w:t>Example</w:t>
      </w:r>
      <w:r w:rsidRPr="001141DF">
        <w:rPr>
          <w:rFonts w:asciiTheme="majorHAnsi" w:eastAsia="Times New Roman" w:hAnsiTheme="majorHAnsi" w:cstheme="majorHAnsi"/>
        </w:rPr>
        <w:t xml:space="preserve">: </w:t>
      </w:r>
    </w:p>
    <w:p w14:paraId="51438450" w14:textId="77777777" w:rsidR="00E340E1" w:rsidRPr="001141DF" w:rsidRDefault="00E340E1" w:rsidP="00B04AF8">
      <w:pPr>
        <w:jc w:val="both"/>
        <w:rPr>
          <w:rFonts w:asciiTheme="majorHAnsi" w:eastAsia="Times New Roman" w:hAnsiTheme="majorHAnsi" w:cstheme="majorHAnsi"/>
        </w:rPr>
      </w:pPr>
    </w:p>
    <w:p w14:paraId="5B344D0C" w14:textId="3D85F905"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John wants to participate in a “token sale” that requires a KYC process and they ask for a lot of his personal information. Instead of submitting his private information to a random person or entity, he shares his Bridge public key address from his Bridge wallet for the whitelist process. The token sale owners will then use Bridge tokens to verify the public wallet address from John and ensure that it links to John’s basic information given in </w:t>
      </w:r>
      <w:r w:rsidR="00523DB1" w:rsidRPr="001141DF">
        <w:rPr>
          <w:rFonts w:asciiTheme="majorHAnsi" w:eastAsia="Times New Roman" w:hAnsiTheme="majorHAnsi" w:cstheme="majorHAnsi"/>
        </w:rPr>
        <w:t xml:space="preserve">the </w:t>
      </w:r>
      <w:r w:rsidRPr="001141DF">
        <w:rPr>
          <w:rFonts w:asciiTheme="majorHAnsi" w:eastAsia="Times New Roman" w:hAnsiTheme="majorHAnsi" w:cstheme="majorHAnsi"/>
        </w:rPr>
        <w:t>whitelist. John then signs the participation document with his private key, creating a legal</w:t>
      </w:r>
      <w:r w:rsidR="00523DB1" w:rsidRPr="001141DF">
        <w:rPr>
          <w:rFonts w:asciiTheme="majorHAnsi" w:eastAsia="Times New Roman" w:hAnsiTheme="majorHAnsi" w:cstheme="majorHAnsi"/>
        </w:rPr>
        <w:t>ly</w:t>
      </w:r>
      <w:r w:rsidRPr="001141DF">
        <w:rPr>
          <w:rFonts w:asciiTheme="majorHAnsi" w:eastAsia="Times New Roman" w:hAnsiTheme="majorHAnsi" w:cstheme="majorHAnsi"/>
        </w:rPr>
        <w:t xml:space="preserve"> trusted and binding agreement. This will keep John’s sensitive data secure and offer a better solution than </w:t>
      </w:r>
      <w:r w:rsidR="00523DB1" w:rsidRPr="001141DF">
        <w:rPr>
          <w:rFonts w:asciiTheme="majorHAnsi" w:eastAsia="Times New Roman" w:hAnsiTheme="majorHAnsi" w:cstheme="majorHAnsi"/>
        </w:rPr>
        <w:t>currently available</w:t>
      </w:r>
      <w:r w:rsidRPr="001141DF">
        <w:rPr>
          <w:rFonts w:asciiTheme="majorHAnsi" w:eastAsia="Times New Roman" w:hAnsiTheme="majorHAnsi" w:cstheme="majorHAnsi"/>
        </w:rPr>
        <w:t>.</w:t>
      </w:r>
    </w:p>
    <w:p w14:paraId="7C3780E2" w14:textId="77777777" w:rsidR="00E340E1" w:rsidRPr="001141DF" w:rsidRDefault="00E340E1" w:rsidP="00E340E1">
      <w:pPr>
        <w:spacing w:line="360" w:lineRule="auto"/>
        <w:jc w:val="both"/>
        <w:rPr>
          <w:rFonts w:asciiTheme="majorHAnsi" w:eastAsia="Times New Roman" w:hAnsiTheme="majorHAnsi" w:cstheme="majorHAnsi"/>
        </w:rPr>
      </w:pPr>
    </w:p>
    <w:p w14:paraId="48C8EFA1" w14:textId="0758FB3A"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verifier </w:t>
      </w:r>
      <w:r w:rsidR="00523DB1" w:rsidRPr="001141DF">
        <w:rPr>
          <w:rFonts w:asciiTheme="majorHAnsi" w:eastAsia="Times New Roman" w:hAnsiTheme="majorHAnsi" w:cstheme="majorHAnsi"/>
        </w:rPr>
        <w:t>knows immediately which T</w:t>
      </w:r>
      <w:r w:rsidR="0070180A" w:rsidRPr="001141DF">
        <w:rPr>
          <w:rFonts w:asciiTheme="majorHAnsi" w:eastAsia="Times New Roman" w:hAnsiTheme="majorHAnsi" w:cstheme="majorHAnsi"/>
        </w:rPr>
        <w:t xml:space="preserve">ier the participant has </w:t>
      </w:r>
      <w:r w:rsidR="00523DB1" w:rsidRPr="001141DF">
        <w:rPr>
          <w:rFonts w:asciiTheme="majorHAnsi" w:eastAsia="Times New Roman" w:hAnsiTheme="majorHAnsi" w:cstheme="majorHAnsi"/>
        </w:rPr>
        <w:t>been classed</w:t>
      </w:r>
      <w:r w:rsidR="0070180A" w:rsidRPr="001141DF">
        <w:rPr>
          <w:rFonts w:asciiTheme="majorHAnsi" w:eastAsia="Times New Roman" w:hAnsiTheme="majorHAnsi" w:cstheme="majorHAnsi"/>
        </w:rPr>
        <w:t xml:space="preserve"> based on </w:t>
      </w:r>
      <w:r w:rsidR="00523DB1" w:rsidRPr="001141DF">
        <w:rPr>
          <w:rFonts w:asciiTheme="majorHAnsi" w:eastAsia="Times New Roman" w:hAnsiTheme="majorHAnsi" w:cstheme="majorHAnsi"/>
        </w:rPr>
        <w:t>extensions</w:t>
      </w:r>
      <w:r w:rsidR="0070180A" w:rsidRPr="001141DF">
        <w:rPr>
          <w:rFonts w:asciiTheme="majorHAnsi" w:eastAsia="Times New Roman" w:hAnsiTheme="majorHAnsi" w:cstheme="majorHAnsi"/>
        </w:rPr>
        <w:t xml:space="preserve"> embedded in the</w:t>
      </w:r>
      <w:r w:rsidR="004B760F" w:rsidRPr="001141DF">
        <w:rPr>
          <w:rFonts w:asciiTheme="majorHAnsi" w:eastAsia="Times New Roman" w:hAnsiTheme="majorHAnsi" w:cstheme="majorHAnsi"/>
        </w:rPr>
        <w:t>ir portable</w:t>
      </w:r>
      <w:r w:rsidR="0070180A" w:rsidRPr="001141DF">
        <w:rPr>
          <w:rFonts w:asciiTheme="majorHAnsi" w:eastAsia="Times New Roman" w:hAnsiTheme="majorHAnsi" w:cstheme="majorHAnsi"/>
        </w:rPr>
        <w:t xml:space="preserve"> </w:t>
      </w:r>
      <w:r w:rsidR="00523DB1" w:rsidRPr="001141DF">
        <w:rPr>
          <w:rFonts w:asciiTheme="majorHAnsi" w:eastAsia="Times New Roman" w:hAnsiTheme="majorHAnsi" w:cstheme="majorHAnsi"/>
        </w:rPr>
        <w:t>certificate</w:t>
      </w:r>
      <w:r w:rsidR="00E174F8" w:rsidRPr="001141DF">
        <w:rPr>
          <w:rFonts w:asciiTheme="majorHAnsi" w:eastAsia="Times New Roman" w:hAnsiTheme="majorHAnsi" w:cstheme="majorHAnsi"/>
        </w:rPr>
        <w:t>. This eliminates the</w:t>
      </w:r>
      <w:r w:rsidR="0070180A" w:rsidRPr="001141DF">
        <w:rPr>
          <w:rFonts w:asciiTheme="majorHAnsi" w:eastAsia="Times New Roman" w:hAnsiTheme="majorHAnsi" w:cstheme="majorHAnsi"/>
        </w:rPr>
        <w:t xml:space="preserve"> </w:t>
      </w:r>
      <w:r w:rsidR="00511F9B" w:rsidRPr="001141DF">
        <w:rPr>
          <w:rFonts w:asciiTheme="majorHAnsi" w:eastAsia="Times New Roman" w:hAnsiTheme="majorHAnsi" w:cstheme="majorHAnsi"/>
        </w:rPr>
        <w:t xml:space="preserve">manual process </w:t>
      </w:r>
      <w:r w:rsidR="00E174F8" w:rsidRPr="001141DF">
        <w:rPr>
          <w:rFonts w:asciiTheme="majorHAnsi" w:eastAsia="Times New Roman" w:hAnsiTheme="majorHAnsi" w:cstheme="majorHAnsi"/>
        </w:rPr>
        <w:t xml:space="preserve">currently done for KYC </w:t>
      </w:r>
      <w:r w:rsidR="00511F9B" w:rsidRPr="001141DF">
        <w:rPr>
          <w:rFonts w:asciiTheme="majorHAnsi" w:eastAsia="Times New Roman" w:hAnsiTheme="majorHAnsi" w:cstheme="majorHAnsi"/>
        </w:rPr>
        <w:t>and offers</w:t>
      </w:r>
      <w:r w:rsidR="0070180A" w:rsidRPr="001141DF">
        <w:rPr>
          <w:rFonts w:asciiTheme="majorHAnsi" w:eastAsia="Times New Roman" w:hAnsiTheme="majorHAnsi" w:cstheme="majorHAnsi"/>
        </w:rPr>
        <w:t xml:space="preserve"> </w:t>
      </w:r>
      <w:r w:rsidR="004B760F" w:rsidRPr="001141DF">
        <w:rPr>
          <w:rFonts w:asciiTheme="majorHAnsi" w:eastAsia="Times New Roman" w:hAnsiTheme="majorHAnsi" w:cstheme="majorHAnsi"/>
        </w:rPr>
        <w:t>an easy way to safely participate in multiple whitelists.</w:t>
      </w:r>
      <w:r w:rsidR="0070180A" w:rsidRPr="001141DF">
        <w:rPr>
          <w:rFonts w:asciiTheme="majorHAnsi" w:eastAsia="Times New Roman" w:hAnsiTheme="majorHAnsi" w:cstheme="majorHAnsi"/>
        </w:rPr>
        <w:t xml:space="preserve"> </w:t>
      </w:r>
    </w:p>
    <w:p w14:paraId="5F9DCED3" w14:textId="77777777" w:rsidR="0012307F" w:rsidRPr="001141DF" w:rsidRDefault="0012307F" w:rsidP="00E340E1">
      <w:pPr>
        <w:spacing w:line="360" w:lineRule="auto"/>
        <w:jc w:val="both"/>
        <w:rPr>
          <w:rFonts w:asciiTheme="majorHAnsi" w:eastAsia="Times New Roman" w:hAnsiTheme="majorHAnsi" w:cstheme="majorHAnsi"/>
        </w:rPr>
      </w:pPr>
    </w:p>
    <w:p w14:paraId="5E35D9DA" w14:textId="771F9458"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lastRenderedPageBreak/>
        <w:t xml:space="preserve">Think of this as “thawing” your credit before purchasing a home or vehicle. This will allow consumers and businesses to comply with standards set on an international scale, while putting data control in the hands of the user. </w:t>
      </w:r>
    </w:p>
    <w:p w14:paraId="118AE590" w14:textId="77777777" w:rsidR="00150B19" w:rsidRPr="001141DF" w:rsidRDefault="00150B19" w:rsidP="00E340E1">
      <w:pPr>
        <w:spacing w:line="360" w:lineRule="auto"/>
        <w:jc w:val="both"/>
        <w:rPr>
          <w:rFonts w:asciiTheme="majorHAnsi" w:eastAsia="Times New Roman" w:hAnsiTheme="majorHAnsi" w:cstheme="majorHAnsi"/>
        </w:rPr>
      </w:pPr>
    </w:p>
    <w:p w14:paraId="52F36B91" w14:textId="5DA716EC"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Having crowdfunding campaigns on NEO comes with inherent thresholds to launch smart contracts and this acts as a base layer for vetting, but the community has asked for a </w:t>
      </w:r>
      <w:r w:rsidR="00A7188B" w:rsidRPr="001141DF">
        <w:rPr>
          <w:rFonts w:asciiTheme="majorHAnsi" w:eastAsia="Times New Roman" w:hAnsiTheme="majorHAnsi" w:cstheme="majorHAnsi"/>
        </w:rPr>
        <w:t>compliance</w:t>
      </w:r>
      <w:r w:rsidRPr="001141DF">
        <w:rPr>
          <w:rFonts w:asciiTheme="majorHAnsi" w:eastAsia="Times New Roman" w:hAnsiTheme="majorHAnsi" w:cstheme="majorHAnsi"/>
        </w:rPr>
        <w:t xml:space="preserve"> platform. Decentralizing and protecting user data coupled with AML/KYC procedures will position new ICOs on NEO to a higher, more regulatory compliant standard. Bridge will create the one whitelist, one KYC standard for access to many ICOs.</w:t>
      </w:r>
    </w:p>
    <w:p w14:paraId="3D9197AC" w14:textId="77777777" w:rsidR="0070180A" w:rsidRPr="001141DF" w:rsidRDefault="0070180A" w:rsidP="00B04AF8">
      <w:pPr>
        <w:jc w:val="both"/>
        <w:rPr>
          <w:rFonts w:asciiTheme="majorHAnsi" w:eastAsia="Times New Roman" w:hAnsiTheme="majorHAnsi" w:cstheme="majorHAnsi"/>
        </w:rPr>
      </w:pPr>
    </w:p>
    <w:p w14:paraId="157465BF" w14:textId="77777777" w:rsidR="0070180A" w:rsidRPr="001141DF" w:rsidRDefault="0070180A" w:rsidP="00B04AF8">
      <w:pPr>
        <w:jc w:val="both"/>
        <w:rPr>
          <w:rFonts w:asciiTheme="majorHAnsi" w:eastAsia="Times New Roman" w:hAnsiTheme="majorHAnsi" w:cstheme="majorHAnsi"/>
        </w:rPr>
      </w:pPr>
    </w:p>
    <w:p w14:paraId="38715539" w14:textId="77777777" w:rsidR="0012307F" w:rsidRPr="001141DF" w:rsidRDefault="007D2739" w:rsidP="00B04AF8">
      <w:pPr>
        <w:pBdr>
          <w:bottom w:val="single" w:sz="4" w:space="1" w:color="2FA3EE"/>
        </w:pBdr>
        <w:spacing w:before="400" w:after="40"/>
        <w:jc w:val="both"/>
        <w:outlineLvl w:val="0"/>
        <w:rPr>
          <w:rStyle w:val="IntenseReference"/>
          <w:rFonts w:asciiTheme="majorHAnsi" w:hAnsiTheme="majorHAnsi" w:cstheme="majorHAnsi"/>
          <w:color w:val="auto"/>
          <w:sz w:val="40"/>
          <w:szCs w:val="36"/>
        </w:rPr>
      </w:pPr>
      <w:bookmarkStart w:id="5" w:name="_Toc504511283"/>
      <w:r w:rsidRPr="001141DF">
        <w:rPr>
          <w:rStyle w:val="IntenseReference"/>
          <w:rFonts w:asciiTheme="majorHAnsi" w:hAnsiTheme="majorHAnsi" w:cstheme="majorHAnsi"/>
          <w:color w:val="auto"/>
          <w:sz w:val="40"/>
          <w:szCs w:val="36"/>
        </w:rPr>
        <w:t>SOLUTION FOR LEGAL PROCESSES</w:t>
      </w:r>
      <w:bookmarkEnd w:id="5"/>
    </w:p>
    <w:p w14:paraId="6EDF4B63" w14:textId="77777777" w:rsidR="0012307F" w:rsidRPr="001141DF" w:rsidRDefault="0012307F" w:rsidP="00E340E1">
      <w:pPr>
        <w:spacing w:line="360" w:lineRule="auto"/>
        <w:jc w:val="both"/>
        <w:rPr>
          <w:rFonts w:asciiTheme="majorHAnsi" w:eastAsia="Times New Roman" w:hAnsiTheme="majorHAnsi" w:cstheme="majorHAnsi"/>
        </w:rPr>
      </w:pPr>
    </w:p>
    <w:p w14:paraId="075C1373" w14:textId="79ED5FCD"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There are businesses with fundamental issues that can be solved with implementation of verification protocols and the blockchain. The legal process can benefit </w:t>
      </w:r>
      <w:r w:rsidR="00FA689B" w:rsidRPr="001141DF">
        <w:rPr>
          <w:rFonts w:asciiTheme="majorHAnsi" w:eastAsia="Times New Roman" w:hAnsiTheme="majorHAnsi" w:cstheme="majorHAnsi"/>
        </w:rPr>
        <w:t>with</w:t>
      </w:r>
      <w:r w:rsidRPr="001141DF">
        <w:rPr>
          <w:rFonts w:asciiTheme="majorHAnsi" w:eastAsia="Times New Roman" w:hAnsiTheme="majorHAnsi" w:cstheme="majorHAnsi"/>
        </w:rPr>
        <w:t xml:space="preserve"> </w:t>
      </w:r>
      <w:r w:rsidR="00FA689B" w:rsidRPr="001141DF">
        <w:rPr>
          <w:rFonts w:asciiTheme="majorHAnsi" w:eastAsia="Times New Roman" w:hAnsiTheme="majorHAnsi" w:cstheme="majorHAnsi"/>
        </w:rPr>
        <w:t>these verified identities and in recognition of their sovereignty, provide new avenues of trust.</w:t>
      </w:r>
    </w:p>
    <w:p w14:paraId="7262C744" w14:textId="77777777" w:rsidR="0012307F" w:rsidRPr="001141DF" w:rsidRDefault="0012307F" w:rsidP="00E340E1">
      <w:pPr>
        <w:spacing w:line="360" w:lineRule="auto"/>
        <w:jc w:val="both"/>
        <w:rPr>
          <w:rFonts w:asciiTheme="majorHAnsi" w:eastAsia="Times New Roman" w:hAnsiTheme="majorHAnsi" w:cstheme="majorHAnsi"/>
        </w:rPr>
      </w:pPr>
    </w:p>
    <w:p w14:paraId="20A3C177" w14:textId="159BD71F" w:rsidR="00E340E1" w:rsidRPr="001141DF" w:rsidRDefault="00162193"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During the D</w:t>
      </w:r>
      <w:r w:rsidR="007D2739" w:rsidRPr="001141DF">
        <w:rPr>
          <w:rFonts w:asciiTheme="majorHAnsi" w:eastAsia="Times New Roman" w:hAnsiTheme="majorHAnsi" w:cstheme="majorHAnsi"/>
        </w:rPr>
        <w:t>ot</w:t>
      </w:r>
      <w:r w:rsidRPr="001141DF">
        <w:rPr>
          <w:rFonts w:asciiTheme="majorHAnsi" w:eastAsia="Times New Roman" w:hAnsiTheme="majorHAnsi" w:cstheme="majorHAnsi"/>
        </w:rPr>
        <w:t>-</w:t>
      </w:r>
      <w:r w:rsidR="007D2739" w:rsidRPr="001141DF">
        <w:rPr>
          <w:rFonts w:asciiTheme="majorHAnsi" w:eastAsia="Times New Roman" w:hAnsiTheme="majorHAnsi" w:cstheme="majorHAnsi"/>
        </w:rPr>
        <w:t xml:space="preserve">com era, </w:t>
      </w:r>
      <w:r w:rsidR="00D35316" w:rsidRPr="001141DF">
        <w:rPr>
          <w:rFonts w:asciiTheme="majorHAnsi" w:eastAsia="Times New Roman" w:hAnsiTheme="majorHAnsi" w:cstheme="majorHAnsi"/>
        </w:rPr>
        <w:t xml:space="preserve">technological innovations </w:t>
      </w:r>
      <w:r w:rsidR="007D2739" w:rsidRPr="001141DF">
        <w:rPr>
          <w:rFonts w:asciiTheme="majorHAnsi" w:eastAsia="Times New Roman" w:hAnsiTheme="majorHAnsi" w:cstheme="majorHAnsi"/>
        </w:rPr>
        <w:t xml:space="preserve">brought change </w:t>
      </w:r>
      <w:r w:rsidR="00D35316" w:rsidRPr="001141DF">
        <w:rPr>
          <w:rFonts w:asciiTheme="majorHAnsi" w:eastAsia="Times New Roman" w:hAnsiTheme="majorHAnsi" w:cstheme="majorHAnsi"/>
        </w:rPr>
        <w:t>to the legal processes and traditional big firm business models. This resulted in a reduction of fees</w:t>
      </w:r>
      <w:r w:rsidR="007D2739" w:rsidRPr="001141DF">
        <w:rPr>
          <w:rFonts w:asciiTheme="majorHAnsi" w:eastAsia="Times New Roman" w:hAnsiTheme="majorHAnsi" w:cstheme="majorHAnsi"/>
        </w:rPr>
        <w:t xml:space="preserve"> </w:t>
      </w:r>
      <w:r w:rsidR="00D35316" w:rsidRPr="001141DF">
        <w:rPr>
          <w:rFonts w:asciiTheme="majorHAnsi" w:eastAsia="Times New Roman" w:hAnsiTheme="majorHAnsi" w:cstheme="majorHAnsi"/>
        </w:rPr>
        <w:t>that</w:t>
      </w:r>
      <w:r w:rsidR="007D2739" w:rsidRPr="001141DF">
        <w:rPr>
          <w:rFonts w:asciiTheme="majorHAnsi" w:eastAsia="Times New Roman" w:hAnsiTheme="majorHAnsi" w:cstheme="majorHAnsi"/>
        </w:rPr>
        <w:t xml:space="preserve"> benefited the consumer. Our system is the next phase </w:t>
      </w:r>
      <w:r w:rsidR="00745A50" w:rsidRPr="001141DF">
        <w:rPr>
          <w:rFonts w:asciiTheme="majorHAnsi" w:eastAsia="Times New Roman" w:hAnsiTheme="majorHAnsi" w:cstheme="majorHAnsi"/>
        </w:rPr>
        <w:t>in</w:t>
      </w:r>
      <w:r w:rsidR="007D2739" w:rsidRPr="001141DF">
        <w:rPr>
          <w:rFonts w:asciiTheme="majorHAnsi" w:eastAsia="Times New Roman" w:hAnsiTheme="majorHAnsi" w:cstheme="majorHAnsi"/>
        </w:rPr>
        <w:t xml:space="preserve"> a cultivation of emerging technology which will continue this trend of benefitting the consumer. </w:t>
      </w:r>
    </w:p>
    <w:p w14:paraId="037244C7" w14:textId="77777777" w:rsidR="00E340E1" w:rsidRPr="001141DF" w:rsidRDefault="00E340E1" w:rsidP="00E340E1">
      <w:pPr>
        <w:spacing w:line="360" w:lineRule="auto"/>
        <w:jc w:val="both"/>
        <w:rPr>
          <w:rFonts w:asciiTheme="majorHAnsi" w:eastAsia="Times New Roman" w:hAnsiTheme="majorHAnsi" w:cstheme="majorHAnsi"/>
        </w:rPr>
      </w:pPr>
    </w:p>
    <w:p w14:paraId="52836726" w14:textId="7064E1A4"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We will create </w:t>
      </w:r>
      <w:r w:rsidR="00745A50" w:rsidRPr="001141DF">
        <w:rPr>
          <w:rFonts w:asciiTheme="majorHAnsi" w:eastAsia="Times New Roman" w:hAnsiTheme="majorHAnsi" w:cstheme="majorHAnsi"/>
        </w:rPr>
        <w:t xml:space="preserve">a marketplace that supports </w:t>
      </w:r>
      <w:r w:rsidRPr="001141DF">
        <w:rPr>
          <w:rFonts w:asciiTheme="majorHAnsi" w:eastAsia="Times New Roman" w:hAnsiTheme="majorHAnsi" w:cstheme="majorHAnsi"/>
        </w:rPr>
        <w:t xml:space="preserve">new </w:t>
      </w:r>
      <w:r w:rsidR="00745A50" w:rsidRPr="001141DF">
        <w:rPr>
          <w:rFonts w:asciiTheme="majorHAnsi" w:eastAsia="Times New Roman" w:hAnsiTheme="majorHAnsi" w:cstheme="majorHAnsi"/>
        </w:rPr>
        <w:t>legal services</w:t>
      </w:r>
      <w:r w:rsidRPr="001141DF">
        <w:rPr>
          <w:rFonts w:asciiTheme="majorHAnsi" w:eastAsia="Times New Roman" w:hAnsiTheme="majorHAnsi" w:cstheme="majorHAnsi"/>
        </w:rPr>
        <w:t xml:space="preserve"> for token sales, wills, employment agreements and much more. This process will keep documents consistently evolving and updated to new regulations and legal changes. The </w:t>
      </w:r>
      <w:r w:rsidR="008D08BD" w:rsidRPr="001141DF">
        <w:rPr>
          <w:rFonts w:asciiTheme="majorHAnsi" w:eastAsia="Times New Roman" w:hAnsiTheme="majorHAnsi" w:cstheme="majorHAnsi"/>
        </w:rPr>
        <w:t>contributor</w:t>
      </w:r>
      <w:r w:rsidRPr="001141DF">
        <w:rPr>
          <w:rFonts w:asciiTheme="majorHAnsi" w:eastAsia="Times New Roman" w:hAnsiTheme="majorHAnsi" w:cstheme="majorHAnsi"/>
        </w:rPr>
        <w:t xml:space="preserve"> of the legal </w:t>
      </w:r>
      <w:r w:rsidR="008D08BD" w:rsidRPr="001141DF">
        <w:rPr>
          <w:rFonts w:asciiTheme="majorHAnsi" w:eastAsia="Times New Roman" w:hAnsiTheme="majorHAnsi" w:cstheme="majorHAnsi"/>
        </w:rPr>
        <w:t>process</w:t>
      </w:r>
      <w:r w:rsidRPr="001141DF">
        <w:rPr>
          <w:rFonts w:asciiTheme="majorHAnsi" w:eastAsia="Times New Roman" w:hAnsiTheme="majorHAnsi" w:cstheme="majorHAnsi"/>
        </w:rPr>
        <w:t xml:space="preserve"> will be rewarded with the native token as a bonus for producing new </w:t>
      </w:r>
      <w:r w:rsidR="008D08BD" w:rsidRPr="001141DF">
        <w:rPr>
          <w:rFonts w:asciiTheme="majorHAnsi" w:eastAsia="Times New Roman" w:hAnsiTheme="majorHAnsi" w:cstheme="majorHAnsi"/>
        </w:rPr>
        <w:t>microservices</w:t>
      </w:r>
      <w:r w:rsidRPr="001141DF">
        <w:rPr>
          <w:rFonts w:asciiTheme="majorHAnsi" w:eastAsia="Times New Roman" w:hAnsiTheme="majorHAnsi" w:cstheme="majorHAnsi"/>
        </w:rPr>
        <w:t xml:space="preserve">. The marketplace will not be limited though, </w:t>
      </w:r>
      <w:r w:rsidR="008D08BD" w:rsidRPr="001141DF">
        <w:rPr>
          <w:rFonts w:asciiTheme="majorHAnsi" w:eastAsia="Times New Roman" w:hAnsiTheme="majorHAnsi" w:cstheme="majorHAnsi"/>
        </w:rPr>
        <w:t xml:space="preserve">as </w:t>
      </w:r>
      <w:r w:rsidRPr="001141DF">
        <w:rPr>
          <w:rFonts w:asciiTheme="majorHAnsi" w:eastAsia="Times New Roman" w:hAnsiTheme="majorHAnsi" w:cstheme="majorHAnsi"/>
        </w:rPr>
        <w:t xml:space="preserve">auditors can propose and drive </w:t>
      </w:r>
      <w:r w:rsidR="008D08BD" w:rsidRPr="001141DF">
        <w:rPr>
          <w:rFonts w:asciiTheme="majorHAnsi" w:eastAsia="Times New Roman" w:hAnsiTheme="majorHAnsi" w:cstheme="majorHAnsi"/>
        </w:rPr>
        <w:t>development</w:t>
      </w:r>
      <w:r w:rsidRPr="001141DF">
        <w:rPr>
          <w:rFonts w:asciiTheme="majorHAnsi" w:eastAsia="Times New Roman" w:hAnsiTheme="majorHAnsi" w:cstheme="majorHAnsi"/>
        </w:rPr>
        <w:t xml:space="preserve"> for any busines</w:t>
      </w:r>
      <w:r w:rsidR="008D08BD" w:rsidRPr="001141DF">
        <w:rPr>
          <w:rFonts w:asciiTheme="majorHAnsi" w:eastAsia="Times New Roman" w:hAnsiTheme="majorHAnsi" w:cstheme="majorHAnsi"/>
        </w:rPr>
        <w:t>s or community need.</w:t>
      </w:r>
    </w:p>
    <w:p w14:paraId="161908EE" w14:textId="77777777" w:rsidR="0012307F" w:rsidRPr="001141DF" w:rsidRDefault="0012307F" w:rsidP="00E340E1">
      <w:pPr>
        <w:spacing w:line="360" w:lineRule="auto"/>
        <w:jc w:val="both"/>
        <w:rPr>
          <w:rFonts w:asciiTheme="majorHAnsi" w:eastAsia="Times New Roman" w:hAnsiTheme="majorHAnsi" w:cstheme="majorHAnsi"/>
        </w:rPr>
      </w:pPr>
    </w:p>
    <w:p w14:paraId="59784A0E" w14:textId="5F92021A" w:rsidR="0012307F" w:rsidRPr="001141DF" w:rsidRDefault="007D2739" w:rsidP="00E340E1">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lastRenderedPageBreak/>
        <w:t xml:space="preserve">Community participants will also be able </w:t>
      </w:r>
      <w:r w:rsidR="0069492B" w:rsidRPr="001141DF">
        <w:rPr>
          <w:rFonts w:asciiTheme="majorHAnsi" w:eastAsia="Times New Roman" w:hAnsiTheme="majorHAnsi" w:cstheme="majorHAnsi"/>
        </w:rPr>
        <w:t>solicit</w:t>
      </w:r>
      <w:r w:rsidRPr="001141DF">
        <w:rPr>
          <w:rFonts w:asciiTheme="majorHAnsi" w:eastAsia="Times New Roman" w:hAnsiTheme="majorHAnsi" w:cstheme="majorHAnsi"/>
        </w:rPr>
        <w:t xml:space="preserve"> legal consult by certified auditors and attorneys. Participants will be able to see a background of the auditor and their licensed states to p</w:t>
      </w:r>
      <w:r w:rsidR="00DA1CB0" w:rsidRPr="001141DF">
        <w:rPr>
          <w:rFonts w:asciiTheme="majorHAnsi" w:eastAsia="Times New Roman" w:hAnsiTheme="majorHAnsi" w:cstheme="majorHAnsi"/>
        </w:rPr>
        <w:t>ractice law</w:t>
      </w:r>
      <w:r w:rsidRPr="001141DF">
        <w:rPr>
          <w:rFonts w:asciiTheme="majorHAnsi" w:eastAsia="Times New Roman" w:hAnsiTheme="majorHAnsi" w:cstheme="majorHAnsi"/>
        </w:rPr>
        <w:t xml:space="preserve">. Our tokens will be used as payment to legal teams and for processing </w:t>
      </w:r>
      <w:r w:rsidR="00DA1CB0" w:rsidRPr="001141DF">
        <w:rPr>
          <w:rFonts w:asciiTheme="majorHAnsi" w:eastAsia="Times New Roman" w:hAnsiTheme="majorHAnsi" w:cstheme="majorHAnsi"/>
        </w:rPr>
        <w:t>microservices</w:t>
      </w:r>
      <w:r w:rsidRPr="001141DF">
        <w:rPr>
          <w:rFonts w:asciiTheme="majorHAnsi" w:eastAsia="Times New Roman" w:hAnsiTheme="majorHAnsi" w:cstheme="majorHAnsi"/>
        </w:rPr>
        <w:t>.</w:t>
      </w:r>
      <w:r w:rsidR="00DA1CB0" w:rsidRPr="001141DF">
        <w:rPr>
          <w:rFonts w:asciiTheme="majorHAnsi" w:eastAsia="Times New Roman" w:hAnsiTheme="majorHAnsi" w:cstheme="majorHAnsi"/>
        </w:rPr>
        <w:t xml:space="preserve"> Bridge will connect software developers and </w:t>
      </w:r>
      <w:r w:rsidR="00464A0F" w:rsidRPr="001141DF">
        <w:rPr>
          <w:rFonts w:asciiTheme="majorHAnsi" w:eastAsia="Times New Roman" w:hAnsiTheme="majorHAnsi" w:cstheme="majorHAnsi"/>
        </w:rPr>
        <w:t>legal experts in a platform that is conducive to collaboration and community benefit.</w:t>
      </w:r>
    </w:p>
    <w:p w14:paraId="7F6785DE" w14:textId="41A1430B" w:rsidR="00C332EF" w:rsidRPr="001141DF" w:rsidRDefault="00C332EF" w:rsidP="00E340E1">
      <w:pPr>
        <w:spacing w:line="360" w:lineRule="auto"/>
        <w:jc w:val="both"/>
        <w:rPr>
          <w:rFonts w:asciiTheme="majorHAnsi" w:eastAsia="Times New Roman" w:hAnsiTheme="majorHAnsi" w:cstheme="majorHAnsi"/>
        </w:rPr>
      </w:pPr>
    </w:p>
    <w:p w14:paraId="6E2BCB6C" w14:textId="3108A1F7" w:rsidR="00C332EF" w:rsidRDefault="00C332EF" w:rsidP="0026303E">
      <w:pPr>
        <w:spacing w:line="360" w:lineRule="auto"/>
        <w:jc w:val="both"/>
        <w:rPr>
          <w:rFonts w:asciiTheme="majorHAnsi" w:eastAsia="Times New Roman" w:hAnsiTheme="majorHAnsi" w:cstheme="majorHAnsi"/>
        </w:rPr>
      </w:pPr>
      <w:bookmarkStart w:id="6" w:name="_Toc504478954"/>
      <w:r w:rsidRPr="001141DF">
        <w:rPr>
          <w:rFonts w:asciiTheme="majorHAnsi" w:eastAsia="Times New Roman" w:hAnsiTheme="majorHAnsi" w:cstheme="majorHAnsi"/>
          <w:kern w:val="2"/>
        </w:rPr>
        <w:t xml:space="preserve">Remaining compliant with current laws through varying nations will be a challenge. Regulations like General Data Protection Regulation (GDPR) in Europe require that users’ data must be removable, portable and secure. Put simply, there is a requirement that data must only be kept for its original purpose and not for any time thereafter. While true that blockchains create an immutable ledger, Bridge only uses this for historical record while all personal information remains fluid. </w:t>
      </w:r>
      <w:bookmarkEnd w:id="6"/>
      <w:r w:rsidRPr="001141DF">
        <w:rPr>
          <w:rFonts w:asciiTheme="majorHAnsi" w:eastAsia="Times New Roman" w:hAnsiTheme="majorHAnsi" w:cstheme="majorHAnsi"/>
          <w:kern w:val="2"/>
        </w:rPr>
        <w:t>GDPR is only one example where our Tier concept can be utilized for individual and enterprise compliance solutions that add quantifiable value.</w:t>
      </w:r>
      <w:bookmarkStart w:id="7" w:name="_Toc504005768"/>
      <w:bookmarkStart w:id="8" w:name="_Toc504005369"/>
      <w:bookmarkStart w:id="9" w:name="_Toc503302253"/>
      <w:bookmarkStart w:id="10" w:name="_Toc503302048"/>
      <w:bookmarkStart w:id="11" w:name="_Toc503301734"/>
      <w:bookmarkEnd w:id="7"/>
      <w:bookmarkEnd w:id="8"/>
      <w:bookmarkEnd w:id="9"/>
      <w:bookmarkEnd w:id="10"/>
      <w:bookmarkEnd w:id="11"/>
    </w:p>
    <w:p w14:paraId="333A5DDE" w14:textId="6437D5E5" w:rsidR="0026303E" w:rsidRDefault="0026303E" w:rsidP="0026303E">
      <w:pPr>
        <w:spacing w:line="360" w:lineRule="auto"/>
        <w:jc w:val="both"/>
        <w:rPr>
          <w:rFonts w:asciiTheme="majorHAnsi" w:eastAsia="Times New Roman" w:hAnsiTheme="majorHAnsi" w:cstheme="majorHAnsi"/>
        </w:rPr>
      </w:pPr>
    </w:p>
    <w:p w14:paraId="4D15AD4C" w14:textId="77777777" w:rsidR="0026303E" w:rsidRPr="0026303E" w:rsidRDefault="0026303E" w:rsidP="0026303E">
      <w:pPr>
        <w:spacing w:line="360" w:lineRule="auto"/>
        <w:jc w:val="both"/>
        <w:rPr>
          <w:rFonts w:asciiTheme="majorHAnsi" w:eastAsia="Times New Roman" w:hAnsiTheme="majorHAnsi" w:cstheme="majorHAnsi"/>
        </w:rPr>
      </w:pPr>
    </w:p>
    <w:p w14:paraId="1BAD4CF5" w14:textId="33A4DB37" w:rsidR="00617D85" w:rsidRPr="001141DF" w:rsidRDefault="00617D85" w:rsidP="00617D85">
      <w:pPr>
        <w:pBdr>
          <w:bottom w:val="single" w:sz="4" w:space="1" w:color="2FA3EE"/>
        </w:pBdr>
        <w:spacing w:before="400" w:after="40"/>
        <w:jc w:val="both"/>
        <w:outlineLvl w:val="0"/>
        <w:rPr>
          <w:rStyle w:val="IntenseReference"/>
          <w:rFonts w:asciiTheme="majorHAnsi" w:hAnsiTheme="majorHAnsi" w:cstheme="majorHAnsi"/>
          <w:color w:val="auto"/>
          <w:sz w:val="40"/>
          <w:szCs w:val="36"/>
        </w:rPr>
      </w:pPr>
      <w:bookmarkStart w:id="12" w:name="_Toc504511284"/>
      <w:r w:rsidRPr="001141DF">
        <w:rPr>
          <w:rStyle w:val="IntenseReference"/>
          <w:rFonts w:asciiTheme="majorHAnsi" w:hAnsiTheme="majorHAnsi" w:cstheme="majorHAnsi"/>
          <w:color w:val="auto"/>
          <w:sz w:val="40"/>
          <w:szCs w:val="36"/>
        </w:rPr>
        <w:t>MARKETPLACES</w:t>
      </w:r>
      <w:bookmarkEnd w:id="12"/>
    </w:p>
    <w:p w14:paraId="1122CB42" w14:textId="77777777" w:rsidR="0012307F" w:rsidRPr="001141DF" w:rsidRDefault="0012307F" w:rsidP="00B04AF8">
      <w:pPr>
        <w:jc w:val="both"/>
        <w:rPr>
          <w:rFonts w:asciiTheme="majorHAnsi" w:eastAsia="Times New Roman" w:hAnsiTheme="majorHAnsi" w:cstheme="majorHAnsi"/>
          <w:b/>
          <w:bCs/>
        </w:rPr>
      </w:pPr>
    </w:p>
    <w:p w14:paraId="7EDC6C54" w14:textId="4106CEA4" w:rsidR="0012307F" w:rsidRPr="001141DF" w:rsidRDefault="00FA5B42" w:rsidP="00A460AD">
      <w:pPr>
        <w:spacing w:line="360" w:lineRule="auto"/>
        <w:jc w:val="both"/>
        <w:rPr>
          <w:rFonts w:asciiTheme="majorHAnsi" w:hAnsiTheme="majorHAnsi" w:cstheme="majorHAnsi"/>
        </w:rPr>
      </w:pPr>
      <w:r w:rsidRPr="001141DF">
        <w:rPr>
          <w:rFonts w:asciiTheme="majorHAnsi" w:eastAsia="Times New Roman" w:hAnsiTheme="majorHAnsi" w:cstheme="majorHAnsi"/>
          <w:bCs/>
        </w:rPr>
        <w:t>The Bridge ecosystem revolves around</w:t>
      </w:r>
      <w:r w:rsidR="007D2739" w:rsidRPr="001141DF">
        <w:rPr>
          <w:rFonts w:asciiTheme="majorHAnsi" w:eastAsia="Times New Roman" w:hAnsiTheme="majorHAnsi" w:cstheme="majorHAnsi"/>
          <w:bCs/>
        </w:rPr>
        <w:t xml:space="preserve"> </w:t>
      </w:r>
      <w:r w:rsidRPr="001141DF">
        <w:rPr>
          <w:rFonts w:asciiTheme="majorHAnsi" w:eastAsia="Times New Roman" w:hAnsiTheme="majorHAnsi" w:cstheme="majorHAnsi"/>
          <w:bCs/>
        </w:rPr>
        <w:t>a</w:t>
      </w:r>
      <w:r w:rsidR="007D2739" w:rsidRPr="001141DF">
        <w:rPr>
          <w:rFonts w:asciiTheme="majorHAnsi" w:eastAsia="Times New Roman" w:hAnsiTheme="majorHAnsi" w:cstheme="majorHAnsi"/>
          <w:bCs/>
        </w:rPr>
        <w:t xml:space="preserve"> microservices </w:t>
      </w:r>
      <w:r w:rsidRPr="001141DF">
        <w:rPr>
          <w:rFonts w:asciiTheme="majorHAnsi" w:eastAsia="Times New Roman" w:hAnsiTheme="majorHAnsi" w:cstheme="majorHAnsi"/>
          <w:bCs/>
        </w:rPr>
        <w:t>marketplace.</w:t>
      </w:r>
      <w:r w:rsidR="007D2739" w:rsidRPr="001141DF">
        <w:rPr>
          <w:rFonts w:asciiTheme="majorHAnsi" w:eastAsia="Times New Roman" w:hAnsiTheme="majorHAnsi" w:cstheme="majorHAnsi"/>
          <w:bCs/>
        </w:rPr>
        <w:t xml:space="preserve"> </w:t>
      </w:r>
      <w:r w:rsidR="007E604C" w:rsidRPr="001141DF">
        <w:rPr>
          <w:rFonts w:asciiTheme="majorHAnsi" w:eastAsia="Times New Roman" w:hAnsiTheme="majorHAnsi" w:cstheme="majorHAnsi"/>
          <w:bCs/>
        </w:rPr>
        <w:t>Personal</w:t>
      </w:r>
      <w:r w:rsidR="00D43290" w:rsidRPr="001141DF">
        <w:rPr>
          <w:rFonts w:asciiTheme="majorHAnsi" w:eastAsia="Times New Roman" w:hAnsiTheme="majorHAnsi" w:cstheme="majorHAnsi"/>
          <w:bCs/>
        </w:rPr>
        <w:t xml:space="preserve"> identity verification</w:t>
      </w:r>
      <w:r w:rsidR="007D2739" w:rsidRPr="001141DF">
        <w:rPr>
          <w:rFonts w:asciiTheme="majorHAnsi" w:eastAsia="Times New Roman" w:hAnsiTheme="majorHAnsi" w:cstheme="majorHAnsi"/>
          <w:bCs/>
        </w:rPr>
        <w:t xml:space="preserve"> and legal </w:t>
      </w:r>
      <w:r w:rsidR="007E604C" w:rsidRPr="001141DF">
        <w:rPr>
          <w:rFonts w:asciiTheme="majorHAnsi" w:eastAsia="Times New Roman" w:hAnsiTheme="majorHAnsi" w:cstheme="majorHAnsi"/>
          <w:bCs/>
        </w:rPr>
        <w:t>microservices</w:t>
      </w:r>
      <w:r w:rsidR="007D2739" w:rsidRPr="001141DF">
        <w:rPr>
          <w:rFonts w:asciiTheme="majorHAnsi" w:eastAsia="Times New Roman" w:hAnsiTheme="majorHAnsi" w:cstheme="majorHAnsi"/>
          <w:bCs/>
        </w:rPr>
        <w:t xml:space="preserve"> are the first </w:t>
      </w:r>
      <w:r w:rsidR="007E604C" w:rsidRPr="001141DF">
        <w:rPr>
          <w:rFonts w:asciiTheme="majorHAnsi" w:eastAsia="Times New Roman" w:hAnsiTheme="majorHAnsi" w:cstheme="majorHAnsi"/>
          <w:bCs/>
        </w:rPr>
        <w:t xml:space="preserve">storefronts </w:t>
      </w:r>
      <w:r w:rsidR="007D2739" w:rsidRPr="001141DF">
        <w:rPr>
          <w:rFonts w:asciiTheme="majorHAnsi" w:eastAsia="Times New Roman" w:hAnsiTheme="majorHAnsi" w:cstheme="majorHAnsi"/>
          <w:bCs/>
        </w:rPr>
        <w:t xml:space="preserve">that will be available. Service providers will be able to request a digital storefront after </w:t>
      </w:r>
      <w:r w:rsidR="007E604C" w:rsidRPr="001141DF">
        <w:rPr>
          <w:rFonts w:asciiTheme="majorHAnsi" w:eastAsia="Times New Roman" w:hAnsiTheme="majorHAnsi" w:cstheme="majorHAnsi"/>
          <w:bCs/>
        </w:rPr>
        <w:t>a</w:t>
      </w:r>
      <w:r w:rsidR="007D2739" w:rsidRPr="001141DF">
        <w:rPr>
          <w:rFonts w:asciiTheme="majorHAnsi" w:eastAsia="Times New Roman" w:hAnsiTheme="majorHAnsi" w:cstheme="majorHAnsi"/>
          <w:bCs/>
        </w:rPr>
        <w:t xml:space="preserve"> vetting process from the </w:t>
      </w:r>
      <w:r w:rsidR="007E604C" w:rsidRPr="001141DF">
        <w:rPr>
          <w:rFonts w:asciiTheme="majorHAnsi" w:eastAsia="Times New Roman" w:hAnsiTheme="majorHAnsi" w:cstheme="majorHAnsi"/>
          <w:bCs/>
        </w:rPr>
        <w:t>Bridge Corporation and trusted third parties.</w:t>
      </w:r>
      <w:r w:rsidR="007D2739" w:rsidRPr="001141DF">
        <w:rPr>
          <w:rFonts w:asciiTheme="majorHAnsi" w:eastAsia="Times New Roman" w:hAnsiTheme="majorHAnsi" w:cstheme="majorHAnsi"/>
          <w:bCs/>
        </w:rPr>
        <w:t xml:space="preserve"> </w:t>
      </w:r>
      <w:r w:rsidR="00D11172" w:rsidRPr="001141DF">
        <w:rPr>
          <w:rFonts w:asciiTheme="majorHAnsi" w:eastAsia="Times New Roman" w:hAnsiTheme="majorHAnsi" w:cstheme="majorHAnsi"/>
          <w:bCs/>
        </w:rPr>
        <w:t xml:space="preserve">Bridge Protocol standards must be adhered to in order to be an accessible storefront. </w:t>
      </w:r>
    </w:p>
    <w:p w14:paraId="6934CC0C" w14:textId="77777777" w:rsidR="0012307F" w:rsidRPr="001141DF" w:rsidRDefault="0012307F" w:rsidP="00A460AD">
      <w:pPr>
        <w:spacing w:line="360" w:lineRule="auto"/>
        <w:jc w:val="both"/>
        <w:rPr>
          <w:rFonts w:asciiTheme="majorHAnsi" w:eastAsia="Times New Roman" w:hAnsiTheme="majorHAnsi" w:cstheme="majorHAnsi"/>
        </w:rPr>
      </w:pPr>
    </w:p>
    <w:p w14:paraId="2984DA2D" w14:textId="2D6ACCA1" w:rsidR="0012307F" w:rsidRPr="001141DF" w:rsidRDefault="007D2739" w:rsidP="00A460A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b/>
          <w:bCs/>
        </w:rPr>
        <w:t xml:space="preserve">Identity </w:t>
      </w:r>
      <w:r w:rsidR="00C535EC" w:rsidRPr="001141DF">
        <w:rPr>
          <w:rFonts w:asciiTheme="majorHAnsi" w:eastAsia="Times New Roman" w:hAnsiTheme="majorHAnsi" w:cstheme="majorHAnsi"/>
          <w:b/>
          <w:bCs/>
        </w:rPr>
        <w:t>Storefront</w:t>
      </w:r>
      <w:r w:rsidRPr="001141DF">
        <w:rPr>
          <w:rFonts w:asciiTheme="majorHAnsi" w:eastAsia="Times New Roman" w:hAnsiTheme="majorHAnsi" w:cstheme="majorHAnsi"/>
        </w:rPr>
        <w:t xml:space="preserve">: </w:t>
      </w:r>
      <w:r w:rsidR="00A3771A" w:rsidRPr="001141DF">
        <w:rPr>
          <w:rFonts w:asciiTheme="majorHAnsi" w:eastAsia="Times New Roman" w:hAnsiTheme="majorHAnsi" w:cstheme="majorHAnsi"/>
        </w:rPr>
        <w:t>This store will be the hub for issuance of certificates</w:t>
      </w:r>
      <w:r w:rsidR="00993C78" w:rsidRPr="001141DF">
        <w:rPr>
          <w:rFonts w:asciiTheme="majorHAnsi" w:eastAsia="Times New Roman" w:hAnsiTheme="majorHAnsi" w:cstheme="majorHAnsi"/>
        </w:rPr>
        <w:t xml:space="preserve"> and KYC </w:t>
      </w:r>
      <w:r w:rsidR="0009271C" w:rsidRPr="001141DF">
        <w:rPr>
          <w:rFonts w:asciiTheme="majorHAnsi" w:eastAsia="Times New Roman" w:hAnsiTheme="majorHAnsi" w:cstheme="majorHAnsi"/>
        </w:rPr>
        <w:t>services</w:t>
      </w:r>
      <w:r w:rsidR="00A3771A" w:rsidRPr="001141DF">
        <w:rPr>
          <w:rFonts w:asciiTheme="majorHAnsi" w:eastAsia="Times New Roman" w:hAnsiTheme="majorHAnsi" w:cstheme="majorHAnsi"/>
        </w:rPr>
        <w:t xml:space="preserve"> for digital identities that are used in the marketplace.</w:t>
      </w:r>
      <w:r w:rsidR="00C535EC" w:rsidRPr="001141DF">
        <w:rPr>
          <w:rFonts w:asciiTheme="majorHAnsi" w:eastAsia="Times New Roman" w:hAnsiTheme="majorHAnsi" w:cstheme="majorHAnsi"/>
        </w:rPr>
        <w:t xml:space="preserve"> </w:t>
      </w:r>
    </w:p>
    <w:p w14:paraId="68B2C6D0" w14:textId="77777777" w:rsidR="0012307F" w:rsidRPr="001141DF" w:rsidRDefault="0012307F" w:rsidP="00A460AD">
      <w:pPr>
        <w:spacing w:line="360" w:lineRule="auto"/>
        <w:jc w:val="both"/>
        <w:rPr>
          <w:rFonts w:asciiTheme="majorHAnsi" w:eastAsia="Times New Roman" w:hAnsiTheme="majorHAnsi" w:cstheme="majorHAnsi"/>
        </w:rPr>
      </w:pPr>
    </w:p>
    <w:p w14:paraId="2D820AEE" w14:textId="1E3EB217" w:rsidR="0012307F" w:rsidRPr="001141DF" w:rsidRDefault="007D2739" w:rsidP="00A460A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b/>
          <w:bCs/>
        </w:rPr>
        <w:t xml:space="preserve">Legal </w:t>
      </w:r>
      <w:r w:rsidR="00C535EC" w:rsidRPr="001141DF">
        <w:rPr>
          <w:rFonts w:asciiTheme="majorHAnsi" w:eastAsia="Times New Roman" w:hAnsiTheme="majorHAnsi" w:cstheme="majorHAnsi"/>
          <w:b/>
          <w:bCs/>
        </w:rPr>
        <w:t>Storefront</w:t>
      </w:r>
      <w:r w:rsidRPr="001141DF">
        <w:rPr>
          <w:rFonts w:asciiTheme="majorHAnsi" w:eastAsia="Times New Roman" w:hAnsiTheme="majorHAnsi" w:cstheme="majorHAnsi"/>
        </w:rPr>
        <w:t xml:space="preserve">: </w:t>
      </w:r>
      <w:r w:rsidR="00566B28" w:rsidRPr="001141DF">
        <w:rPr>
          <w:rFonts w:asciiTheme="majorHAnsi" w:eastAsia="Times New Roman" w:hAnsiTheme="majorHAnsi" w:cstheme="majorHAnsi"/>
        </w:rPr>
        <w:t>This store sells legal services and applications</w:t>
      </w:r>
      <w:r w:rsidRPr="001141DF">
        <w:rPr>
          <w:rFonts w:asciiTheme="majorHAnsi" w:eastAsia="Times New Roman" w:hAnsiTheme="majorHAnsi" w:cstheme="majorHAnsi"/>
        </w:rPr>
        <w:t xml:space="preserve">. The user will easily be able to </w:t>
      </w:r>
      <w:r w:rsidR="00566B28" w:rsidRPr="001141DF">
        <w:rPr>
          <w:rFonts w:asciiTheme="majorHAnsi" w:eastAsia="Times New Roman" w:hAnsiTheme="majorHAnsi" w:cstheme="majorHAnsi"/>
        </w:rPr>
        <w:t>customize products</w:t>
      </w:r>
      <w:r w:rsidR="00A3771A" w:rsidRPr="001141DF">
        <w:rPr>
          <w:rFonts w:asciiTheme="majorHAnsi" w:eastAsia="Times New Roman" w:hAnsiTheme="majorHAnsi" w:cstheme="majorHAnsi"/>
        </w:rPr>
        <w:t xml:space="preserve"> offered </w:t>
      </w:r>
      <w:r w:rsidR="00566B28" w:rsidRPr="001141DF">
        <w:rPr>
          <w:rFonts w:asciiTheme="majorHAnsi" w:eastAsia="Times New Roman" w:hAnsiTheme="majorHAnsi" w:cstheme="majorHAnsi"/>
        </w:rPr>
        <w:t>to fit their needs.</w:t>
      </w:r>
    </w:p>
    <w:p w14:paraId="3D5ED45B" w14:textId="77777777" w:rsidR="0012307F" w:rsidRPr="001141DF" w:rsidRDefault="0012307F" w:rsidP="00A460AD">
      <w:pPr>
        <w:spacing w:line="360" w:lineRule="auto"/>
        <w:jc w:val="both"/>
        <w:rPr>
          <w:rFonts w:asciiTheme="majorHAnsi" w:eastAsia="Times New Roman" w:hAnsiTheme="majorHAnsi" w:cstheme="majorHAnsi"/>
        </w:rPr>
      </w:pPr>
    </w:p>
    <w:p w14:paraId="7A7512CF" w14:textId="1B71143A" w:rsidR="00A90FFC" w:rsidRPr="001141DF" w:rsidRDefault="007D2739" w:rsidP="00A460A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b/>
          <w:bCs/>
        </w:rPr>
        <w:lastRenderedPageBreak/>
        <w:t xml:space="preserve">Developer </w:t>
      </w:r>
      <w:r w:rsidR="00C535EC" w:rsidRPr="001141DF">
        <w:rPr>
          <w:rFonts w:asciiTheme="majorHAnsi" w:eastAsia="Times New Roman" w:hAnsiTheme="majorHAnsi" w:cstheme="majorHAnsi"/>
          <w:b/>
          <w:bCs/>
        </w:rPr>
        <w:t>Storefront</w:t>
      </w:r>
      <w:r w:rsidRPr="001141DF">
        <w:rPr>
          <w:rFonts w:asciiTheme="majorHAnsi" w:eastAsia="Times New Roman" w:hAnsiTheme="majorHAnsi" w:cstheme="majorHAnsi"/>
        </w:rPr>
        <w:t xml:space="preserve">: </w:t>
      </w:r>
      <w:r w:rsidR="00A90FFC" w:rsidRPr="001141DF">
        <w:rPr>
          <w:rFonts w:asciiTheme="majorHAnsi" w:eastAsia="Times New Roman" w:hAnsiTheme="majorHAnsi" w:cstheme="majorHAnsi"/>
        </w:rPr>
        <w:t xml:space="preserve">This store provides </w:t>
      </w:r>
      <w:r w:rsidR="00BD67E9" w:rsidRPr="001141DF">
        <w:rPr>
          <w:rFonts w:asciiTheme="majorHAnsi" w:eastAsia="Times New Roman" w:hAnsiTheme="majorHAnsi" w:cstheme="majorHAnsi"/>
        </w:rPr>
        <w:t xml:space="preserve">the needed connection between coders, legal experts and users. </w:t>
      </w:r>
    </w:p>
    <w:p w14:paraId="402069E0" w14:textId="77777777" w:rsidR="0012307F" w:rsidRPr="001141DF" w:rsidRDefault="0012307F" w:rsidP="00B04AF8">
      <w:pPr>
        <w:jc w:val="both"/>
        <w:rPr>
          <w:rFonts w:asciiTheme="majorHAnsi" w:eastAsia="Times New Roman" w:hAnsiTheme="majorHAnsi" w:cstheme="majorHAnsi"/>
        </w:rPr>
      </w:pPr>
    </w:p>
    <w:p w14:paraId="6DFDAFBA" w14:textId="77777777" w:rsidR="00C33E6C" w:rsidRPr="001141DF" w:rsidRDefault="00C33E6C" w:rsidP="00B04AF8">
      <w:pPr>
        <w:spacing w:after="240"/>
        <w:jc w:val="both"/>
        <w:rPr>
          <w:rFonts w:asciiTheme="majorHAnsi" w:eastAsia="Times New Roman" w:hAnsiTheme="majorHAnsi" w:cstheme="majorHAnsi"/>
        </w:rPr>
      </w:pPr>
    </w:p>
    <w:p w14:paraId="6EAE0E8C" w14:textId="7F1ED11A" w:rsidR="0012307F" w:rsidRPr="001141DF" w:rsidRDefault="003065BD" w:rsidP="00A460CA">
      <w:pPr>
        <w:pBdr>
          <w:bottom w:val="single" w:sz="4" w:space="1" w:color="2FA3EE"/>
        </w:pBdr>
        <w:spacing w:before="400" w:after="40"/>
        <w:jc w:val="both"/>
        <w:outlineLvl w:val="0"/>
        <w:rPr>
          <w:rFonts w:asciiTheme="majorHAnsi" w:hAnsiTheme="majorHAnsi" w:cstheme="majorHAnsi"/>
          <w:b/>
          <w:bCs/>
          <w:smallCaps/>
          <w:spacing w:val="5"/>
          <w:sz w:val="40"/>
          <w:szCs w:val="36"/>
        </w:rPr>
      </w:pPr>
      <w:bookmarkStart w:id="13" w:name="_Toc504511285"/>
      <w:r w:rsidRPr="001141DF">
        <w:rPr>
          <w:rStyle w:val="IntenseReference"/>
          <w:rFonts w:asciiTheme="majorHAnsi" w:hAnsiTheme="majorHAnsi" w:cstheme="majorHAnsi"/>
          <w:color w:val="auto"/>
          <w:sz w:val="40"/>
          <w:szCs w:val="36"/>
        </w:rPr>
        <w:t xml:space="preserve">BRIDGE TIER </w:t>
      </w:r>
      <w:r w:rsidR="006E4E8B" w:rsidRPr="001141DF">
        <w:rPr>
          <w:rStyle w:val="IntenseReference"/>
          <w:rFonts w:asciiTheme="majorHAnsi" w:hAnsiTheme="majorHAnsi" w:cstheme="majorHAnsi"/>
          <w:color w:val="auto"/>
          <w:sz w:val="40"/>
          <w:szCs w:val="36"/>
        </w:rPr>
        <w:t>STOREFRONT</w:t>
      </w:r>
      <w:bookmarkEnd w:id="13"/>
    </w:p>
    <w:p w14:paraId="3FA3D2C3" w14:textId="77777777" w:rsidR="00A460CA" w:rsidRPr="001141DF" w:rsidRDefault="00A460CA" w:rsidP="00A460AD">
      <w:pPr>
        <w:spacing w:line="360" w:lineRule="auto"/>
        <w:jc w:val="both"/>
        <w:rPr>
          <w:rFonts w:asciiTheme="majorHAnsi" w:eastAsia="Times New Roman" w:hAnsiTheme="majorHAnsi" w:cstheme="majorHAnsi"/>
          <w:b/>
          <w:sz w:val="28"/>
          <w:szCs w:val="28"/>
        </w:rPr>
      </w:pPr>
    </w:p>
    <w:p w14:paraId="6EE5B180" w14:textId="4DF9E863" w:rsidR="00C332EF" w:rsidRPr="001141DF" w:rsidRDefault="006E4E8B" w:rsidP="00CC1502">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company storefront will offer its first microservice for KYC process integration in the NEO Smart Economy. </w:t>
      </w:r>
      <w:r w:rsidR="00791443" w:rsidRPr="001141DF">
        <w:rPr>
          <w:rFonts w:asciiTheme="majorHAnsi" w:eastAsia="Times New Roman" w:hAnsiTheme="majorHAnsi" w:cstheme="majorHAnsi"/>
        </w:rPr>
        <w:t>Bridge Tiers will be compromised of non-sensitive and vague user traits that will be sufficient for KYC compliance</w:t>
      </w:r>
      <w:r w:rsidR="00C90E44" w:rsidRPr="001141DF">
        <w:rPr>
          <w:rFonts w:asciiTheme="majorHAnsi" w:eastAsia="Times New Roman" w:hAnsiTheme="majorHAnsi" w:cstheme="majorHAnsi"/>
        </w:rPr>
        <w:t xml:space="preserve"> </w:t>
      </w:r>
      <w:r w:rsidR="0074356A" w:rsidRPr="001141DF">
        <w:rPr>
          <w:rFonts w:asciiTheme="majorHAnsi" w:eastAsia="Times New Roman" w:hAnsiTheme="majorHAnsi" w:cstheme="majorHAnsi"/>
        </w:rPr>
        <w:t>while</w:t>
      </w:r>
      <w:r w:rsidR="00C90E44" w:rsidRPr="001141DF">
        <w:rPr>
          <w:rFonts w:asciiTheme="majorHAnsi" w:eastAsia="Times New Roman" w:hAnsiTheme="majorHAnsi" w:cstheme="majorHAnsi"/>
        </w:rPr>
        <w:t xml:space="preserve"> not </w:t>
      </w:r>
      <w:r w:rsidR="0074356A" w:rsidRPr="001141DF">
        <w:rPr>
          <w:rFonts w:asciiTheme="majorHAnsi" w:eastAsia="Times New Roman" w:hAnsiTheme="majorHAnsi" w:cstheme="majorHAnsi"/>
        </w:rPr>
        <w:t xml:space="preserve">being </w:t>
      </w:r>
      <w:r w:rsidR="00C90E44" w:rsidRPr="001141DF">
        <w:rPr>
          <w:rFonts w:asciiTheme="majorHAnsi" w:eastAsia="Times New Roman" w:hAnsiTheme="majorHAnsi" w:cstheme="majorHAnsi"/>
        </w:rPr>
        <w:t xml:space="preserve">uniquely identifiable to individuals. </w:t>
      </w:r>
      <w:r w:rsidR="009D6AE8" w:rsidRPr="001141DF">
        <w:rPr>
          <w:rFonts w:asciiTheme="majorHAnsi" w:eastAsia="Times New Roman" w:hAnsiTheme="majorHAnsi" w:cstheme="majorHAnsi"/>
        </w:rPr>
        <w:t xml:space="preserve">Not only will identity be </w:t>
      </w:r>
      <w:proofErr w:type="gramStart"/>
      <w:r w:rsidR="009D6AE8" w:rsidRPr="001141DF">
        <w:rPr>
          <w:rFonts w:asciiTheme="majorHAnsi" w:eastAsia="Times New Roman" w:hAnsiTheme="majorHAnsi" w:cstheme="majorHAnsi"/>
        </w:rPr>
        <w:t>tiered</w:t>
      </w:r>
      <w:proofErr w:type="gramEnd"/>
      <w:r w:rsidR="009D6AE8" w:rsidRPr="001141DF">
        <w:rPr>
          <w:rFonts w:asciiTheme="majorHAnsi" w:eastAsia="Times New Roman" w:hAnsiTheme="majorHAnsi" w:cstheme="majorHAnsi"/>
        </w:rPr>
        <w:t xml:space="preserve"> and sensitive information kept off the chain, but Bridge will give users power to securely transact with their own encryption when necessary. </w:t>
      </w:r>
    </w:p>
    <w:p w14:paraId="0754EEBE" w14:textId="03617900" w:rsidR="00C332EF" w:rsidRPr="001141DF" w:rsidRDefault="00C332EF">
      <w:pPr>
        <w:rPr>
          <w:rFonts w:asciiTheme="majorHAnsi" w:eastAsia="Times New Roman" w:hAnsiTheme="majorHAnsi" w:cstheme="majorHAnsi"/>
        </w:rPr>
      </w:pPr>
    </w:p>
    <w:p w14:paraId="5B099FF0" w14:textId="3B60144D" w:rsidR="0048478B" w:rsidRPr="001141DF" w:rsidRDefault="0048478B" w:rsidP="00A460AD">
      <w:pPr>
        <w:spacing w:line="360" w:lineRule="auto"/>
        <w:jc w:val="both"/>
        <w:rPr>
          <w:rFonts w:asciiTheme="majorHAnsi" w:eastAsia="Times New Roman" w:hAnsiTheme="majorHAnsi" w:cstheme="majorHAnsi"/>
          <w:sz w:val="40"/>
          <w:szCs w:val="40"/>
        </w:rPr>
      </w:pPr>
      <w:r w:rsidRPr="001141DF">
        <w:rPr>
          <w:rFonts w:asciiTheme="majorHAnsi" w:eastAsia="Times New Roman" w:hAnsiTheme="majorHAnsi" w:cstheme="majorHAnsi"/>
          <w:sz w:val="40"/>
          <w:szCs w:val="40"/>
        </w:rPr>
        <w:t>Tiers:</w:t>
      </w:r>
    </w:p>
    <w:p w14:paraId="648740AA" w14:textId="5B7579A3" w:rsidR="0012307F" w:rsidRPr="001141DF" w:rsidRDefault="007D2739" w:rsidP="00A460AD">
      <w:pPr>
        <w:spacing w:line="360" w:lineRule="auto"/>
        <w:jc w:val="both"/>
        <w:rPr>
          <w:rFonts w:asciiTheme="majorHAnsi" w:eastAsia="Times New Roman" w:hAnsiTheme="majorHAnsi" w:cstheme="majorHAnsi"/>
          <w:highlight w:val="white"/>
        </w:rPr>
      </w:pPr>
      <w:r w:rsidRPr="001141DF">
        <w:rPr>
          <w:rFonts w:asciiTheme="majorHAnsi" w:eastAsia="Times New Roman" w:hAnsiTheme="majorHAnsi" w:cstheme="majorHAnsi"/>
          <w:b/>
        </w:rPr>
        <w:t>Tier 1</w:t>
      </w:r>
      <w:r w:rsidRPr="001141DF">
        <w:rPr>
          <w:rFonts w:asciiTheme="majorHAnsi" w:eastAsia="Times New Roman" w:hAnsiTheme="majorHAnsi" w:cstheme="majorHAnsi"/>
        </w:rPr>
        <w:t xml:space="preserve"> – </w:t>
      </w:r>
      <w:r w:rsidRPr="001141DF">
        <w:rPr>
          <w:rFonts w:asciiTheme="majorHAnsi" w:eastAsia="Times New Roman" w:hAnsiTheme="majorHAnsi" w:cstheme="majorHAnsi"/>
          <w:shd w:val="clear" w:color="auto" w:fill="FFFFFF"/>
        </w:rPr>
        <w:t xml:space="preserve">This tier includes </w:t>
      </w:r>
      <w:r w:rsidR="003B4B7F" w:rsidRPr="001141DF">
        <w:rPr>
          <w:rFonts w:asciiTheme="majorHAnsi" w:eastAsia="Times New Roman" w:hAnsiTheme="majorHAnsi" w:cstheme="majorHAnsi"/>
          <w:shd w:val="clear" w:color="auto" w:fill="FFFFFF"/>
        </w:rPr>
        <w:t>information</w:t>
      </w:r>
      <w:r w:rsidRPr="001141DF">
        <w:rPr>
          <w:rFonts w:asciiTheme="majorHAnsi" w:eastAsia="Times New Roman" w:hAnsiTheme="majorHAnsi" w:cstheme="majorHAnsi"/>
          <w:shd w:val="clear" w:color="auto" w:fill="FFFFFF"/>
        </w:rPr>
        <w:t xml:space="preserve"> like name, address, </w:t>
      </w:r>
      <w:r w:rsidR="00A460CA" w:rsidRPr="001141DF">
        <w:rPr>
          <w:rFonts w:asciiTheme="majorHAnsi" w:eastAsia="Times New Roman" w:hAnsiTheme="majorHAnsi" w:cstheme="majorHAnsi"/>
          <w:shd w:val="clear" w:color="auto" w:fill="FFFFFF"/>
        </w:rPr>
        <w:t>date-of-birth</w:t>
      </w:r>
      <w:r w:rsidRPr="001141DF">
        <w:rPr>
          <w:rFonts w:asciiTheme="majorHAnsi" w:eastAsia="Times New Roman" w:hAnsiTheme="majorHAnsi" w:cstheme="majorHAnsi"/>
          <w:shd w:val="clear" w:color="auto" w:fill="FFFFFF"/>
        </w:rPr>
        <w:t>, payment behavior, email</w:t>
      </w:r>
      <w:r w:rsidR="00F02A70" w:rsidRPr="001141DF">
        <w:rPr>
          <w:rFonts w:asciiTheme="majorHAnsi" w:eastAsia="Times New Roman" w:hAnsiTheme="majorHAnsi" w:cstheme="majorHAnsi"/>
          <w:shd w:val="clear" w:color="auto" w:fill="FFFFFF"/>
        </w:rPr>
        <w:t xml:space="preserve">. </w:t>
      </w:r>
    </w:p>
    <w:p w14:paraId="33C8A4D5" w14:textId="77777777" w:rsidR="0012307F" w:rsidRPr="001141DF" w:rsidRDefault="0012307F" w:rsidP="00A460AD">
      <w:pPr>
        <w:spacing w:line="360" w:lineRule="auto"/>
        <w:jc w:val="both"/>
        <w:rPr>
          <w:rFonts w:asciiTheme="majorHAnsi" w:eastAsia="Times New Roman" w:hAnsiTheme="majorHAnsi" w:cstheme="majorHAnsi"/>
          <w:highlight w:val="white"/>
        </w:rPr>
      </w:pPr>
    </w:p>
    <w:p w14:paraId="33684883" w14:textId="5E581FCA" w:rsidR="0012307F" w:rsidRPr="001141DF" w:rsidRDefault="007D2739" w:rsidP="00A460AD">
      <w:pPr>
        <w:spacing w:line="360" w:lineRule="auto"/>
        <w:jc w:val="both"/>
        <w:rPr>
          <w:rFonts w:asciiTheme="majorHAnsi" w:eastAsia="Times New Roman" w:hAnsiTheme="majorHAnsi" w:cstheme="majorHAnsi"/>
          <w:highlight w:val="white"/>
        </w:rPr>
      </w:pPr>
      <w:r w:rsidRPr="001141DF">
        <w:rPr>
          <w:rFonts w:asciiTheme="majorHAnsi" w:eastAsia="Times New Roman" w:hAnsiTheme="majorHAnsi" w:cstheme="majorHAnsi"/>
          <w:b/>
          <w:shd w:val="clear" w:color="auto" w:fill="FFFFFF"/>
        </w:rPr>
        <w:t>Tier 2</w:t>
      </w:r>
      <w:r w:rsidRPr="001141DF">
        <w:rPr>
          <w:rFonts w:asciiTheme="majorHAnsi" w:eastAsia="Times New Roman" w:hAnsiTheme="majorHAnsi" w:cstheme="majorHAnsi"/>
          <w:shd w:val="clear" w:color="auto" w:fill="FFFFFF"/>
        </w:rPr>
        <w:t xml:space="preserve"> – These tiers wil</w:t>
      </w:r>
      <w:r w:rsidR="00F02A70" w:rsidRPr="001141DF">
        <w:rPr>
          <w:rFonts w:asciiTheme="majorHAnsi" w:eastAsia="Times New Roman" w:hAnsiTheme="majorHAnsi" w:cstheme="majorHAnsi"/>
          <w:shd w:val="clear" w:color="auto" w:fill="FFFFFF"/>
        </w:rPr>
        <w:t>l include all prior Tier 1</w:t>
      </w:r>
      <w:r w:rsidR="008D6644" w:rsidRPr="001141DF">
        <w:rPr>
          <w:rFonts w:asciiTheme="majorHAnsi" w:eastAsia="Times New Roman" w:hAnsiTheme="majorHAnsi" w:cstheme="majorHAnsi"/>
          <w:shd w:val="clear" w:color="auto" w:fill="FFFFFF"/>
        </w:rPr>
        <w:t xml:space="preserve"> </w:t>
      </w:r>
      <w:r w:rsidRPr="001141DF">
        <w:rPr>
          <w:rFonts w:asciiTheme="majorHAnsi" w:eastAsia="Times New Roman" w:hAnsiTheme="majorHAnsi" w:cstheme="majorHAnsi"/>
          <w:shd w:val="clear" w:color="auto" w:fill="FFFFFF"/>
        </w:rPr>
        <w:t xml:space="preserve">items but </w:t>
      </w:r>
      <w:r w:rsidR="008D6644" w:rsidRPr="001141DF">
        <w:rPr>
          <w:rFonts w:asciiTheme="majorHAnsi" w:eastAsia="Times New Roman" w:hAnsiTheme="majorHAnsi" w:cstheme="majorHAnsi"/>
          <w:shd w:val="clear" w:color="auto" w:fill="FFFFFF"/>
        </w:rPr>
        <w:t>will require more</w:t>
      </w:r>
      <w:r w:rsidRPr="001141DF">
        <w:rPr>
          <w:rFonts w:asciiTheme="majorHAnsi" w:eastAsia="Times New Roman" w:hAnsiTheme="majorHAnsi" w:cstheme="majorHAnsi"/>
          <w:shd w:val="clear" w:color="auto" w:fill="FFFFFF"/>
        </w:rPr>
        <w:t xml:space="preserve"> sensitive information like social security number, driver license, passport or government issued identification. This will be the tier that</w:t>
      </w:r>
      <w:r w:rsidR="008D6644" w:rsidRPr="001141DF">
        <w:rPr>
          <w:rFonts w:asciiTheme="majorHAnsi" w:eastAsia="Times New Roman" w:hAnsiTheme="majorHAnsi" w:cstheme="majorHAnsi"/>
          <w:shd w:val="clear" w:color="auto" w:fill="FFFFFF"/>
        </w:rPr>
        <w:t xml:space="preserve"> most users will want to adhere to. This allows </w:t>
      </w:r>
      <w:r w:rsidR="006E1891" w:rsidRPr="001141DF">
        <w:rPr>
          <w:rFonts w:asciiTheme="majorHAnsi" w:eastAsia="Times New Roman" w:hAnsiTheme="majorHAnsi" w:cstheme="majorHAnsi"/>
          <w:shd w:val="clear" w:color="auto" w:fill="FFFFFF"/>
        </w:rPr>
        <w:t xml:space="preserve">participation </w:t>
      </w:r>
      <w:r w:rsidR="006D49C7" w:rsidRPr="001141DF">
        <w:rPr>
          <w:rFonts w:asciiTheme="majorHAnsi" w:eastAsia="Times New Roman" w:hAnsiTheme="majorHAnsi" w:cstheme="majorHAnsi"/>
          <w:shd w:val="clear" w:color="auto" w:fill="FFFFFF"/>
        </w:rPr>
        <w:t>in</w:t>
      </w:r>
      <w:r w:rsidR="006E1891" w:rsidRPr="001141DF">
        <w:rPr>
          <w:rFonts w:asciiTheme="majorHAnsi" w:eastAsia="Times New Roman" w:hAnsiTheme="majorHAnsi" w:cstheme="majorHAnsi"/>
          <w:shd w:val="clear" w:color="auto" w:fill="FFFFFF"/>
        </w:rPr>
        <w:t xml:space="preserve"> </w:t>
      </w:r>
      <w:r w:rsidRPr="001141DF">
        <w:rPr>
          <w:rFonts w:asciiTheme="majorHAnsi" w:eastAsia="Times New Roman" w:hAnsiTheme="majorHAnsi" w:cstheme="majorHAnsi"/>
          <w:shd w:val="clear" w:color="auto" w:fill="FFFFFF"/>
        </w:rPr>
        <w:t>ICOs</w:t>
      </w:r>
      <w:r w:rsidR="008D6644" w:rsidRPr="001141DF">
        <w:rPr>
          <w:rFonts w:asciiTheme="majorHAnsi" w:eastAsia="Times New Roman" w:hAnsiTheme="majorHAnsi" w:cstheme="majorHAnsi"/>
          <w:shd w:val="clear" w:color="auto" w:fill="FFFFFF"/>
        </w:rPr>
        <w:t xml:space="preserve"> </w:t>
      </w:r>
      <w:r w:rsidR="00F02A70" w:rsidRPr="001141DF">
        <w:rPr>
          <w:rFonts w:asciiTheme="majorHAnsi" w:eastAsia="Times New Roman" w:hAnsiTheme="majorHAnsi" w:cstheme="majorHAnsi"/>
          <w:shd w:val="clear" w:color="auto" w:fill="FFFFFF"/>
        </w:rPr>
        <w:t xml:space="preserve">and </w:t>
      </w:r>
      <w:r w:rsidR="008D6644" w:rsidRPr="001141DF">
        <w:rPr>
          <w:rFonts w:asciiTheme="majorHAnsi" w:eastAsia="Times New Roman" w:hAnsiTheme="majorHAnsi" w:cstheme="majorHAnsi"/>
          <w:shd w:val="clear" w:color="auto" w:fill="FFFFFF"/>
        </w:rPr>
        <w:t xml:space="preserve">signing of </w:t>
      </w:r>
      <w:r w:rsidR="00F02A70" w:rsidRPr="001141DF">
        <w:rPr>
          <w:rFonts w:asciiTheme="majorHAnsi" w:eastAsia="Times New Roman" w:hAnsiTheme="majorHAnsi" w:cstheme="majorHAnsi"/>
          <w:shd w:val="clear" w:color="auto" w:fill="FFFFFF"/>
        </w:rPr>
        <w:t>legal agreement</w:t>
      </w:r>
      <w:r w:rsidR="006D49C7" w:rsidRPr="001141DF">
        <w:rPr>
          <w:rFonts w:asciiTheme="majorHAnsi" w:eastAsia="Times New Roman" w:hAnsiTheme="majorHAnsi" w:cstheme="majorHAnsi"/>
          <w:shd w:val="clear" w:color="auto" w:fill="FFFFFF"/>
        </w:rPr>
        <w:t>s</w:t>
      </w:r>
      <w:r w:rsidR="00F02A70" w:rsidRPr="001141DF">
        <w:rPr>
          <w:rFonts w:asciiTheme="majorHAnsi" w:eastAsia="Times New Roman" w:hAnsiTheme="majorHAnsi" w:cstheme="majorHAnsi"/>
          <w:shd w:val="clear" w:color="auto" w:fill="FFFFFF"/>
        </w:rPr>
        <w:t>.</w:t>
      </w:r>
      <w:r w:rsidR="00810447" w:rsidRPr="001141DF">
        <w:rPr>
          <w:rFonts w:asciiTheme="majorHAnsi" w:eastAsia="Times New Roman" w:hAnsiTheme="majorHAnsi" w:cstheme="majorHAnsi"/>
          <w:shd w:val="clear" w:color="auto" w:fill="FFFFFF"/>
        </w:rPr>
        <w:t xml:space="preserve"> </w:t>
      </w:r>
      <w:proofErr w:type="spellStart"/>
      <w:r w:rsidR="00810447" w:rsidRPr="001141DF">
        <w:rPr>
          <w:rFonts w:asciiTheme="majorHAnsi" w:eastAsia="Times New Roman" w:hAnsiTheme="majorHAnsi" w:cstheme="majorHAnsi"/>
        </w:rPr>
        <w:t>bIMS</w:t>
      </w:r>
      <w:proofErr w:type="spellEnd"/>
      <w:r w:rsidR="00810447" w:rsidRPr="001141DF">
        <w:rPr>
          <w:rFonts w:asciiTheme="majorHAnsi" w:eastAsia="Times New Roman" w:hAnsiTheme="majorHAnsi" w:cstheme="majorHAnsi"/>
        </w:rPr>
        <w:t xml:space="preserve"> will be able to process basic information about an identity, i.e. user over 18 years old, country of origin</w:t>
      </w:r>
      <w:r w:rsidR="001C5162" w:rsidRPr="001141DF">
        <w:rPr>
          <w:rFonts w:asciiTheme="majorHAnsi" w:eastAsia="Times New Roman" w:hAnsiTheme="majorHAnsi" w:cstheme="majorHAnsi"/>
        </w:rPr>
        <w:t>,</w:t>
      </w:r>
      <w:r w:rsidR="00810447" w:rsidRPr="001141DF">
        <w:rPr>
          <w:rFonts w:asciiTheme="majorHAnsi" w:eastAsia="Times New Roman" w:hAnsiTheme="majorHAnsi" w:cstheme="majorHAnsi"/>
        </w:rPr>
        <w:t xml:space="preserve"> etc. This is done to ensure sensitive information is never seen.</w:t>
      </w:r>
    </w:p>
    <w:p w14:paraId="42B287DB" w14:textId="77777777" w:rsidR="0012307F" w:rsidRPr="001141DF" w:rsidRDefault="0012307F" w:rsidP="00A460AD">
      <w:pPr>
        <w:spacing w:line="360" w:lineRule="auto"/>
        <w:jc w:val="both"/>
        <w:rPr>
          <w:rFonts w:asciiTheme="majorHAnsi" w:eastAsia="Times New Roman" w:hAnsiTheme="majorHAnsi" w:cstheme="majorHAnsi"/>
          <w:highlight w:val="white"/>
        </w:rPr>
      </w:pPr>
    </w:p>
    <w:p w14:paraId="5612B439" w14:textId="583A41E1" w:rsidR="0012307F" w:rsidRPr="001141DF" w:rsidRDefault="007D2739" w:rsidP="00A460A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b/>
          <w:shd w:val="clear" w:color="auto" w:fill="FFFFFF"/>
        </w:rPr>
        <w:t>Tier 3</w:t>
      </w:r>
      <w:r w:rsidRPr="001141DF">
        <w:rPr>
          <w:rFonts w:asciiTheme="majorHAnsi" w:eastAsia="Times New Roman" w:hAnsiTheme="majorHAnsi" w:cstheme="majorHAnsi"/>
          <w:shd w:val="clear" w:color="auto" w:fill="FFFFFF"/>
        </w:rPr>
        <w:t xml:space="preserve"> – Special or accredited investor status. </w:t>
      </w:r>
      <w:r w:rsidR="009D162E" w:rsidRPr="001141DF">
        <w:rPr>
          <w:rFonts w:asciiTheme="majorHAnsi" w:eastAsia="Times New Roman" w:hAnsiTheme="majorHAnsi" w:cstheme="majorHAnsi"/>
          <w:shd w:val="clear" w:color="auto" w:fill="FFFFFF"/>
        </w:rPr>
        <w:t>Participants</w:t>
      </w:r>
      <w:r w:rsidRPr="001141DF">
        <w:rPr>
          <w:rFonts w:asciiTheme="majorHAnsi" w:eastAsia="Times New Roman" w:hAnsiTheme="majorHAnsi" w:cstheme="majorHAnsi"/>
          <w:shd w:val="clear" w:color="auto" w:fill="FFFFFF"/>
        </w:rPr>
        <w:t xml:space="preserve"> that are purchasing offerings that only sell security tokens or using SAFT </w:t>
      </w:r>
      <w:r w:rsidR="009D162E" w:rsidRPr="001141DF">
        <w:rPr>
          <w:rFonts w:asciiTheme="majorHAnsi" w:eastAsia="Times New Roman" w:hAnsiTheme="majorHAnsi" w:cstheme="majorHAnsi"/>
          <w:shd w:val="clear" w:color="auto" w:fill="FFFFFF"/>
        </w:rPr>
        <w:t>for</w:t>
      </w:r>
      <w:r w:rsidRPr="001141DF">
        <w:rPr>
          <w:rFonts w:asciiTheme="majorHAnsi" w:eastAsia="Times New Roman" w:hAnsiTheme="majorHAnsi" w:cstheme="majorHAnsi"/>
          <w:shd w:val="clear" w:color="auto" w:fill="FFFFFF"/>
        </w:rPr>
        <w:t xml:space="preserve"> accredited inves</w:t>
      </w:r>
      <w:r w:rsidR="009D162E" w:rsidRPr="001141DF">
        <w:rPr>
          <w:rFonts w:asciiTheme="majorHAnsi" w:eastAsia="Times New Roman" w:hAnsiTheme="majorHAnsi" w:cstheme="majorHAnsi"/>
          <w:shd w:val="clear" w:color="auto" w:fill="FFFFFF"/>
        </w:rPr>
        <w:t>tors will want to receive this T</w:t>
      </w:r>
      <w:r w:rsidRPr="001141DF">
        <w:rPr>
          <w:rFonts w:asciiTheme="majorHAnsi" w:eastAsia="Times New Roman" w:hAnsiTheme="majorHAnsi" w:cstheme="majorHAnsi"/>
          <w:shd w:val="clear" w:color="auto" w:fill="FFFFFF"/>
        </w:rPr>
        <w:t>ier. Our verifiers will process documents from attorneys and/or CPA</w:t>
      </w:r>
      <w:r w:rsidR="00784CCC" w:rsidRPr="001141DF">
        <w:rPr>
          <w:rFonts w:asciiTheme="majorHAnsi" w:eastAsia="Times New Roman" w:hAnsiTheme="majorHAnsi" w:cstheme="majorHAnsi"/>
          <w:shd w:val="clear" w:color="auto" w:fill="FFFFFF"/>
        </w:rPr>
        <w:t>s</w:t>
      </w:r>
      <w:r w:rsidRPr="001141DF">
        <w:rPr>
          <w:rFonts w:asciiTheme="majorHAnsi" w:eastAsia="Times New Roman" w:hAnsiTheme="majorHAnsi" w:cstheme="majorHAnsi"/>
          <w:shd w:val="clear" w:color="auto" w:fill="FFFFFF"/>
        </w:rPr>
        <w:t xml:space="preserve"> to </w:t>
      </w:r>
      <w:r w:rsidR="00784CCC" w:rsidRPr="001141DF">
        <w:rPr>
          <w:rFonts w:asciiTheme="majorHAnsi" w:eastAsia="Times New Roman" w:hAnsiTheme="majorHAnsi" w:cstheme="majorHAnsi"/>
          <w:shd w:val="clear" w:color="auto" w:fill="FFFFFF"/>
        </w:rPr>
        <w:t>certify</w:t>
      </w:r>
      <w:r w:rsidRPr="001141DF">
        <w:rPr>
          <w:rFonts w:asciiTheme="majorHAnsi" w:eastAsia="Times New Roman" w:hAnsiTheme="majorHAnsi" w:cstheme="majorHAnsi"/>
          <w:shd w:val="clear" w:color="auto" w:fill="FFFFFF"/>
        </w:rPr>
        <w:t xml:space="preserve"> accredited status</w:t>
      </w:r>
      <w:r w:rsidR="00B56CB4" w:rsidRPr="001141DF">
        <w:rPr>
          <w:rFonts w:asciiTheme="majorHAnsi" w:eastAsia="Times New Roman" w:hAnsiTheme="majorHAnsi" w:cstheme="majorHAnsi"/>
          <w:shd w:val="clear" w:color="auto" w:fill="FFFFFF"/>
        </w:rPr>
        <w:t xml:space="preserve">. Credentials will </w:t>
      </w:r>
      <w:r w:rsidR="00B87B50" w:rsidRPr="001141DF">
        <w:rPr>
          <w:rFonts w:asciiTheme="majorHAnsi" w:eastAsia="Times New Roman" w:hAnsiTheme="majorHAnsi" w:cstheme="majorHAnsi"/>
          <w:shd w:val="clear" w:color="auto" w:fill="FFFFFF"/>
        </w:rPr>
        <w:t>expire unless</w:t>
      </w:r>
      <w:r w:rsidR="00B56CB4" w:rsidRPr="001141DF">
        <w:rPr>
          <w:rFonts w:asciiTheme="majorHAnsi" w:eastAsia="Times New Roman" w:hAnsiTheme="majorHAnsi" w:cstheme="majorHAnsi"/>
          <w:shd w:val="clear" w:color="auto" w:fill="FFFFFF"/>
        </w:rPr>
        <w:t xml:space="preserve"> recertified every three months in this Tier due to R</w:t>
      </w:r>
      <w:r w:rsidR="006B1478" w:rsidRPr="001141DF">
        <w:rPr>
          <w:rFonts w:asciiTheme="majorHAnsi" w:eastAsia="Times New Roman" w:hAnsiTheme="majorHAnsi" w:cstheme="majorHAnsi"/>
          <w:shd w:val="clear" w:color="auto" w:fill="FFFFFF"/>
        </w:rPr>
        <w:t>ule 506</w:t>
      </w:r>
      <w:r w:rsidR="00B56CB4" w:rsidRPr="001141DF">
        <w:rPr>
          <w:rFonts w:asciiTheme="majorHAnsi" w:eastAsia="Times New Roman" w:hAnsiTheme="majorHAnsi" w:cstheme="majorHAnsi"/>
          <w:shd w:val="clear" w:color="auto" w:fill="FFFFFF"/>
        </w:rPr>
        <w:t>(c).</w:t>
      </w:r>
      <w:r w:rsidR="0067700A" w:rsidRPr="001141DF">
        <w:rPr>
          <w:rFonts w:asciiTheme="majorHAnsi" w:eastAsia="Times New Roman" w:hAnsiTheme="majorHAnsi" w:cstheme="majorHAnsi"/>
          <w:shd w:val="clear" w:color="auto" w:fill="FFFFFF"/>
        </w:rPr>
        <w:t xml:space="preserve"> Upon expiration, reclassification automatically occurs to Tier 2.</w:t>
      </w:r>
    </w:p>
    <w:p w14:paraId="157A71FB" w14:textId="77777777" w:rsidR="0012307F" w:rsidRPr="001141DF" w:rsidRDefault="0012307F" w:rsidP="00CC1502">
      <w:pPr>
        <w:jc w:val="both"/>
        <w:rPr>
          <w:rFonts w:asciiTheme="majorHAnsi" w:eastAsia="Times New Roman" w:hAnsiTheme="majorHAnsi" w:cstheme="majorHAnsi"/>
        </w:rPr>
      </w:pPr>
    </w:p>
    <w:p w14:paraId="15737018" w14:textId="77777777" w:rsidR="0012307F" w:rsidRPr="001141DF" w:rsidRDefault="0012307F" w:rsidP="00B04AF8">
      <w:pPr>
        <w:ind w:firstLine="720"/>
        <w:jc w:val="both"/>
        <w:rPr>
          <w:rFonts w:asciiTheme="majorHAnsi" w:eastAsia="Times New Roman" w:hAnsiTheme="majorHAnsi" w:cstheme="majorHAnsi"/>
        </w:rPr>
      </w:pPr>
    </w:p>
    <w:p w14:paraId="08A00E42" w14:textId="77777777" w:rsidR="0012307F" w:rsidRPr="001141DF" w:rsidRDefault="007D2739" w:rsidP="00B04AF8">
      <w:pPr>
        <w:pBdr>
          <w:bottom w:val="single" w:sz="4" w:space="1" w:color="2FA3EE"/>
        </w:pBdr>
        <w:spacing w:before="400" w:after="40"/>
        <w:jc w:val="both"/>
        <w:outlineLvl w:val="0"/>
        <w:rPr>
          <w:rStyle w:val="IntenseReference"/>
          <w:rFonts w:asciiTheme="majorHAnsi" w:hAnsiTheme="majorHAnsi" w:cstheme="majorHAnsi"/>
          <w:color w:val="auto"/>
          <w:sz w:val="40"/>
          <w:szCs w:val="36"/>
        </w:rPr>
      </w:pPr>
      <w:bookmarkStart w:id="14" w:name="_Toc504511286"/>
      <w:r w:rsidRPr="001141DF">
        <w:rPr>
          <w:rStyle w:val="IntenseReference"/>
          <w:rFonts w:asciiTheme="majorHAnsi" w:hAnsiTheme="majorHAnsi" w:cstheme="majorHAnsi"/>
          <w:color w:val="auto"/>
          <w:sz w:val="40"/>
          <w:szCs w:val="36"/>
        </w:rPr>
        <w:lastRenderedPageBreak/>
        <w:t>DISTRIBUTION MECHANISM</w:t>
      </w:r>
      <w:bookmarkEnd w:id="14"/>
    </w:p>
    <w:p w14:paraId="4E61B998" w14:textId="77777777" w:rsidR="0012307F" w:rsidRPr="001141DF" w:rsidRDefault="0012307F" w:rsidP="00A460AD">
      <w:pPr>
        <w:tabs>
          <w:tab w:val="left" w:pos="3370"/>
        </w:tabs>
        <w:spacing w:line="360" w:lineRule="auto"/>
        <w:jc w:val="both"/>
        <w:rPr>
          <w:rFonts w:asciiTheme="majorHAnsi" w:eastAsia="Times New Roman" w:hAnsiTheme="majorHAnsi" w:cstheme="majorHAnsi"/>
        </w:rPr>
      </w:pPr>
    </w:p>
    <w:p w14:paraId="206B31B1" w14:textId="6A23B32D" w:rsidR="001A022A" w:rsidRPr="001141DF" w:rsidRDefault="001A022A" w:rsidP="00A460A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The IAM is a NEP-5 token minted through a NEO Smart Contract. </w:t>
      </w:r>
    </w:p>
    <w:p w14:paraId="4B5E08CD" w14:textId="77777777" w:rsidR="001A022A" w:rsidRPr="001141DF" w:rsidRDefault="001A022A" w:rsidP="00A460AD">
      <w:pPr>
        <w:spacing w:line="360" w:lineRule="auto"/>
        <w:jc w:val="both"/>
        <w:rPr>
          <w:rFonts w:asciiTheme="majorHAnsi" w:eastAsia="Times New Roman" w:hAnsiTheme="majorHAnsi" w:cstheme="majorHAnsi"/>
        </w:rPr>
      </w:pPr>
    </w:p>
    <w:p w14:paraId="446F9188" w14:textId="77777777" w:rsidR="00F96EA5" w:rsidRPr="001141DF" w:rsidRDefault="001551E1" w:rsidP="00A460A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One billion </w:t>
      </w:r>
      <w:r w:rsidR="007B633E" w:rsidRPr="001141DF">
        <w:rPr>
          <w:rFonts w:asciiTheme="majorHAnsi" w:eastAsia="Times New Roman" w:hAnsiTheme="majorHAnsi" w:cstheme="majorHAnsi"/>
        </w:rPr>
        <w:t xml:space="preserve">tokens </w:t>
      </w:r>
      <w:r w:rsidRPr="001141DF">
        <w:rPr>
          <w:rFonts w:asciiTheme="majorHAnsi" w:eastAsia="Times New Roman" w:hAnsiTheme="majorHAnsi" w:cstheme="majorHAnsi"/>
        </w:rPr>
        <w:t xml:space="preserve">will be </w:t>
      </w:r>
      <w:r w:rsidR="007B633E" w:rsidRPr="001141DF">
        <w:rPr>
          <w:rFonts w:asciiTheme="majorHAnsi" w:eastAsia="Times New Roman" w:hAnsiTheme="majorHAnsi" w:cstheme="majorHAnsi"/>
        </w:rPr>
        <w:t>minted</w:t>
      </w:r>
      <w:r w:rsidRPr="001141DF">
        <w:rPr>
          <w:rFonts w:asciiTheme="majorHAnsi" w:eastAsia="Times New Roman" w:hAnsiTheme="majorHAnsi" w:cstheme="majorHAnsi"/>
        </w:rPr>
        <w:t xml:space="preserve"> and none thereafter. </w:t>
      </w:r>
      <w:r w:rsidR="007B633E" w:rsidRPr="001141DF">
        <w:rPr>
          <w:rFonts w:asciiTheme="majorHAnsi" w:eastAsia="Times New Roman" w:hAnsiTheme="majorHAnsi" w:cstheme="majorHAnsi"/>
        </w:rPr>
        <w:t>These tokens will then be</w:t>
      </w:r>
      <w:r w:rsidR="007D2739" w:rsidRPr="001141DF">
        <w:rPr>
          <w:rFonts w:asciiTheme="majorHAnsi" w:eastAsia="Times New Roman" w:hAnsiTheme="majorHAnsi" w:cstheme="majorHAnsi"/>
        </w:rPr>
        <w:t xml:space="preserve"> divided into two portions. The first portion of 500 million tokens is distributed to supporters during crowdfunding. The second 500 million is managed by the</w:t>
      </w:r>
      <w:r w:rsidR="00E64EDD" w:rsidRPr="001141DF">
        <w:rPr>
          <w:rFonts w:asciiTheme="majorHAnsi" w:eastAsia="Times New Roman" w:hAnsiTheme="majorHAnsi" w:cstheme="majorHAnsi"/>
        </w:rPr>
        <w:t xml:space="preserve"> Bridge</w:t>
      </w:r>
      <w:r w:rsidR="007D2739" w:rsidRPr="001141DF">
        <w:rPr>
          <w:rFonts w:asciiTheme="majorHAnsi" w:eastAsia="Times New Roman" w:hAnsiTheme="majorHAnsi" w:cstheme="majorHAnsi"/>
        </w:rPr>
        <w:t xml:space="preserve"> Corporation to support development, operation and maintenance.</w:t>
      </w:r>
      <w:r w:rsidR="00F96EA5" w:rsidRPr="001141DF">
        <w:rPr>
          <w:rFonts w:asciiTheme="majorHAnsi" w:eastAsia="Times New Roman" w:hAnsiTheme="majorHAnsi" w:cstheme="majorHAnsi"/>
        </w:rPr>
        <w:t xml:space="preserve"> At the close of the token sale,</w:t>
      </w:r>
      <w:r w:rsidR="007D2739" w:rsidRPr="001141DF">
        <w:rPr>
          <w:rFonts w:asciiTheme="majorHAnsi" w:eastAsia="Times New Roman" w:hAnsiTheme="majorHAnsi" w:cstheme="majorHAnsi"/>
        </w:rPr>
        <w:t xml:space="preserve"> </w:t>
      </w:r>
      <w:r w:rsidR="00C85EB1" w:rsidRPr="001141DF">
        <w:rPr>
          <w:rFonts w:asciiTheme="majorHAnsi" w:eastAsia="Times New Roman" w:hAnsiTheme="majorHAnsi" w:cstheme="majorHAnsi"/>
        </w:rPr>
        <w:t>480 million of this</w:t>
      </w:r>
      <w:r w:rsidR="007D2739" w:rsidRPr="001141DF">
        <w:rPr>
          <w:rFonts w:asciiTheme="majorHAnsi" w:eastAsia="Times New Roman" w:hAnsiTheme="majorHAnsi" w:cstheme="majorHAnsi"/>
        </w:rPr>
        <w:t xml:space="preserve"> port</w:t>
      </w:r>
      <w:r w:rsidR="00F96EA5" w:rsidRPr="001141DF">
        <w:rPr>
          <w:rFonts w:asciiTheme="majorHAnsi" w:eastAsia="Times New Roman" w:hAnsiTheme="majorHAnsi" w:cstheme="majorHAnsi"/>
        </w:rPr>
        <w:t xml:space="preserve">ion will be locked for 6 months. </w:t>
      </w:r>
    </w:p>
    <w:p w14:paraId="2F56B620" w14:textId="77777777" w:rsidR="00F96EA5" w:rsidRPr="001141DF" w:rsidRDefault="00F96EA5" w:rsidP="00A460AD">
      <w:pPr>
        <w:spacing w:line="360" w:lineRule="auto"/>
        <w:jc w:val="both"/>
        <w:rPr>
          <w:rFonts w:asciiTheme="majorHAnsi" w:eastAsia="Times New Roman" w:hAnsiTheme="majorHAnsi" w:cstheme="majorHAnsi"/>
        </w:rPr>
      </w:pPr>
    </w:p>
    <w:p w14:paraId="2C95C411" w14:textId="77777777" w:rsidR="00F96EA5" w:rsidRPr="001141DF" w:rsidRDefault="00F96EA5" w:rsidP="00A460AD">
      <w:pPr>
        <w:spacing w:line="360" w:lineRule="auto"/>
        <w:jc w:val="both"/>
        <w:rPr>
          <w:rFonts w:asciiTheme="majorHAnsi" w:eastAsia="Times New Roman" w:hAnsiTheme="majorHAnsi" w:cstheme="majorHAnsi"/>
        </w:rPr>
      </w:pPr>
    </w:p>
    <w:p w14:paraId="088F7CDF" w14:textId="77777777" w:rsidR="00F96EA5" w:rsidRPr="001141DF" w:rsidRDefault="00F96EA5" w:rsidP="00A460AD">
      <w:pPr>
        <w:spacing w:line="360" w:lineRule="auto"/>
        <w:jc w:val="both"/>
        <w:rPr>
          <w:rFonts w:asciiTheme="majorHAnsi" w:eastAsia="Times New Roman" w:hAnsiTheme="majorHAnsi" w:cstheme="majorHAnsi"/>
        </w:rPr>
      </w:pPr>
    </w:p>
    <w:p w14:paraId="542166A2" w14:textId="6D09122E" w:rsidR="001A022A" w:rsidRPr="001141DF" w:rsidRDefault="00AC38D4" w:rsidP="00A460AD">
      <w:pPr>
        <w:spacing w:line="360" w:lineRule="auto"/>
        <w:jc w:val="both"/>
        <w:rPr>
          <w:rFonts w:asciiTheme="majorHAnsi" w:hAnsiTheme="majorHAnsi" w:cstheme="majorHAnsi"/>
          <w:b/>
        </w:rPr>
      </w:pPr>
      <w:r w:rsidRPr="001141DF">
        <w:rPr>
          <w:rFonts w:asciiTheme="majorHAnsi" w:eastAsia="Times New Roman" w:hAnsiTheme="majorHAnsi" w:cstheme="majorHAnsi"/>
          <w:b/>
        </w:rPr>
        <w:t>Bridge p</w:t>
      </w:r>
      <w:r w:rsidR="007D2739" w:rsidRPr="001141DF">
        <w:rPr>
          <w:rFonts w:asciiTheme="majorHAnsi" w:eastAsia="Times New Roman" w:hAnsiTheme="majorHAnsi" w:cstheme="majorHAnsi"/>
          <w:b/>
        </w:rPr>
        <w:t xml:space="preserve">lans to use </w:t>
      </w:r>
      <w:r w:rsidRPr="001141DF">
        <w:rPr>
          <w:rFonts w:asciiTheme="majorHAnsi" w:eastAsia="Times New Roman" w:hAnsiTheme="majorHAnsi" w:cstheme="majorHAnsi"/>
          <w:b/>
        </w:rPr>
        <w:t>IAM tokens</w:t>
      </w:r>
      <w:r w:rsidR="007D2739" w:rsidRPr="001141DF">
        <w:rPr>
          <w:rFonts w:asciiTheme="majorHAnsi" w:eastAsia="Times New Roman" w:hAnsiTheme="majorHAnsi" w:cstheme="majorHAnsi"/>
          <w:b/>
        </w:rPr>
        <w:t xml:space="preserve"> </w:t>
      </w:r>
      <w:r w:rsidRPr="001141DF">
        <w:rPr>
          <w:rFonts w:asciiTheme="majorHAnsi" w:eastAsia="Times New Roman" w:hAnsiTheme="majorHAnsi" w:cstheme="majorHAnsi"/>
          <w:b/>
        </w:rPr>
        <w:t>as</w:t>
      </w:r>
      <w:r w:rsidR="007D2739" w:rsidRPr="001141DF">
        <w:rPr>
          <w:rFonts w:asciiTheme="majorHAnsi" w:eastAsia="Times New Roman" w:hAnsiTheme="majorHAnsi" w:cstheme="majorHAnsi"/>
          <w:b/>
        </w:rPr>
        <w:t xml:space="preserve"> </w:t>
      </w:r>
      <w:r w:rsidRPr="001141DF">
        <w:rPr>
          <w:rFonts w:asciiTheme="majorHAnsi" w:eastAsia="Times New Roman" w:hAnsiTheme="majorHAnsi" w:cstheme="majorHAnsi"/>
          <w:b/>
        </w:rPr>
        <w:t>follows</w:t>
      </w:r>
      <w:r w:rsidR="007D2739" w:rsidRPr="001141DF">
        <w:rPr>
          <w:rFonts w:asciiTheme="majorHAnsi" w:eastAsia="Times New Roman" w:hAnsiTheme="majorHAnsi" w:cstheme="majorHAnsi"/>
          <w:b/>
        </w:rPr>
        <w:t>:</w:t>
      </w:r>
    </w:p>
    <w:p w14:paraId="3F3F31F9" w14:textId="4618E612" w:rsidR="00C85EB1" w:rsidRPr="001141DF" w:rsidRDefault="00C85EB1" w:rsidP="00A460AD">
      <w:pPr>
        <w:numPr>
          <w:ilvl w:val="0"/>
          <w:numId w:val="1"/>
        </w:numPr>
        <w:spacing w:line="360" w:lineRule="auto"/>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20 million immediately unlocked for bounty program</w:t>
      </w:r>
      <w:r w:rsidR="001A022A" w:rsidRPr="001141DF">
        <w:rPr>
          <w:rFonts w:asciiTheme="majorHAnsi" w:eastAsia="Times New Roman" w:hAnsiTheme="majorHAnsi" w:cstheme="majorHAnsi"/>
        </w:rPr>
        <w:t>s</w:t>
      </w:r>
    </w:p>
    <w:p w14:paraId="13156AF6" w14:textId="443F2253" w:rsidR="0012307F" w:rsidRPr="001141DF" w:rsidRDefault="007D2739" w:rsidP="00A460AD">
      <w:pPr>
        <w:numPr>
          <w:ilvl w:val="0"/>
          <w:numId w:val="1"/>
        </w:numPr>
        <w:spacing w:line="360" w:lineRule="auto"/>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200 million to motivate developers, attorneys and auditors to participate in the ecosystem</w:t>
      </w:r>
    </w:p>
    <w:p w14:paraId="37B527F9" w14:textId="746232B7" w:rsidR="0012307F" w:rsidRPr="001141DF" w:rsidRDefault="007D2739" w:rsidP="00A460AD">
      <w:pPr>
        <w:numPr>
          <w:ilvl w:val="0"/>
          <w:numId w:val="1"/>
        </w:numPr>
        <w:spacing w:line="360" w:lineRule="auto"/>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 xml:space="preserve">200 million will be used </w:t>
      </w:r>
      <w:r w:rsidR="00ED3C02" w:rsidRPr="001141DF">
        <w:rPr>
          <w:rFonts w:asciiTheme="majorHAnsi" w:eastAsia="Times New Roman" w:hAnsiTheme="majorHAnsi" w:cstheme="majorHAnsi"/>
        </w:rPr>
        <w:t>to cross-invest in other projects, which are in partnership with</w:t>
      </w:r>
      <w:r w:rsidR="0004364C" w:rsidRPr="001141DF">
        <w:rPr>
          <w:rFonts w:asciiTheme="majorHAnsi" w:eastAsia="Times New Roman" w:hAnsiTheme="majorHAnsi" w:cstheme="majorHAnsi"/>
        </w:rPr>
        <w:t xml:space="preserve"> the Corporation</w:t>
      </w:r>
      <w:r w:rsidR="00ED3C02" w:rsidRPr="001141DF">
        <w:rPr>
          <w:rFonts w:asciiTheme="majorHAnsi" w:eastAsia="Times New Roman" w:hAnsiTheme="majorHAnsi" w:cstheme="majorHAnsi"/>
        </w:rPr>
        <w:t xml:space="preserve"> and used to enhance the Bridge ecosystem and create new microservices</w:t>
      </w:r>
    </w:p>
    <w:p w14:paraId="3BCB55AC" w14:textId="129BCE81" w:rsidR="0012307F" w:rsidRPr="001141DF" w:rsidRDefault="00C85EB1" w:rsidP="00A460AD">
      <w:pPr>
        <w:numPr>
          <w:ilvl w:val="0"/>
          <w:numId w:val="1"/>
        </w:numPr>
        <w:spacing w:line="360" w:lineRule="auto"/>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80</w:t>
      </w:r>
      <w:r w:rsidR="001A022A" w:rsidRPr="001141DF">
        <w:rPr>
          <w:rFonts w:asciiTheme="majorHAnsi" w:eastAsia="Times New Roman" w:hAnsiTheme="majorHAnsi" w:cstheme="majorHAnsi"/>
        </w:rPr>
        <w:t xml:space="preserve"> million </w:t>
      </w:r>
      <w:r w:rsidR="007D2739" w:rsidRPr="001141DF">
        <w:rPr>
          <w:rFonts w:asciiTheme="majorHAnsi" w:eastAsia="Times New Roman" w:hAnsiTheme="majorHAnsi" w:cstheme="majorHAnsi"/>
        </w:rPr>
        <w:t xml:space="preserve">will </w:t>
      </w:r>
      <w:r w:rsidR="00104824" w:rsidRPr="001141DF">
        <w:rPr>
          <w:rFonts w:asciiTheme="majorHAnsi" w:eastAsia="Times New Roman" w:hAnsiTheme="majorHAnsi" w:cstheme="majorHAnsi"/>
        </w:rPr>
        <w:t xml:space="preserve">be retained as contingency </w:t>
      </w:r>
    </w:p>
    <w:p w14:paraId="103CF468" w14:textId="77777777" w:rsidR="00104824" w:rsidRPr="001141DF" w:rsidRDefault="00104824" w:rsidP="00104824">
      <w:pPr>
        <w:spacing w:line="360" w:lineRule="auto"/>
        <w:jc w:val="both"/>
        <w:rPr>
          <w:rFonts w:asciiTheme="majorHAnsi" w:eastAsia="Times New Roman" w:hAnsiTheme="majorHAnsi" w:cstheme="majorHAnsi"/>
          <w:b/>
          <w:bCs/>
          <w:shd w:val="clear" w:color="auto" w:fill="FFFFFF"/>
        </w:rPr>
      </w:pPr>
    </w:p>
    <w:p w14:paraId="49EAD71A" w14:textId="6E0B65A5" w:rsidR="0012307F" w:rsidRPr="001141DF" w:rsidRDefault="007D2739" w:rsidP="00104824">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b/>
          <w:bCs/>
          <w:shd w:val="clear" w:color="auto" w:fill="FFFFFF"/>
        </w:rPr>
        <w:t>Use of Token Sale Proceeds:</w:t>
      </w:r>
    </w:p>
    <w:p w14:paraId="514AD198" w14:textId="56C5B05C" w:rsidR="0012307F" w:rsidRPr="001141DF" w:rsidRDefault="00104824" w:rsidP="00A460AD">
      <w:pPr>
        <w:numPr>
          <w:ilvl w:val="0"/>
          <w:numId w:val="2"/>
        </w:numPr>
        <w:spacing w:line="360" w:lineRule="auto"/>
        <w:ind w:left="1080"/>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55</w:t>
      </w:r>
      <w:r w:rsidR="007D2739" w:rsidRPr="001141DF">
        <w:rPr>
          <w:rFonts w:asciiTheme="majorHAnsi" w:eastAsia="Times New Roman" w:hAnsiTheme="majorHAnsi" w:cstheme="majorHAnsi"/>
        </w:rPr>
        <w:t xml:space="preserve">% Blockchain &amp; </w:t>
      </w:r>
      <w:r w:rsidR="005342F2" w:rsidRPr="001141DF">
        <w:rPr>
          <w:rFonts w:asciiTheme="majorHAnsi" w:eastAsia="Times New Roman" w:hAnsiTheme="majorHAnsi" w:cstheme="majorHAnsi"/>
        </w:rPr>
        <w:t>Microservice</w:t>
      </w:r>
      <w:r w:rsidR="007D2739" w:rsidRPr="001141DF">
        <w:rPr>
          <w:rFonts w:asciiTheme="majorHAnsi" w:eastAsia="Times New Roman" w:hAnsiTheme="majorHAnsi" w:cstheme="majorHAnsi"/>
        </w:rPr>
        <w:t xml:space="preserve"> Development</w:t>
      </w:r>
    </w:p>
    <w:p w14:paraId="3E578332" w14:textId="4D5C54A8" w:rsidR="0012307F" w:rsidRPr="001141DF" w:rsidRDefault="00104824" w:rsidP="00A460AD">
      <w:pPr>
        <w:numPr>
          <w:ilvl w:val="0"/>
          <w:numId w:val="2"/>
        </w:numPr>
        <w:spacing w:line="360" w:lineRule="auto"/>
        <w:ind w:left="1080"/>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5</w:t>
      </w:r>
      <w:r w:rsidR="007D2739" w:rsidRPr="001141DF">
        <w:rPr>
          <w:rFonts w:asciiTheme="majorHAnsi" w:eastAsia="Times New Roman" w:hAnsiTheme="majorHAnsi" w:cstheme="majorHAnsi"/>
        </w:rPr>
        <w:t>% Marketing</w:t>
      </w:r>
    </w:p>
    <w:p w14:paraId="3E50D9E0" w14:textId="30C61A4A" w:rsidR="0012307F" w:rsidRPr="001141DF" w:rsidRDefault="00104824" w:rsidP="00A460AD">
      <w:pPr>
        <w:numPr>
          <w:ilvl w:val="0"/>
          <w:numId w:val="2"/>
        </w:numPr>
        <w:spacing w:line="360" w:lineRule="auto"/>
        <w:ind w:left="1080"/>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20</w:t>
      </w:r>
      <w:r w:rsidR="007D2739" w:rsidRPr="001141DF">
        <w:rPr>
          <w:rFonts w:asciiTheme="majorHAnsi" w:eastAsia="Times New Roman" w:hAnsiTheme="majorHAnsi" w:cstheme="majorHAnsi"/>
        </w:rPr>
        <w:t>% Operations</w:t>
      </w:r>
    </w:p>
    <w:p w14:paraId="3EC32F81" w14:textId="718F2187" w:rsidR="0012307F" w:rsidRPr="001141DF" w:rsidRDefault="00104824" w:rsidP="00A460AD">
      <w:pPr>
        <w:numPr>
          <w:ilvl w:val="0"/>
          <w:numId w:val="2"/>
        </w:numPr>
        <w:spacing w:line="360" w:lineRule="auto"/>
        <w:ind w:left="1080"/>
        <w:jc w:val="both"/>
        <w:textAlignment w:val="baseline"/>
        <w:rPr>
          <w:rFonts w:asciiTheme="majorHAnsi" w:eastAsia="Times New Roman" w:hAnsiTheme="majorHAnsi" w:cstheme="majorHAnsi"/>
        </w:rPr>
      </w:pPr>
      <w:r w:rsidRPr="001141DF">
        <w:rPr>
          <w:rFonts w:asciiTheme="majorHAnsi" w:eastAsia="Times New Roman" w:hAnsiTheme="majorHAnsi" w:cstheme="majorHAnsi"/>
        </w:rPr>
        <w:t>20</w:t>
      </w:r>
      <w:r w:rsidR="007D2739" w:rsidRPr="001141DF">
        <w:rPr>
          <w:rFonts w:asciiTheme="majorHAnsi" w:eastAsia="Times New Roman" w:hAnsiTheme="majorHAnsi" w:cstheme="majorHAnsi"/>
        </w:rPr>
        <w:t>% R&amp;D</w:t>
      </w:r>
    </w:p>
    <w:p w14:paraId="49DEA6CD" w14:textId="77777777" w:rsidR="00C85EB1" w:rsidRPr="001141DF" w:rsidRDefault="00C85EB1" w:rsidP="00B04AF8">
      <w:pPr>
        <w:jc w:val="both"/>
        <w:rPr>
          <w:rFonts w:asciiTheme="majorHAnsi" w:eastAsia="Times New Roman" w:hAnsiTheme="majorHAnsi" w:cstheme="majorHAnsi"/>
          <w:b/>
        </w:rPr>
      </w:pPr>
    </w:p>
    <w:p w14:paraId="303D5571" w14:textId="77777777" w:rsidR="0012307F" w:rsidRPr="001141DF" w:rsidRDefault="007D2739" w:rsidP="00A460AD">
      <w:pPr>
        <w:spacing w:line="360" w:lineRule="auto"/>
        <w:jc w:val="both"/>
        <w:rPr>
          <w:rFonts w:asciiTheme="majorHAnsi" w:eastAsia="Times New Roman" w:hAnsiTheme="majorHAnsi" w:cstheme="majorHAnsi"/>
          <w:b/>
        </w:rPr>
      </w:pPr>
      <w:r w:rsidRPr="001141DF">
        <w:rPr>
          <w:rFonts w:asciiTheme="majorHAnsi" w:eastAsia="Times New Roman" w:hAnsiTheme="majorHAnsi" w:cstheme="majorHAnsi"/>
          <w:b/>
        </w:rPr>
        <w:t>Bridge Smart Contract Moratorium</w:t>
      </w:r>
    </w:p>
    <w:p w14:paraId="70D64150" w14:textId="7A3C98E6" w:rsidR="0012307F" w:rsidRPr="001141DF" w:rsidRDefault="007D2739" w:rsidP="00873CDA">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 xml:space="preserve">To preserve the project and protect </w:t>
      </w:r>
      <w:r w:rsidR="00B07F04" w:rsidRPr="001141DF">
        <w:rPr>
          <w:rFonts w:asciiTheme="majorHAnsi" w:eastAsia="Times New Roman" w:hAnsiTheme="majorHAnsi" w:cstheme="majorHAnsi"/>
        </w:rPr>
        <w:t>token sale</w:t>
      </w:r>
      <w:r w:rsidRPr="001141DF">
        <w:rPr>
          <w:rFonts w:asciiTheme="majorHAnsi" w:eastAsia="Times New Roman" w:hAnsiTheme="majorHAnsi" w:cstheme="majorHAnsi"/>
        </w:rPr>
        <w:t xml:space="preserve"> contributors there will be a mandatory six (6) month moratorium on selling IAM tokens for all founders and advisors. This policy will be built into the smart contract for total transparency. We will also burn all tokens not sold in the token sale.</w:t>
      </w:r>
    </w:p>
    <w:p w14:paraId="330789B8" w14:textId="77777777" w:rsidR="0012307F" w:rsidRPr="001141DF" w:rsidRDefault="007D2739" w:rsidP="00B04AF8">
      <w:pPr>
        <w:pBdr>
          <w:bottom w:val="single" w:sz="4" w:space="1" w:color="2FA3EE"/>
        </w:pBdr>
        <w:spacing w:before="400" w:after="40"/>
        <w:jc w:val="both"/>
        <w:outlineLvl w:val="0"/>
        <w:rPr>
          <w:rStyle w:val="IntenseReference"/>
          <w:rFonts w:asciiTheme="majorHAnsi" w:hAnsiTheme="majorHAnsi" w:cstheme="majorHAnsi"/>
          <w:color w:val="auto"/>
          <w:sz w:val="36"/>
          <w:szCs w:val="36"/>
        </w:rPr>
      </w:pPr>
      <w:bookmarkStart w:id="15" w:name="_Toc504511287"/>
      <w:r w:rsidRPr="001141DF">
        <w:rPr>
          <w:rStyle w:val="IntenseReference"/>
          <w:rFonts w:asciiTheme="majorHAnsi" w:hAnsiTheme="majorHAnsi" w:cstheme="majorHAnsi"/>
          <w:color w:val="auto"/>
          <w:sz w:val="36"/>
          <w:szCs w:val="36"/>
        </w:rPr>
        <w:lastRenderedPageBreak/>
        <w:t>CONCLUSION</w:t>
      </w:r>
      <w:bookmarkEnd w:id="15"/>
    </w:p>
    <w:p w14:paraId="433B2565" w14:textId="77777777" w:rsidR="0012307F" w:rsidRPr="001141DF" w:rsidRDefault="0012307F" w:rsidP="00B04AF8">
      <w:pPr>
        <w:jc w:val="both"/>
        <w:rPr>
          <w:rFonts w:asciiTheme="majorHAnsi" w:eastAsia="Times New Roman" w:hAnsiTheme="majorHAnsi" w:cstheme="majorHAnsi"/>
        </w:rPr>
      </w:pPr>
    </w:p>
    <w:p w14:paraId="78596639" w14:textId="76A41FAF" w:rsidR="008C64CB" w:rsidRPr="001141DF" w:rsidRDefault="0011534C" w:rsidP="00A460AD">
      <w:pPr>
        <w:spacing w:line="360" w:lineRule="auto"/>
        <w:jc w:val="both"/>
        <w:rPr>
          <w:rFonts w:asciiTheme="majorHAnsi" w:eastAsia="Times New Roman" w:hAnsiTheme="majorHAnsi" w:cstheme="majorHAnsi"/>
        </w:rPr>
      </w:pPr>
      <w:r w:rsidRPr="001141DF">
        <w:rPr>
          <w:rFonts w:asciiTheme="majorHAnsi" w:eastAsia="Times New Roman" w:hAnsiTheme="majorHAnsi" w:cstheme="majorHAnsi"/>
        </w:rPr>
        <w:t>The Bridge Protocol is the first step in ensuring compliance on the blockchain. By addressing immediate business use cases with tangible digital solutions, Bridge</w:t>
      </w:r>
      <w:r w:rsidR="00A269D6" w:rsidRPr="001141DF">
        <w:rPr>
          <w:rFonts w:asciiTheme="majorHAnsi" w:eastAsia="Times New Roman" w:hAnsiTheme="majorHAnsi" w:cstheme="majorHAnsi"/>
        </w:rPr>
        <w:t xml:space="preserve"> Corporation</w:t>
      </w:r>
      <w:r w:rsidRPr="001141DF">
        <w:rPr>
          <w:rFonts w:asciiTheme="majorHAnsi" w:eastAsia="Times New Roman" w:hAnsiTheme="majorHAnsi" w:cstheme="majorHAnsi"/>
        </w:rPr>
        <w:t xml:space="preserve"> will offer trusted token sale (ICO) templates and </w:t>
      </w:r>
      <w:r w:rsidR="00A269D6" w:rsidRPr="001141DF">
        <w:rPr>
          <w:rFonts w:asciiTheme="majorHAnsi" w:eastAsia="Times New Roman" w:hAnsiTheme="majorHAnsi" w:cstheme="majorHAnsi"/>
        </w:rPr>
        <w:t>better</w:t>
      </w:r>
      <w:r w:rsidRPr="001141DF">
        <w:rPr>
          <w:rFonts w:asciiTheme="majorHAnsi" w:eastAsia="Times New Roman" w:hAnsiTheme="majorHAnsi" w:cstheme="majorHAnsi"/>
        </w:rPr>
        <w:t xml:space="preserve"> KYC processes for participants. Our microservices will reduce regulatory scrutiny and reduce compliance costs, while offering high assurance products through storefronts that will be designed to serve communities needs.</w:t>
      </w:r>
    </w:p>
    <w:p w14:paraId="49EF8F08" w14:textId="77777777" w:rsidR="00EC4EDD" w:rsidRPr="001141DF" w:rsidRDefault="00EC4EDD" w:rsidP="00A460AD">
      <w:pPr>
        <w:spacing w:line="360" w:lineRule="auto"/>
        <w:jc w:val="both"/>
        <w:rPr>
          <w:rFonts w:asciiTheme="majorHAnsi" w:eastAsia="Times New Roman" w:hAnsiTheme="majorHAnsi" w:cstheme="majorHAnsi"/>
        </w:rPr>
      </w:pPr>
    </w:p>
    <w:p w14:paraId="3720974E" w14:textId="77777777" w:rsidR="008C64CB" w:rsidRPr="001141DF" w:rsidRDefault="008C64CB">
      <w:pPr>
        <w:rPr>
          <w:rFonts w:asciiTheme="majorHAnsi" w:eastAsia="MingLiU-ExtB" w:hAnsiTheme="majorHAnsi" w:cstheme="majorHAnsi"/>
          <w:sz w:val="36"/>
          <w:szCs w:val="36"/>
        </w:rPr>
      </w:pPr>
      <w:r w:rsidRPr="001141DF">
        <w:rPr>
          <w:rFonts w:asciiTheme="majorHAnsi" w:eastAsia="MingLiU-ExtB" w:hAnsiTheme="majorHAnsi" w:cstheme="majorHAnsi"/>
          <w:sz w:val="36"/>
          <w:szCs w:val="36"/>
        </w:rPr>
        <w:br w:type="page"/>
      </w:r>
    </w:p>
    <w:p w14:paraId="474C6F71" w14:textId="618C853E" w:rsidR="001141DF" w:rsidRPr="001141DF" w:rsidRDefault="001141DF" w:rsidP="001141DF">
      <w:pPr>
        <w:pBdr>
          <w:bottom w:val="single" w:sz="4" w:space="1" w:color="2FA3EE"/>
        </w:pBdr>
        <w:spacing w:before="400" w:after="40"/>
        <w:jc w:val="both"/>
        <w:outlineLvl w:val="0"/>
        <w:rPr>
          <w:rStyle w:val="IntenseReference"/>
          <w:rFonts w:asciiTheme="majorHAnsi" w:hAnsiTheme="majorHAnsi" w:cstheme="majorHAnsi"/>
          <w:color w:val="auto"/>
          <w:sz w:val="36"/>
          <w:szCs w:val="36"/>
        </w:rPr>
      </w:pPr>
      <w:bookmarkStart w:id="16" w:name="_Toc504511288"/>
      <w:r w:rsidRPr="001141DF">
        <w:rPr>
          <w:rStyle w:val="IntenseReference"/>
          <w:rFonts w:asciiTheme="majorHAnsi" w:hAnsiTheme="majorHAnsi" w:cstheme="majorHAnsi"/>
          <w:color w:val="auto"/>
          <w:sz w:val="36"/>
          <w:szCs w:val="36"/>
        </w:rPr>
        <w:lastRenderedPageBreak/>
        <w:t>IMPORTANT NOTICES</w:t>
      </w:r>
      <w:bookmarkEnd w:id="16"/>
    </w:p>
    <w:p w14:paraId="04733EEB" w14:textId="77777777" w:rsidR="0012307F" w:rsidRPr="001141DF" w:rsidRDefault="0012307F" w:rsidP="00B04AF8">
      <w:pPr>
        <w:pStyle w:val="NoSpacing"/>
        <w:jc w:val="both"/>
        <w:rPr>
          <w:rFonts w:asciiTheme="majorHAnsi" w:eastAsia="MingLiU-ExtB" w:hAnsiTheme="majorHAnsi" w:cstheme="majorHAnsi"/>
          <w:sz w:val="72"/>
          <w:szCs w:val="72"/>
        </w:rPr>
      </w:pPr>
    </w:p>
    <w:p w14:paraId="5441830E" w14:textId="551250B6" w:rsidR="0012307F" w:rsidRPr="001141DF" w:rsidRDefault="007D2739" w:rsidP="00B04AF8">
      <w:pPr>
        <w:jc w:val="both"/>
        <w:rPr>
          <w:rFonts w:asciiTheme="majorHAnsi" w:eastAsia="Times New Roman" w:hAnsiTheme="majorHAnsi" w:cstheme="majorHAnsi"/>
          <w:b/>
        </w:rPr>
      </w:pPr>
      <w:r w:rsidRPr="001141DF">
        <w:rPr>
          <w:rFonts w:asciiTheme="majorHAnsi" w:eastAsia="Times New Roman" w:hAnsiTheme="majorHAnsi" w:cstheme="majorHAnsi"/>
          <w:b/>
        </w:rPr>
        <w:t>PLEASE CAREFULLY READ THIS SECTION AND THE FOLLOWING SECTIONS ENTITLED “DISCLAIMER OF LIABILITY”, “NO REPRESENTATIONS AND WARRANTIES”, “REPRESENTATIONS AND WARRANTIES BY YOU”, “CAUTIONARY NOTE ON FORWARD</w:t>
      </w:r>
      <w:r w:rsidR="00922CFE" w:rsidRPr="001141DF">
        <w:rPr>
          <w:rFonts w:asciiTheme="majorHAnsi" w:eastAsia="Times New Roman" w:hAnsiTheme="majorHAnsi" w:cstheme="majorHAnsi"/>
          <w:b/>
        </w:rPr>
        <w:t>-</w:t>
      </w:r>
      <w:r w:rsidRPr="001141DF">
        <w:rPr>
          <w:rFonts w:asciiTheme="majorHAnsi" w:eastAsia="Times New Roman" w:hAnsiTheme="majorHAnsi" w:cstheme="majorHAnsi"/>
          <w:b/>
        </w:rPr>
        <w:t xml:space="preserve">LOOKING STATEMENTS”, “NO ADVICE”, “RESTRICTIONS ON DISTRIBUTION AND DISSEMINATION”, “NO OFFER OF SECURITIES OR REGISTRATION” AND “RISKS AND UNCERTAINTIES”. IF YOU ARE IN ANY DOUBT AS TO THE ACTION YOU SHOULD TAKE, YOU SHOULD CONSULT YOUR LEGAL, FINANCIAL, TAX OR OTHER PROFESSIONAL ADVISOR(S). </w:t>
      </w:r>
    </w:p>
    <w:p w14:paraId="704D8713" w14:textId="77777777" w:rsidR="0012307F" w:rsidRPr="001141DF" w:rsidRDefault="0012307F" w:rsidP="00B04AF8">
      <w:pPr>
        <w:jc w:val="both"/>
        <w:rPr>
          <w:rFonts w:asciiTheme="majorHAnsi" w:eastAsia="Times New Roman" w:hAnsiTheme="majorHAnsi" w:cstheme="majorHAnsi"/>
        </w:rPr>
      </w:pPr>
    </w:p>
    <w:p w14:paraId="6943DFAF"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The IAM tokens are not intended to constitute securities in any jurisdiction. This Whitepaper does not constitute a prospectus or offer document of any sort and is not intended to constitute an offer of securities or a solicitation for investment in securities in any jurisdiction. This Whitepaper does not constitute or form part of any opinion on any advice to sell, or any solicitation of any offer by the distributor/vendor of the IAM (the “Bridge Protocol Corporation”) to purchase any IAM nor shall it or any part of it nor the fact of its presentation form the basis of, or be relied upon in connection with, any contract or investment decision. The distributor will be an affiliate of Bridge Inc. (“Bridge”), and will deploy all proceeds of sale of the IAM to fund Bridge's cryptocurrency project, businesses and operations. No person is bound to enter into any contract or binding legal commitment in relation to the sale and purchase of the IAM and no cryptocurrency or other form of payment is to be accepted on the basis of this Whitepaper. Any agreement as between the distributor and you as a purchaser, and in relation to any sale and purchase, of IAM (as referred to in this Whitepaper) is to be governed by only a separate document setting out the terms and conditions (the “T&amp;Cs”) of such agreement. In the event of any inconsistencies between the T&amp;Cs and this Whitepaper, the former shall prevail. No regulatory authority has examined or approved of any of the information set out in this Whitepaper. No such action has been or will be taken under the laws, regulatory requirements or rules of any jurisdiction. The publication, distribution or dissemination of this Whitepaper does not imply that the applicable laws, regulatory requirements or rules have been complied with. There are risks and uncertainties associated with Bridge and/or the Bridge Protocol Corporation and their respective businesses and operations, the IAM, and the Bridge Token Sale (each as referred to in this Whitepaper). This Whitepaper, any part thereof or any copy thereof must not be taken or transmitted to any country where distribution or dissemination of this Whitepaper is prohibited or restricted. No part of this Whitepaper is to be reproduced, distributed or disseminated without including this section and the following sections entitled “Disclaimer of Liability”, “No Representations and Warranties”, “Representations and Warranties by You”, “Cautionary Note </w:t>
      </w:r>
      <w:proofErr w:type="gramStart"/>
      <w:r w:rsidRPr="001141DF">
        <w:rPr>
          <w:rFonts w:asciiTheme="majorHAnsi" w:eastAsia="Times New Roman" w:hAnsiTheme="majorHAnsi" w:cstheme="majorHAnsi"/>
        </w:rPr>
        <w:t>On</w:t>
      </w:r>
      <w:proofErr w:type="gramEnd"/>
      <w:r w:rsidRPr="001141DF">
        <w:rPr>
          <w:rFonts w:asciiTheme="majorHAnsi" w:eastAsia="Times New Roman" w:hAnsiTheme="majorHAnsi" w:cstheme="majorHAnsi"/>
        </w:rPr>
        <w:t xml:space="preserve"> Forward-Looking Statements”, “No Advice”, “Restrictions On Distribution and Dissemination”, “No Offer of Securities Or Registration” and “Risks and Uncertainties”. </w:t>
      </w:r>
    </w:p>
    <w:p w14:paraId="6BE9191C" w14:textId="77777777" w:rsidR="0012307F" w:rsidRPr="001141DF" w:rsidRDefault="0012307F" w:rsidP="00B04AF8">
      <w:pPr>
        <w:jc w:val="both"/>
        <w:rPr>
          <w:rFonts w:asciiTheme="majorHAnsi" w:eastAsia="Times New Roman" w:hAnsiTheme="majorHAnsi" w:cstheme="majorHAnsi"/>
        </w:rPr>
      </w:pPr>
    </w:p>
    <w:p w14:paraId="68752D86" w14:textId="77777777" w:rsidR="0012307F" w:rsidRPr="001141DF" w:rsidRDefault="0012307F" w:rsidP="00B04AF8">
      <w:pPr>
        <w:jc w:val="both"/>
        <w:rPr>
          <w:rFonts w:asciiTheme="majorHAnsi" w:eastAsia="Times New Roman" w:hAnsiTheme="majorHAnsi" w:cstheme="majorHAnsi"/>
          <w:b/>
        </w:rPr>
      </w:pPr>
    </w:p>
    <w:p w14:paraId="5378D87D" w14:textId="77777777" w:rsidR="00B11F9C" w:rsidRPr="001141DF" w:rsidRDefault="00B11F9C" w:rsidP="00B04AF8">
      <w:pPr>
        <w:jc w:val="both"/>
        <w:rPr>
          <w:rFonts w:asciiTheme="majorHAnsi" w:eastAsia="Times New Roman" w:hAnsiTheme="majorHAnsi" w:cstheme="majorHAnsi"/>
          <w:b/>
        </w:rPr>
      </w:pPr>
    </w:p>
    <w:p w14:paraId="72604C50"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b/>
        </w:rPr>
        <w:lastRenderedPageBreak/>
        <w:t>DISCLAIMER OF LIABILITY</w:t>
      </w:r>
    </w:p>
    <w:p w14:paraId="735C82B5"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To the maximum extent permitted by the applicable laws, regulations and rules, Bridge and/or the Bridge Protocol Corporation shall not be liable for any indirect, special, incidental, consequential or other losses of any kind, in tort, contract or otherwise (including but not limited to loss of revenue, income or profits, and loss of use or data), arising out of or in connection with any acceptance of or reliance on this Whitepaper or any part thereof by you. </w:t>
      </w:r>
    </w:p>
    <w:p w14:paraId="3F0F5E74" w14:textId="77777777" w:rsidR="0012307F" w:rsidRPr="001141DF" w:rsidRDefault="0012307F" w:rsidP="00B04AF8">
      <w:pPr>
        <w:jc w:val="both"/>
        <w:rPr>
          <w:rFonts w:asciiTheme="majorHAnsi" w:eastAsia="Times New Roman" w:hAnsiTheme="majorHAnsi" w:cstheme="majorHAnsi"/>
        </w:rPr>
      </w:pPr>
    </w:p>
    <w:p w14:paraId="4BA755FE" w14:textId="77777777" w:rsidR="0012307F" w:rsidRPr="001141DF" w:rsidRDefault="007D2739" w:rsidP="00B04AF8">
      <w:pPr>
        <w:jc w:val="both"/>
        <w:rPr>
          <w:rFonts w:asciiTheme="majorHAnsi" w:eastAsia="Times New Roman" w:hAnsiTheme="majorHAnsi" w:cstheme="majorHAnsi"/>
          <w:b/>
        </w:rPr>
      </w:pPr>
      <w:r w:rsidRPr="001141DF">
        <w:rPr>
          <w:rFonts w:asciiTheme="majorHAnsi" w:eastAsia="Times New Roman" w:hAnsiTheme="majorHAnsi" w:cstheme="majorHAnsi"/>
          <w:b/>
        </w:rPr>
        <w:t xml:space="preserve">NO REPRESENTATIONS AND WARRANTIES </w:t>
      </w:r>
    </w:p>
    <w:p w14:paraId="6D9AC08C"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Bridge and/or the Bridge Protocol Corporation does not make or purport to make, and hereby disclaims, any representation, warranty or undertaking in any form whatsoever to any entity or person, including any representation, warranty or undertaking in relation to the truth, accuracy and completeness of any of the information set out in this Whitepaper. </w:t>
      </w:r>
    </w:p>
    <w:p w14:paraId="64D99B71" w14:textId="77777777" w:rsidR="0012307F" w:rsidRPr="001141DF" w:rsidRDefault="0012307F" w:rsidP="00B04AF8">
      <w:pPr>
        <w:jc w:val="both"/>
        <w:rPr>
          <w:rFonts w:asciiTheme="majorHAnsi" w:eastAsia="Times New Roman" w:hAnsiTheme="majorHAnsi" w:cstheme="majorHAnsi"/>
        </w:rPr>
      </w:pPr>
    </w:p>
    <w:p w14:paraId="0B2D1D23"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b/>
        </w:rPr>
        <w:t>REPRESENTATIONS AND WARRANTIES BY YOU</w:t>
      </w:r>
      <w:r w:rsidRPr="001141DF">
        <w:rPr>
          <w:rFonts w:asciiTheme="majorHAnsi" w:eastAsia="Times New Roman" w:hAnsiTheme="majorHAnsi" w:cstheme="majorHAnsi"/>
        </w:rPr>
        <w:t xml:space="preserve"> </w:t>
      </w:r>
    </w:p>
    <w:p w14:paraId="5CC38E72"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By accessing and/or accepting possession of any information in this Whitepaper or such part thereof (as the case may be), you represent and warrant to Bridge and/or the Bridge Protocol Corporation as follows: a) you agree and acknowledge that the IAM do not constitute securities in any form in any jurisdiction; b) you agree and acknowledge that this Whitepaper does not constitute a prospectus or offer document of any sort and is not intended to constitute an offer of securities in any jurisdiction or a solicitation for investment in securities and you are not bound to enter into any contract or binding legal commitment and no cryptocurrency or other form of payment is to be accepted on the basis of this Whitepaper; c) you agree and acknowledge that no regulatory authority has examined or approved of the information set out in this Whitepaper, no action has been or will be taken under the laws, regulatory requirements or rules of any jurisdiction and the publication, distribution or dissemination of this Whitepaper to you does not imply that the applicable laws, regulatory requirements or rules have been complied with; d) you agree and acknowledge that this Whitepaper, the undertaking and/or the completion of the Bridge Token Sale, or future trading of the IAM on any cryptocurrency exchange, shall not be construed, interpreted or deemed by you as an indication of the merits of the Bridge and/or the Bridge Protocol Corporation, the IAM, and the Bridge Token Sale e) the distribution or dissemination of this Whitepaper, any part thereof or any copy thereof, or acceptance of the same by you, is not prohibited or restricted by the applicable laws, regulations or rules in your jurisdiction, and where any restrictions in relation to possession are applicable, you have observed and complied with all such restrictions at your own expense and without liability to Bridge and/ or the Bridge Protocol Corporation; f) you agree and acknowledge that in the case where you wish to purchase any IAM, the IAM are NOT to be construed, interpreted, classified or treated as: </w:t>
      </w:r>
    </w:p>
    <w:p w14:paraId="553C973C"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a. any kind of currency other than cryptocurrency; </w:t>
      </w:r>
    </w:p>
    <w:p w14:paraId="1082C140"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b. debentures, stocks or shares issued by any person or entity (whether Bridge and/or the Bridge Protocol Corporation), rights, options or derivatives in respect of such debentures, stocks or shares; </w:t>
      </w:r>
    </w:p>
    <w:p w14:paraId="033C6FAC"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c. units in a collective investment scheme; </w:t>
      </w:r>
    </w:p>
    <w:p w14:paraId="4094CE89"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d. units in a business trust; </w:t>
      </w:r>
    </w:p>
    <w:p w14:paraId="27C42854"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e. derivatives of units in a business trust; or </w:t>
      </w:r>
    </w:p>
    <w:p w14:paraId="2B4BDEBB"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f. any other security or class of securities. </w:t>
      </w:r>
    </w:p>
    <w:p w14:paraId="18AC78F6"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lastRenderedPageBreak/>
        <w:t xml:space="preserve">You have a basic degree of understanding of cryptocurrencies, blockchain-based software systems, cryptocurrency wallets or other related token storage mechanisms, blockchain technology and smart contract technology; h) you are fully aware and understand that in the case where you wish to purchase any IAM, there are risks associated with Bridge and the Bridge Protocol Corporation and their respective business and operations, the IAM, and the Bridge Token Sale (each as referred to in the Whitepaper); </w:t>
      </w:r>
      <w:proofErr w:type="spellStart"/>
      <w:r w:rsidRPr="001141DF">
        <w:rPr>
          <w:rFonts w:asciiTheme="majorHAnsi" w:eastAsia="Times New Roman" w:hAnsiTheme="majorHAnsi" w:cstheme="majorHAnsi"/>
        </w:rPr>
        <w:t>i</w:t>
      </w:r>
      <w:proofErr w:type="spellEnd"/>
      <w:r w:rsidRPr="001141DF">
        <w:rPr>
          <w:rFonts w:asciiTheme="majorHAnsi" w:eastAsia="Times New Roman" w:hAnsiTheme="majorHAnsi" w:cstheme="majorHAnsi"/>
        </w:rPr>
        <w:t xml:space="preserve">) you agree and acknowledge that neither Bridge nor the Bridge Protocol Corporation is liable for any indirect, special, incidental, consequential or other losses of any kind, in tort, contract or otherwise (including but not limited to loss of revenue, income or profits, and loss of use or data), arising out of or in connection with any acceptance of or reliance on this Whitepaper or any part thereof by you; and rights under a contract for differences or under any other contract the purpose or pretended purpose of which is to secure a profit or avoid a loss; j) all of the above representations and warranties are true, complete, accurate and non- misleading from the time of your access to and/or acceptance of possession this Whitepaper or such part thereof (as the case may be). </w:t>
      </w:r>
    </w:p>
    <w:p w14:paraId="2BA944B8" w14:textId="77777777" w:rsidR="0012307F" w:rsidRPr="001141DF" w:rsidRDefault="0012307F" w:rsidP="00B04AF8">
      <w:pPr>
        <w:jc w:val="both"/>
        <w:rPr>
          <w:rFonts w:asciiTheme="majorHAnsi" w:eastAsia="Times New Roman" w:hAnsiTheme="majorHAnsi" w:cstheme="majorHAnsi"/>
        </w:rPr>
      </w:pPr>
    </w:p>
    <w:p w14:paraId="17BE0809" w14:textId="77777777" w:rsidR="0012307F" w:rsidRPr="001141DF" w:rsidRDefault="007D2739" w:rsidP="00B04AF8">
      <w:pPr>
        <w:jc w:val="both"/>
        <w:rPr>
          <w:rFonts w:asciiTheme="majorHAnsi" w:eastAsia="Times New Roman" w:hAnsiTheme="majorHAnsi" w:cstheme="majorHAnsi"/>
          <w:b/>
        </w:rPr>
      </w:pPr>
      <w:r w:rsidRPr="001141DF">
        <w:rPr>
          <w:rFonts w:asciiTheme="majorHAnsi" w:eastAsia="Times New Roman" w:hAnsiTheme="majorHAnsi" w:cstheme="majorHAnsi"/>
          <w:b/>
        </w:rPr>
        <w:t xml:space="preserve">CAUTIONARY NOTE ON FORWARD-LOOKING STATEMENTS </w:t>
      </w:r>
    </w:p>
    <w:p w14:paraId="7046F5CB"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This Whitepaper may contain certain forward-looking statements including, but not limited to, statements as to future operating results and plans that involve risks and uncertainties. We use words such as “expects”, “anticipates”, “believes”, “estimates”, the negative of these terms and similar expressions to identify forward looking statements. Such forward-looking statements involve known and unknown risks, uncertainties and other factors which may cause the actual results, performance or achievements of the Bridge and/or the Bridge Protocol Corporation to differ materially from any future results, performance or achievements expressed or implied by those projected in the forward-looking statements for any reason. </w:t>
      </w:r>
    </w:p>
    <w:p w14:paraId="6D50533F" w14:textId="77777777" w:rsidR="0012307F" w:rsidRPr="001141DF" w:rsidRDefault="0012307F" w:rsidP="00B04AF8">
      <w:pPr>
        <w:jc w:val="both"/>
        <w:rPr>
          <w:rFonts w:asciiTheme="majorHAnsi" w:eastAsia="Times New Roman" w:hAnsiTheme="majorHAnsi" w:cstheme="majorHAnsi"/>
        </w:rPr>
      </w:pPr>
    </w:p>
    <w:p w14:paraId="3D96844F" w14:textId="77777777" w:rsidR="0012307F" w:rsidRPr="001141DF" w:rsidRDefault="007D2739" w:rsidP="00B04AF8">
      <w:pPr>
        <w:jc w:val="both"/>
        <w:rPr>
          <w:rFonts w:asciiTheme="majorHAnsi" w:eastAsia="Times New Roman" w:hAnsiTheme="majorHAnsi" w:cstheme="majorHAnsi"/>
          <w:b/>
        </w:rPr>
      </w:pPr>
      <w:r w:rsidRPr="001141DF">
        <w:rPr>
          <w:rFonts w:asciiTheme="majorHAnsi" w:eastAsia="Times New Roman" w:hAnsiTheme="majorHAnsi" w:cstheme="majorHAnsi"/>
          <w:b/>
        </w:rPr>
        <w:t xml:space="preserve">NO ADVICE </w:t>
      </w:r>
    </w:p>
    <w:p w14:paraId="525E9E3E"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No information in this Whitepaper should be considered to be business, legal, financial or tax advice regarding Bridge, the Bridge Protocol Corporation, the IAM, and the Bridge Token Sale (each as referred to in the Whitepaper). You should consult your own legal, financial, tax or other professional adviser regarding Bridge and/or the Bridge Protocol Corporation and their respective businesses and operations, the IAM, and the Bridge Token Sale (each as referred to in the Whitepaper). You should be aware that you may be required to bear the financial risk of any purchase of IAM for an indefinite period of time. </w:t>
      </w:r>
    </w:p>
    <w:p w14:paraId="12E99EAC" w14:textId="77777777" w:rsidR="0012307F" w:rsidRPr="001141DF" w:rsidRDefault="0012307F" w:rsidP="00B04AF8">
      <w:pPr>
        <w:jc w:val="both"/>
        <w:rPr>
          <w:rFonts w:asciiTheme="majorHAnsi" w:eastAsia="Times New Roman" w:hAnsiTheme="majorHAnsi" w:cstheme="majorHAnsi"/>
          <w:b/>
        </w:rPr>
      </w:pPr>
    </w:p>
    <w:p w14:paraId="2778E069" w14:textId="77777777" w:rsidR="0012307F" w:rsidRPr="001141DF" w:rsidRDefault="007D2739" w:rsidP="00B04AF8">
      <w:pPr>
        <w:jc w:val="both"/>
        <w:rPr>
          <w:rFonts w:asciiTheme="majorHAnsi" w:eastAsia="Times New Roman" w:hAnsiTheme="majorHAnsi" w:cstheme="majorHAnsi"/>
          <w:b/>
        </w:rPr>
      </w:pPr>
      <w:r w:rsidRPr="001141DF">
        <w:rPr>
          <w:rFonts w:asciiTheme="majorHAnsi" w:eastAsia="Times New Roman" w:hAnsiTheme="majorHAnsi" w:cstheme="majorHAnsi"/>
          <w:b/>
        </w:rPr>
        <w:t xml:space="preserve">RESTRICTIONS ON DISTRIBUTION AND DISSEMINATION </w:t>
      </w:r>
    </w:p>
    <w:p w14:paraId="6345F143"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The distribution or dissemination of this Whitepaper or any part thereof may be prohibited or restricted by the laws, regulatory requirements and rules of any jurisdiction. In the case where any restriction applies, you are to inform yourself about, and to observe, any restrictions which are applicable to your possession of this Whitepaper or such part thereof (as the case may be) at your own expense and without liability to Bridge and/or the Bridge Protocol Corporation. Persons to whom a copy of this Whitepaper has been distributed or disseminated, provided access to or who otherwise have the Whitepaper in their possession shall not circulate it to any other persons, Whitepaper reproduce or otherwise distribute this Whitepaper or any information contained herein for any purpose whatsoever nor permit or cause the same to occur. </w:t>
      </w:r>
    </w:p>
    <w:p w14:paraId="0D457E5F" w14:textId="77777777" w:rsidR="0012307F" w:rsidRPr="001141DF" w:rsidRDefault="0012307F" w:rsidP="00B04AF8">
      <w:pPr>
        <w:jc w:val="both"/>
        <w:rPr>
          <w:rFonts w:asciiTheme="majorHAnsi" w:eastAsia="Times New Roman" w:hAnsiTheme="majorHAnsi" w:cstheme="majorHAnsi"/>
          <w:b/>
        </w:rPr>
      </w:pPr>
    </w:p>
    <w:p w14:paraId="3E0DAC9F" w14:textId="77777777" w:rsidR="0012307F" w:rsidRPr="001141DF" w:rsidRDefault="007D2739" w:rsidP="00B04AF8">
      <w:pPr>
        <w:jc w:val="both"/>
        <w:rPr>
          <w:rFonts w:asciiTheme="majorHAnsi" w:eastAsia="Times New Roman" w:hAnsiTheme="majorHAnsi" w:cstheme="majorHAnsi"/>
          <w:b/>
        </w:rPr>
      </w:pPr>
      <w:r w:rsidRPr="001141DF">
        <w:rPr>
          <w:rFonts w:asciiTheme="majorHAnsi" w:eastAsia="Times New Roman" w:hAnsiTheme="majorHAnsi" w:cstheme="majorHAnsi"/>
          <w:b/>
        </w:rPr>
        <w:t xml:space="preserve">NO OFFER OF SECURITIES OR REGISTRATION </w:t>
      </w:r>
    </w:p>
    <w:p w14:paraId="2DA42CC0"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 xml:space="preserve">This Whitepaper does not constitute a prospectus or offer document of any sort and is not intended to constitute an offer of securities or a solicitation for investment in securities in any jurisdiction. No person is bound to enter into any contract or binding legal commitment and no cryptocurrency or other form of payment is to be accepted on the basis of this Whitepaper. Any agreement in relation to any sale and purchase of IAM (as referred to in this Whitepaper) is to be governed by only the T&amp;Cs of such agreement and no other document. In the event of any inconsistencies between the T&amp;Cs and this Whitepaper, the former shall prevail. No regulatory authority has examined or approved of any of the information set out in this Whitepaper. No such action has been or will be taken under the laws, regulatory requirements or rules of any jurisdiction. The publication, distribution or dissemination of this Whitepaper does not imply that the applicable laws, regulatory requirements or rules have been complied with. </w:t>
      </w:r>
    </w:p>
    <w:p w14:paraId="0E558530" w14:textId="77777777" w:rsidR="0012307F" w:rsidRPr="001141DF" w:rsidRDefault="0012307F" w:rsidP="00B04AF8">
      <w:pPr>
        <w:jc w:val="both"/>
        <w:rPr>
          <w:rFonts w:asciiTheme="majorHAnsi" w:eastAsia="Times New Roman" w:hAnsiTheme="majorHAnsi" w:cstheme="majorHAnsi"/>
        </w:rPr>
      </w:pPr>
    </w:p>
    <w:p w14:paraId="01E34833" w14:textId="77777777" w:rsidR="0012307F" w:rsidRPr="001141DF" w:rsidRDefault="007D2739" w:rsidP="00B04AF8">
      <w:pPr>
        <w:jc w:val="both"/>
        <w:rPr>
          <w:rFonts w:asciiTheme="majorHAnsi" w:eastAsia="Times New Roman" w:hAnsiTheme="majorHAnsi" w:cstheme="majorHAnsi"/>
          <w:b/>
        </w:rPr>
      </w:pPr>
      <w:r w:rsidRPr="001141DF">
        <w:rPr>
          <w:rFonts w:asciiTheme="majorHAnsi" w:eastAsia="Times New Roman" w:hAnsiTheme="majorHAnsi" w:cstheme="majorHAnsi"/>
          <w:b/>
        </w:rPr>
        <w:t xml:space="preserve">RISKS AND UNCERTAINTIES </w:t>
      </w:r>
    </w:p>
    <w:p w14:paraId="07558421" w14:textId="77777777" w:rsidR="0012307F" w:rsidRPr="001141DF" w:rsidRDefault="007D2739" w:rsidP="00B04AF8">
      <w:pPr>
        <w:jc w:val="both"/>
        <w:rPr>
          <w:rFonts w:asciiTheme="majorHAnsi" w:eastAsia="Times New Roman" w:hAnsiTheme="majorHAnsi" w:cstheme="majorHAnsi"/>
        </w:rPr>
      </w:pPr>
      <w:r w:rsidRPr="001141DF">
        <w:rPr>
          <w:rFonts w:asciiTheme="majorHAnsi" w:eastAsia="Times New Roman" w:hAnsiTheme="majorHAnsi" w:cstheme="majorHAnsi"/>
        </w:rPr>
        <w:t>Prospective purchasers of IAM (as referred to in this Whitepaper) should carefully consider and evaluate all risks and uncertainties associated with Bridge, the Bridge Protocol Corporation and their respective businesses and operations, the IAM, and the Bridge Token Sale (each as referred to in the Whitepaper), all information set out in this Whitepaper and the T&amp;Cs prior to any purchase of IAM. If any of such risks and uncertainties develops into actual events, the business, financial condition, results of operations and prospects of Bridge and/or the Bridge Protocol Corporation could be materially and adversely affected. In such cases, you may lose all or part of the value of the IAM token.</w:t>
      </w:r>
    </w:p>
    <w:p w14:paraId="76BA90EC" w14:textId="77777777" w:rsidR="0012307F" w:rsidRPr="001141DF" w:rsidRDefault="0012307F" w:rsidP="00B04AF8">
      <w:pPr>
        <w:pStyle w:val="NoSpacing"/>
        <w:jc w:val="both"/>
        <w:rPr>
          <w:rFonts w:asciiTheme="majorHAnsi" w:eastAsia="MingLiU-ExtB" w:hAnsiTheme="majorHAnsi" w:cstheme="majorHAnsi"/>
          <w:sz w:val="72"/>
          <w:szCs w:val="72"/>
        </w:rPr>
      </w:pPr>
    </w:p>
    <w:p w14:paraId="6E56A1A3" w14:textId="77777777" w:rsidR="0012307F" w:rsidRPr="001141DF" w:rsidRDefault="0012307F" w:rsidP="00B04AF8">
      <w:pPr>
        <w:pStyle w:val="NoSpacing"/>
        <w:jc w:val="both"/>
        <w:rPr>
          <w:rFonts w:asciiTheme="majorHAnsi" w:eastAsia="MingLiU-ExtB" w:hAnsiTheme="majorHAnsi" w:cstheme="majorHAnsi"/>
          <w:sz w:val="72"/>
          <w:szCs w:val="72"/>
        </w:rPr>
      </w:pPr>
    </w:p>
    <w:p w14:paraId="0C83DB23" w14:textId="77777777" w:rsidR="0012307F" w:rsidRPr="001141DF" w:rsidRDefault="0012307F" w:rsidP="00B04AF8">
      <w:pPr>
        <w:pStyle w:val="NoSpacing"/>
        <w:jc w:val="both"/>
        <w:rPr>
          <w:rFonts w:asciiTheme="majorHAnsi" w:eastAsia="MingLiU-ExtB" w:hAnsiTheme="majorHAnsi" w:cstheme="majorHAnsi"/>
          <w:sz w:val="72"/>
          <w:szCs w:val="72"/>
        </w:rPr>
      </w:pPr>
    </w:p>
    <w:p w14:paraId="397A7700" w14:textId="77777777" w:rsidR="0012307F" w:rsidRPr="001141DF" w:rsidRDefault="0012307F" w:rsidP="00B04AF8">
      <w:pPr>
        <w:pStyle w:val="NoSpacing"/>
        <w:jc w:val="both"/>
        <w:rPr>
          <w:rFonts w:asciiTheme="majorHAnsi" w:eastAsia="MingLiU-ExtB" w:hAnsiTheme="majorHAnsi" w:cstheme="majorHAnsi"/>
          <w:sz w:val="72"/>
          <w:szCs w:val="72"/>
        </w:rPr>
      </w:pPr>
    </w:p>
    <w:p w14:paraId="2A341810" w14:textId="77777777" w:rsidR="0012307F" w:rsidRPr="001141DF" w:rsidRDefault="0012307F" w:rsidP="00B04AF8">
      <w:pPr>
        <w:pStyle w:val="NoSpacing"/>
        <w:jc w:val="both"/>
        <w:rPr>
          <w:rFonts w:asciiTheme="majorHAnsi" w:hAnsiTheme="majorHAnsi" w:cstheme="majorHAnsi"/>
        </w:rPr>
      </w:pPr>
    </w:p>
    <w:sectPr w:rsidR="0012307F" w:rsidRPr="001141D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C5541" w14:textId="77777777" w:rsidR="00D822AD" w:rsidRDefault="00D822AD">
      <w:r>
        <w:separator/>
      </w:r>
    </w:p>
  </w:endnote>
  <w:endnote w:type="continuationSeparator" w:id="0">
    <w:p w14:paraId="5AA73794" w14:textId="77777777" w:rsidR="00D822AD" w:rsidRDefault="00D8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71019" w14:textId="77777777" w:rsidR="00C94B8E" w:rsidRDefault="00C94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F0697" w14:textId="42555CD3" w:rsidR="00352A68" w:rsidRDefault="00352A68">
    <w:pPr>
      <w:pStyle w:val="Footer"/>
      <w:jc w:val="right"/>
    </w:pPr>
    <w:bookmarkStart w:id="17" w:name="_GoBack"/>
    <w:r>
      <w:rPr>
        <w:color w:val="5B9BD5" w:themeColor="accent1"/>
        <w:sz w:val="20"/>
        <w:szCs w:val="20"/>
      </w:rPr>
      <w:t xml:space="preserve">pg. </w:t>
    </w:r>
    <w:r>
      <w:rPr>
        <w:color w:val="5B9BD5" w:themeColor="accent1"/>
        <w:sz w:val="20"/>
        <w:szCs w:val="20"/>
      </w:rPr>
      <w:fldChar w:fldCharType="begin"/>
    </w:r>
    <w:r>
      <w:instrText>PAGE \* ARABIC</w:instrText>
    </w:r>
    <w:r>
      <w:fldChar w:fldCharType="separate"/>
    </w:r>
    <w:r w:rsidR="00506F8A">
      <w:rPr>
        <w:noProof/>
      </w:rPr>
      <w:t>1</w:t>
    </w:r>
    <w:r>
      <w:fldChar w:fldCharType="end"/>
    </w:r>
  </w:p>
  <w:bookmarkEnd w:id="17"/>
  <w:p w14:paraId="673CDD4B" w14:textId="77777777" w:rsidR="00352A68" w:rsidRDefault="00352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25D6" w14:textId="77777777" w:rsidR="00C94B8E" w:rsidRDefault="00C94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5CB15" w14:textId="77777777" w:rsidR="00D822AD" w:rsidRDefault="00D822AD">
      <w:r>
        <w:separator/>
      </w:r>
    </w:p>
  </w:footnote>
  <w:footnote w:type="continuationSeparator" w:id="0">
    <w:p w14:paraId="22547F68" w14:textId="77777777" w:rsidR="00D822AD" w:rsidRDefault="00D82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FE962" w14:textId="77777777" w:rsidR="00C94B8E" w:rsidRDefault="00C94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3518E" w14:textId="77777777" w:rsidR="00C94B8E" w:rsidRDefault="00C94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10C0A" w14:textId="77777777" w:rsidR="00C94B8E" w:rsidRDefault="00C94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36F6B"/>
    <w:multiLevelType w:val="multilevel"/>
    <w:tmpl w:val="5D284F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5355E04"/>
    <w:multiLevelType w:val="multilevel"/>
    <w:tmpl w:val="008406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49BC6E76"/>
    <w:multiLevelType w:val="multilevel"/>
    <w:tmpl w:val="F1A255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7F"/>
    <w:rsid w:val="000121B6"/>
    <w:rsid w:val="00014B5C"/>
    <w:rsid w:val="00025ED0"/>
    <w:rsid w:val="000275A4"/>
    <w:rsid w:val="00040139"/>
    <w:rsid w:val="000435DE"/>
    <w:rsid w:val="0004364C"/>
    <w:rsid w:val="0006735F"/>
    <w:rsid w:val="00071925"/>
    <w:rsid w:val="000744F1"/>
    <w:rsid w:val="0009271C"/>
    <w:rsid w:val="000B255D"/>
    <w:rsid w:val="000B7F57"/>
    <w:rsid w:val="000C0D6D"/>
    <w:rsid w:val="000D3868"/>
    <w:rsid w:val="00104824"/>
    <w:rsid w:val="001055C4"/>
    <w:rsid w:val="001141DF"/>
    <w:rsid w:val="0011534C"/>
    <w:rsid w:val="00120295"/>
    <w:rsid w:val="0012307F"/>
    <w:rsid w:val="00123AA6"/>
    <w:rsid w:val="001315B6"/>
    <w:rsid w:val="00133234"/>
    <w:rsid w:val="00147A31"/>
    <w:rsid w:val="00150B19"/>
    <w:rsid w:val="001551E1"/>
    <w:rsid w:val="0015538A"/>
    <w:rsid w:val="00162193"/>
    <w:rsid w:val="00163A4C"/>
    <w:rsid w:val="001A022A"/>
    <w:rsid w:val="001B11D4"/>
    <w:rsid w:val="001C1053"/>
    <w:rsid w:val="001C5162"/>
    <w:rsid w:val="001E1842"/>
    <w:rsid w:val="00246F89"/>
    <w:rsid w:val="00256008"/>
    <w:rsid w:val="0026303E"/>
    <w:rsid w:val="00263C9F"/>
    <w:rsid w:val="002D1A11"/>
    <w:rsid w:val="002F5728"/>
    <w:rsid w:val="003065BD"/>
    <w:rsid w:val="00310A37"/>
    <w:rsid w:val="00313CBD"/>
    <w:rsid w:val="00335A07"/>
    <w:rsid w:val="00351FA8"/>
    <w:rsid w:val="00352A68"/>
    <w:rsid w:val="003A1420"/>
    <w:rsid w:val="003B35B5"/>
    <w:rsid w:val="003B4B7F"/>
    <w:rsid w:val="003C210E"/>
    <w:rsid w:val="003E06FF"/>
    <w:rsid w:val="003E3DEC"/>
    <w:rsid w:val="003F15DD"/>
    <w:rsid w:val="003F1DF9"/>
    <w:rsid w:val="004054D3"/>
    <w:rsid w:val="0043170D"/>
    <w:rsid w:val="004444B4"/>
    <w:rsid w:val="0044491C"/>
    <w:rsid w:val="00464A0F"/>
    <w:rsid w:val="00466E7C"/>
    <w:rsid w:val="00474573"/>
    <w:rsid w:val="0048182F"/>
    <w:rsid w:val="00482103"/>
    <w:rsid w:val="0048478B"/>
    <w:rsid w:val="004A3C0D"/>
    <w:rsid w:val="004B760F"/>
    <w:rsid w:val="004E2120"/>
    <w:rsid w:val="00506F8A"/>
    <w:rsid w:val="00511F9B"/>
    <w:rsid w:val="00516A3A"/>
    <w:rsid w:val="00516B5A"/>
    <w:rsid w:val="00523DB1"/>
    <w:rsid w:val="005342F2"/>
    <w:rsid w:val="00550207"/>
    <w:rsid w:val="00566B28"/>
    <w:rsid w:val="0059030E"/>
    <w:rsid w:val="005920D7"/>
    <w:rsid w:val="005B1A7B"/>
    <w:rsid w:val="005B2B7B"/>
    <w:rsid w:val="005D088F"/>
    <w:rsid w:val="005F5ECB"/>
    <w:rsid w:val="0061756C"/>
    <w:rsid w:val="00617D85"/>
    <w:rsid w:val="006302FC"/>
    <w:rsid w:val="00663C60"/>
    <w:rsid w:val="00670B4F"/>
    <w:rsid w:val="0067700A"/>
    <w:rsid w:val="006806F4"/>
    <w:rsid w:val="0069492B"/>
    <w:rsid w:val="006B1478"/>
    <w:rsid w:val="006D0AF2"/>
    <w:rsid w:val="006D49C7"/>
    <w:rsid w:val="006E1891"/>
    <w:rsid w:val="006E4E8B"/>
    <w:rsid w:val="006F2F3F"/>
    <w:rsid w:val="0070180A"/>
    <w:rsid w:val="007051EB"/>
    <w:rsid w:val="00705441"/>
    <w:rsid w:val="007101B8"/>
    <w:rsid w:val="0071447D"/>
    <w:rsid w:val="007148E6"/>
    <w:rsid w:val="0074356A"/>
    <w:rsid w:val="00745A50"/>
    <w:rsid w:val="00752243"/>
    <w:rsid w:val="00784CCC"/>
    <w:rsid w:val="00791443"/>
    <w:rsid w:val="007B0779"/>
    <w:rsid w:val="007B633E"/>
    <w:rsid w:val="007C3802"/>
    <w:rsid w:val="007D2739"/>
    <w:rsid w:val="007E604C"/>
    <w:rsid w:val="00810447"/>
    <w:rsid w:val="00821FBF"/>
    <w:rsid w:val="0085405D"/>
    <w:rsid w:val="00873CDA"/>
    <w:rsid w:val="00893152"/>
    <w:rsid w:val="008C1000"/>
    <w:rsid w:val="008C3FDA"/>
    <w:rsid w:val="008C64CB"/>
    <w:rsid w:val="008D08BD"/>
    <w:rsid w:val="008D6644"/>
    <w:rsid w:val="008F5070"/>
    <w:rsid w:val="00922492"/>
    <w:rsid w:val="00922CFE"/>
    <w:rsid w:val="009307CD"/>
    <w:rsid w:val="00940F37"/>
    <w:rsid w:val="00950BE8"/>
    <w:rsid w:val="00971653"/>
    <w:rsid w:val="009737A3"/>
    <w:rsid w:val="00993C78"/>
    <w:rsid w:val="009A54C1"/>
    <w:rsid w:val="009B6797"/>
    <w:rsid w:val="009C6952"/>
    <w:rsid w:val="009D162E"/>
    <w:rsid w:val="009D491A"/>
    <w:rsid w:val="009D6AE8"/>
    <w:rsid w:val="009E7D50"/>
    <w:rsid w:val="00A15B5F"/>
    <w:rsid w:val="00A269D6"/>
    <w:rsid w:val="00A36272"/>
    <w:rsid w:val="00A3771A"/>
    <w:rsid w:val="00A460AD"/>
    <w:rsid w:val="00A460CA"/>
    <w:rsid w:val="00A55FC9"/>
    <w:rsid w:val="00A7188B"/>
    <w:rsid w:val="00A90FFC"/>
    <w:rsid w:val="00AA1A09"/>
    <w:rsid w:val="00AB36BA"/>
    <w:rsid w:val="00AB3CFD"/>
    <w:rsid w:val="00AC38D4"/>
    <w:rsid w:val="00AD5E4A"/>
    <w:rsid w:val="00AE4688"/>
    <w:rsid w:val="00B04AF8"/>
    <w:rsid w:val="00B07F04"/>
    <w:rsid w:val="00B11F9C"/>
    <w:rsid w:val="00B45CCB"/>
    <w:rsid w:val="00B562F1"/>
    <w:rsid w:val="00B56CB4"/>
    <w:rsid w:val="00B67B2D"/>
    <w:rsid w:val="00B67D49"/>
    <w:rsid w:val="00B817FD"/>
    <w:rsid w:val="00B83A3D"/>
    <w:rsid w:val="00B87B50"/>
    <w:rsid w:val="00BD67E9"/>
    <w:rsid w:val="00BF63ED"/>
    <w:rsid w:val="00C14E19"/>
    <w:rsid w:val="00C237EE"/>
    <w:rsid w:val="00C332EF"/>
    <w:rsid w:val="00C33E6C"/>
    <w:rsid w:val="00C33F3C"/>
    <w:rsid w:val="00C47313"/>
    <w:rsid w:val="00C535EC"/>
    <w:rsid w:val="00C63149"/>
    <w:rsid w:val="00C778AD"/>
    <w:rsid w:val="00C85EB1"/>
    <w:rsid w:val="00C90E44"/>
    <w:rsid w:val="00C94B8E"/>
    <w:rsid w:val="00CB01CC"/>
    <w:rsid w:val="00CC1502"/>
    <w:rsid w:val="00CF089D"/>
    <w:rsid w:val="00D11172"/>
    <w:rsid w:val="00D1232C"/>
    <w:rsid w:val="00D302B3"/>
    <w:rsid w:val="00D35316"/>
    <w:rsid w:val="00D43290"/>
    <w:rsid w:val="00D54998"/>
    <w:rsid w:val="00D65EAE"/>
    <w:rsid w:val="00D822AD"/>
    <w:rsid w:val="00DA1CB0"/>
    <w:rsid w:val="00DF03C9"/>
    <w:rsid w:val="00DF4C0A"/>
    <w:rsid w:val="00E174F8"/>
    <w:rsid w:val="00E20FEF"/>
    <w:rsid w:val="00E23EA4"/>
    <w:rsid w:val="00E3121B"/>
    <w:rsid w:val="00E340E1"/>
    <w:rsid w:val="00E44166"/>
    <w:rsid w:val="00E64EDD"/>
    <w:rsid w:val="00E73016"/>
    <w:rsid w:val="00EB2607"/>
    <w:rsid w:val="00EC1557"/>
    <w:rsid w:val="00EC4EDD"/>
    <w:rsid w:val="00ED3C02"/>
    <w:rsid w:val="00EF2659"/>
    <w:rsid w:val="00F02A70"/>
    <w:rsid w:val="00F36B71"/>
    <w:rsid w:val="00F47A23"/>
    <w:rsid w:val="00F60157"/>
    <w:rsid w:val="00F72F92"/>
    <w:rsid w:val="00F74AEC"/>
    <w:rsid w:val="00F96D97"/>
    <w:rsid w:val="00F96EA5"/>
    <w:rsid w:val="00FA589B"/>
    <w:rsid w:val="00FA5B42"/>
    <w:rsid w:val="00FA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8B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FA"/>
    <w:rPr>
      <w:rFonts w:ascii="Times New Roman" w:eastAsiaTheme="minorEastAsia" w:hAnsi="Times New Roman" w:cs="Times New Roman"/>
    </w:rPr>
  </w:style>
  <w:style w:type="paragraph" w:styleId="Heading1">
    <w:name w:val="heading 1"/>
    <w:basedOn w:val="Normal"/>
    <w:next w:val="Normal"/>
    <w:link w:val="Heading1Char"/>
    <w:uiPriority w:val="9"/>
    <w:qFormat/>
    <w:rsid w:val="009474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74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C58FA"/>
    <w:rPr>
      <w:sz w:val="16"/>
      <w:szCs w:val="16"/>
    </w:rPr>
  </w:style>
  <w:style w:type="character" w:customStyle="1" w:styleId="CommentTextChar">
    <w:name w:val="Comment Text Char"/>
    <w:basedOn w:val="DefaultParagraphFont"/>
    <w:link w:val="CommentText"/>
    <w:uiPriority w:val="99"/>
    <w:semiHidden/>
    <w:qFormat/>
    <w:rsid w:val="002C58FA"/>
    <w:rPr>
      <w:sz w:val="20"/>
      <w:szCs w:val="20"/>
    </w:rPr>
  </w:style>
  <w:style w:type="character" w:customStyle="1" w:styleId="BalloonTextChar">
    <w:name w:val="Balloon Text Char"/>
    <w:basedOn w:val="DefaultParagraphFont"/>
    <w:link w:val="BalloonText"/>
    <w:uiPriority w:val="99"/>
    <w:semiHidden/>
    <w:qFormat/>
    <w:rsid w:val="002C58FA"/>
    <w:rPr>
      <w:rFonts w:ascii="Times New Roman" w:eastAsiaTheme="minorEastAsia" w:hAnsi="Times New Roman" w:cs="Times New Roman"/>
      <w:sz w:val="18"/>
      <w:szCs w:val="18"/>
    </w:rPr>
  </w:style>
  <w:style w:type="character" w:customStyle="1" w:styleId="Heading1Char">
    <w:name w:val="Heading 1 Char"/>
    <w:basedOn w:val="DefaultParagraphFont"/>
    <w:link w:val="Heading1"/>
    <w:uiPriority w:val="9"/>
    <w:qFormat/>
    <w:rsid w:val="00947436"/>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947436"/>
    <w:rPr>
      <w:color w:val="0563C1" w:themeColor="hyperlink"/>
      <w:u w:val="single"/>
    </w:rPr>
  </w:style>
  <w:style w:type="character" w:customStyle="1" w:styleId="Heading2Char">
    <w:name w:val="Heading 2 Char"/>
    <w:basedOn w:val="DefaultParagraphFont"/>
    <w:link w:val="Heading2"/>
    <w:uiPriority w:val="9"/>
    <w:semiHidden/>
    <w:qFormat/>
    <w:rsid w:val="00947436"/>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D16036"/>
    <w:rPr>
      <w:b/>
      <w:bCs/>
      <w:smallCaps/>
      <w:color w:val="5B9BD5" w:themeColor="accent1"/>
      <w:spacing w:val="5"/>
    </w:rPr>
  </w:style>
  <w:style w:type="character" w:customStyle="1" w:styleId="CommentSubjectChar">
    <w:name w:val="Comment Subject Char"/>
    <w:basedOn w:val="CommentTextChar"/>
    <w:link w:val="CommentSubject"/>
    <w:uiPriority w:val="99"/>
    <w:semiHidden/>
    <w:qFormat/>
    <w:rsid w:val="00BB5E10"/>
    <w:rPr>
      <w:rFonts w:ascii="Times New Roman" w:eastAsiaTheme="minorEastAsia" w:hAnsi="Times New Roman" w:cs="Times New Roman"/>
      <w:b/>
      <w:bCs/>
      <w:sz w:val="20"/>
      <w:szCs w:val="20"/>
    </w:rPr>
  </w:style>
  <w:style w:type="character" w:styleId="Emphasis">
    <w:name w:val="Emphasis"/>
    <w:basedOn w:val="DefaultParagraphFont"/>
    <w:uiPriority w:val="20"/>
    <w:qFormat/>
    <w:rsid w:val="003C7BB8"/>
    <w:rPr>
      <w:i/>
      <w:iCs/>
    </w:rPr>
  </w:style>
  <w:style w:type="character" w:customStyle="1" w:styleId="HeaderChar">
    <w:name w:val="Header Char"/>
    <w:basedOn w:val="DefaultParagraphFont"/>
    <w:link w:val="Header"/>
    <w:uiPriority w:val="99"/>
    <w:qFormat/>
    <w:rsid w:val="00A13566"/>
    <w:rPr>
      <w:rFonts w:ascii="Times New Roman" w:eastAsiaTheme="minorEastAsia" w:hAnsi="Times New Roman" w:cs="Times New Roman"/>
    </w:rPr>
  </w:style>
  <w:style w:type="character" w:customStyle="1" w:styleId="FooterChar">
    <w:name w:val="Footer Char"/>
    <w:basedOn w:val="DefaultParagraphFont"/>
    <w:link w:val="Footer"/>
    <w:uiPriority w:val="99"/>
    <w:qFormat/>
    <w:rsid w:val="00A13566"/>
    <w:rPr>
      <w:rFonts w:ascii="Times New Roman" w:eastAsiaTheme="minorEastAsia" w:hAnsi="Times New Roman" w:cs="Times New Roman"/>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2C58FA"/>
    <w:rPr>
      <w:rFonts w:ascii="Calibri" w:eastAsiaTheme="minorEastAsia" w:hAnsi="Calibri"/>
      <w:sz w:val="21"/>
      <w:szCs w:val="21"/>
    </w:rPr>
  </w:style>
  <w:style w:type="paragraph" w:styleId="CommentText">
    <w:name w:val="annotation text"/>
    <w:basedOn w:val="Normal"/>
    <w:link w:val="CommentTextChar"/>
    <w:uiPriority w:val="99"/>
    <w:semiHidden/>
    <w:unhideWhenUsed/>
    <w:qFormat/>
    <w:rsid w:val="002C58FA"/>
    <w:pPr>
      <w:spacing w:after="160"/>
    </w:pPr>
    <w:rPr>
      <w:rFonts w:asciiTheme="minorHAnsi" w:eastAsiaTheme="minorHAnsi" w:hAnsiTheme="minorHAnsi" w:cstheme="minorBidi"/>
      <w:sz w:val="20"/>
      <w:szCs w:val="20"/>
    </w:rPr>
  </w:style>
  <w:style w:type="paragraph" w:styleId="BalloonText">
    <w:name w:val="Balloon Text"/>
    <w:basedOn w:val="Normal"/>
    <w:link w:val="BalloonTextChar"/>
    <w:uiPriority w:val="99"/>
    <w:semiHidden/>
    <w:unhideWhenUsed/>
    <w:qFormat/>
    <w:rsid w:val="002C58FA"/>
    <w:rPr>
      <w:sz w:val="18"/>
      <w:szCs w:val="18"/>
    </w:rPr>
  </w:style>
  <w:style w:type="paragraph" w:styleId="TOCHeading">
    <w:name w:val="TOC Heading"/>
    <w:basedOn w:val="Heading1"/>
    <w:next w:val="Normal"/>
    <w:uiPriority w:val="39"/>
    <w:unhideWhenUsed/>
    <w:qFormat/>
    <w:rsid w:val="00947436"/>
    <w:pPr>
      <w:spacing w:before="480" w:line="276" w:lineRule="auto"/>
    </w:pPr>
    <w:rPr>
      <w:b/>
      <w:bCs/>
      <w:sz w:val="28"/>
      <w:szCs w:val="28"/>
    </w:rPr>
  </w:style>
  <w:style w:type="paragraph" w:styleId="TOC1">
    <w:name w:val="toc 1"/>
    <w:basedOn w:val="Normal"/>
    <w:next w:val="Normal"/>
    <w:autoRedefine/>
    <w:uiPriority w:val="39"/>
    <w:unhideWhenUsed/>
    <w:rsid w:val="00947436"/>
    <w:pPr>
      <w:spacing w:before="120"/>
    </w:pPr>
    <w:rPr>
      <w:rFonts w:asciiTheme="majorHAnsi" w:hAnsiTheme="majorHAnsi"/>
      <w:b/>
      <w:color w:val="548DD4"/>
    </w:rPr>
  </w:style>
  <w:style w:type="paragraph" w:styleId="TOC2">
    <w:name w:val="toc 2"/>
    <w:basedOn w:val="Normal"/>
    <w:next w:val="Normal"/>
    <w:autoRedefine/>
    <w:uiPriority w:val="39"/>
    <w:unhideWhenUsed/>
    <w:rsid w:val="00897841"/>
    <w:pPr>
      <w:tabs>
        <w:tab w:val="right" w:leader="dot" w:pos="9350"/>
      </w:tabs>
    </w:pPr>
    <w:rPr>
      <w:rFonts w:asciiTheme="majorHAnsi" w:eastAsia="MingLiU-ExtB" w:hAnsiTheme="majorHAnsi"/>
      <w:color w:val="5B9BD5" w:themeColor="accent1"/>
    </w:rPr>
  </w:style>
  <w:style w:type="paragraph" w:styleId="TOC3">
    <w:name w:val="toc 3"/>
    <w:basedOn w:val="Normal"/>
    <w:next w:val="Normal"/>
    <w:autoRedefine/>
    <w:uiPriority w:val="39"/>
    <w:semiHidden/>
    <w:unhideWhenUsed/>
    <w:rsid w:val="00947436"/>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947436"/>
    <w:pPr>
      <w:ind w:left="480"/>
    </w:pPr>
    <w:rPr>
      <w:rFonts w:asciiTheme="minorHAnsi" w:hAnsiTheme="minorHAnsi"/>
      <w:sz w:val="20"/>
      <w:szCs w:val="20"/>
    </w:rPr>
  </w:style>
  <w:style w:type="paragraph" w:styleId="TOC5">
    <w:name w:val="toc 5"/>
    <w:basedOn w:val="Normal"/>
    <w:next w:val="Normal"/>
    <w:autoRedefine/>
    <w:uiPriority w:val="39"/>
    <w:semiHidden/>
    <w:unhideWhenUsed/>
    <w:rsid w:val="00947436"/>
    <w:pPr>
      <w:ind w:left="720"/>
    </w:pPr>
    <w:rPr>
      <w:rFonts w:asciiTheme="minorHAnsi" w:hAnsiTheme="minorHAnsi"/>
      <w:sz w:val="20"/>
      <w:szCs w:val="20"/>
    </w:rPr>
  </w:style>
  <w:style w:type="paragraph" w:styleId="TOC6">
    <w:name w:val="toc 6"/>
    <w:basedOn w:val="Normal"/>
    <w:next w:val="Normal"/>
    <w:autoRedefine/>
    <w:uiPriority w:val="39"/>
    <w:semiHidden/>
    <w:unhideWhenUsed/>
    <w:rsid w:val="00947436"/>
    <w:pPr>
      <w:ind w:left="960"/>
    </w:pPr>
    <w:rPr>
      <w:rFonts w:asciiTheme="minorHAnsi" w:hAnsiTheme="minorHAnsi"/>
      <w:sz w:val="20"/>
      <w:szCs w:val="20"/>
    </w:rPr>
  </w:style>
  <w:style w:type="paragraph" w:styleId="TOC7">
    <w:name w:val="toc 7"/>
    <w:basedOn w:val="Normal"/>
    <w:next w:val="Normal"/>
    <w:autoRedefine/>
    <w:uiPriority w:val="39"/>
    <w:semiHidden/>
    <w:unhideWhenUsed/>
    <w:rsid w:val="00947436"/>
    <w:pPr>
      <w:ind w:left="1200"/>
    </w:pPr>
    <w:rPr>
      <w:rFonts w:asciiTheme="minorHAnsi" w:hAnsiTheme="minorHAnsi"/>
      <w:sz w:val="20"/>
      <w:szCs w:val="20"/>
    </w:rPr>
  </w:style>
  <w:style w:type="paragraph" w:styleId="TOC8">
    <w:name w:val="toc 8"/>
    <w:basedOn w:val="Normal"/>
    <w:next w:val="Normal"/>
    <w:autoRedefine/>
    <w:uiPriority w:val="39"/>
    <w:semiHidden/>
    <w:unhideWhenUsed/>
    <w:rsid w:val="00947436"/>
    <w:pPr>
      <w:ind w:left="1440"/>
    </w:pPr>
    <w:rPr>
      <w:rFonts w:asciiTheme="minorHAnsi" w:hAnsiTheme="minorHAnsi"/>
      <w:sz w:val="20"/>
      <w:szCs w:val="20"/>
    </w:rPr>
  </w:style>
  <w:style w:type="paragraph" w:styleId="TOC9">
    <w:name w:val="toc 9"/>
    <w:basedOn w:val="Normal"/>
    <w:next w:val="Normal"/>
    <w:autoRedefine/>
    <w:uiPriority w:val="39"/>
    <w:semiHidden/>
    <w:unhideWhenUsed/>
    <w:rsid w:val="00947436"/>
    <w:pPr>
      <w:ind w:left="1680"/>
    </w:pPr>
    <w:rPr>
      <w:rFonts w:asciiTheme="minorHAnsi" w:hAnsiTheme="minorHAnsi"/>
      <w:sz w:val="20"/>
      <w:szCs w:val="20"/>
    </w:rPr>
  </w:style>
  <w:style w:type="paragraph" w:styleId="CommentSubject">
    <w:name w:val="annotation subject"/>
    <w:basedOn w:val="CommentText"/>
    <w:link w:val="CommentSubjectChar"/>
    <w:uiPriority w:val="99"/>
    <w:semiHidden/>
    <w:unhideWhenUsed/>
    <w:qFormat/>
    <w:rsid w:val="00BB5E10"/>
    <w:pPr>
      <w:spacing w:after="0"/>
    </w:pPr>
    <w:rPr>
      <w:rFonts w:ascii="Times New Roman" w:eastAsiaTheme="minorEastAsia" w:hAnsi="Times New Roman" w:cs="Times New Roman"/>
      <w:b/>
      <w:bCs/>
    </w:rPr>
  </w:style>
  <w:style w:type="paragraph" w:styleId="Revision">
    <w:name w:val="Revision"/>
    <w:uiPriority w:val="99"/>
    <w:semiHidden/>
    <w:qFormat/>
    <w:rsid w:val="00BB5E10"/>
    <w:rPr>
      <w:rFonts w:ascii="Times New Roman" w:eastAsiaTheme="minorEastAsia" w:hAnsi="Times New Roman" w:cs="Times New Roman"/>
    </w:rPr>
  </w:style>
  <w:style w:type="paragraph" w:styleId="Header">
    <w:name w:val="header"/>
    <w:basedOn w:val="Normal"/>
    <w:link w:val="HeaderChar"/>
    <w:uiPriority w:val="99"/>
    <w:unhideWhenUsed/>
    <w:rsid w:val="00A13566"/>
    <w:pPr>
      <w:tabs>
        <w:tab w:val="center" w:pos="4680"/>
        <w:tab w:val="right" w:pos="9360"/>
      </w:tabs>
    </w:pPr>
  </w:style>
  <w:style w:type="paragraph" w:styleId="Footer">
    <w:name w:val="footer"/>
    <w:basedOn w:val="Normal"/>
    <w:link w:val="FooterChar"/>
    <w:uiPriority w:val="99"/>
    <w:unhideWhenUsed/>
    <w:rsid w:val="00A13566"/>
    <w:pPr>
      <w:tabs>
        <w:tab w:val="center" w:pos="4680"/>
        <w:tab w:val="right" w:pos="936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680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25752">
      <w:bodyDiv w:val="1"/>
      <w:marLeft w:val="0"/>
      <w:marRight w:val="0"/>
      <w:marTop w:val="0"/>
      <w:marBottom w:val="0"/>
      <w:divBdr>
        <w:top w:val="none" w:sz="0" w:space="0" w:color="auto"/>
        <w:left w:val="none" w:sz="0" w:space="0" w:color="auto"/>
        <w:bottom w:val="none" w:sz="0" w:space="0" w:color="auto"/>
        <w:right w:val="none" w:sz="0" w:space="0" w:color="auto"/>
      </w:divBdr>
    </w:div>
    <w:div w:id="451245373">
      <w:bodyDiv w:val="1"/>
      <w:marLeft w:val="0"/>
      <w:marRight w:val="0"/>
      <w:marTop w:val="0"/>
      <w:marBottom w:val="0"/>
      <w:divBdr>
        <w:top w:val="none" w:sz="0" w:space="0" w:color="auto"/>
        <w:left w:val="none" w:sz="0" w:space="0" w:color="auto"/>
        <w:bottom w:val="none" w:sz="0" w:space="0" w:color="auto"/>
        <w:right w:val="none" w:sz="0" w:space="0" w:color="auto"/>
      </w:divBdr>
    </w:div>
    <w:div w:id="535892098">
      <w:bodyDiv w:val="1"/>
      <w:marLeft w:val="0"/>
      <w:marRight w:val="0"/>
      <w:marTop w:val="0"/>
      <w:marBottom w:val="0"/>
      <w:divBdr>
        <w:top w:val="none" w:sz="0" w:space="0" w:color="auto"/>
        <w:left w:val="none" w:sz="0" w:space="0" w:color="auto"/>
        <w:bottom w:val="none" w:sz="0" w:space="0" w:color="auto"/>
        <w:right w:val="none" w:sz="0" w:space="0" w:color="auto"/>
      </w:divBdr>
    </w:div>
    <w:div w:id="1779517725">
      <w:bodyDiv w:val="1"/>
      <w:marLeft w:val="0"/>
      <w:marRight w:val="0"/>
      <w:marTop w:val="0"/>
      <w:marBottom w:val="0"/>
      <w:divBdr>
        <w:top w:val="none" w:sz="0" w:space="0" w:color="auto"/>
        <w:left w:val="none" w:sz="0" w:space="0" w:color="auto"/>
        <w:bottom w:val="none" w:sz="0" w:space="0" w:color="auto"/>
        <w:right w:val="none" w:sz="0" w:space="0" w:color="auto"/>
      </w:divBdr>
    </w:div>
    <w:div w:id="1971520479">
      <w:bodyDiv w:val="1"/>
      <w:marLeft w:val="0"/>
      <w:marRight w:val="0"/>
      <w:marTop w:val="0"/>
      <w:marBottom w:val="0"/>
      <w:divBdr>
        <w:top w:val="none" w:sz="0" w:space="0" w:color="auto"/>
        <w:left w:val="none" w:sz="0" w:space="0" w:color="auto"/>
        <w:bottom w:val="none" w:sz="0" w:space="0" w:color="auto"/>
        <w:right w:val="none" w:sz="0" w:space="0" w:color="auto"/>
      </w:divBdr>
    </w:div>
    <w:div w:id="2130391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SEC18</b:Tag>
    <b:SourceType>InternetSite</b:SourceType>
    <b:Guid>{2B215CCD-E829-5D4B-83A0-D058597CCED1}</b:Guid>
    <b:Title>SEC v. W. J. Howey Co.</b:Title>
    <b:InternetSiteTitle>supreme.justia.com</b:InternetSiteTitle>
    <b:YearAccessed>2018</b:YearAccessed>
    <b:MonthAccessed>1</b:MonthAccessed>
    <b:DayAccessed>21</b:DayAccessed>
    <b:URL>https://supreme.justia.com/cases/federal/us/328/293/case.html</b:URL>
    <b:RefOrder>1</b:RefOrder>
  </b:Source>
</b:Sources>
</file>

<file path=customXml/itemProps1.xml><?xml version="1.0" encoding="utf-8"?>
<ds:datastoreItem xmlns:ds="http://schemas.openxmlformats.org/officeDocument/2006/customXml" ds:itemID="{EA9673E1-9EDE-4E66-9C25-D1854296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4749</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Andrew Hyduchak</cp:lastModifiedBy>
  <cp:revision>13</cp:revision>
  <cp:lastPrinted>2018-01-24T06:53:00Z</cp:lastPrinted>
  <dcterms:created xsi:type="dcterms:W3CDTF">2018-01-24T06:19:00Z</dcterms:created>
  <dcterms:modified xsi:type="dcterms:W3CDTF">2018-01-24T06:54:00Z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