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SpEd Specialist — complex/PDA autism · IEP &amp; IDEA compliance auditing · behavior support · available 15-20 hrs/wk async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Special education compliance auditor and domain expert: audits IEP/504/IDEA compliance across districts and private schools, with complex autism and PDA specialization, 15+ years K-12 practice, and active independent consulting since 2019. Experienced calibrating structured judgments against external standards — federal statute, funder criteria, program rubrics — and, where expertise and spec diverge, surfacing the tension explicitly rather than overriding the standard. Identifies subtle non-compliance — e.g., a response that offers an accommodation where the scenario requires a modification — and specifies the exact violated clause rather than categorically flagging. Available 15-20 hrs/wk for asynchronous remote contract work; experienced async delivery via OSPI-funded independent contracts.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STRENGTHS FOR STRUCTURED-JUDGMENT WORK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Audited IEP/504/IDEA compliance across multiple districts and private schools; wrote findings with corrective recommendations against federal statute.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Produces structured written judgments under tight specifications: compliance audit findings, rubric-scored IEP reviews, funder deliverables with defined format and length constraints.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Designs observable scoring criteria: PD rubrics, compliance checklists, and 6-to-8-week documented intervention frameworks with measurable outcomes.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Scarce edge-case domain depth: complex/PDA autism, early childhood SpEd, ABA and behavior support — can construct scenarios where a confident answer is subtly harmful for a neurodivergent learner.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15+ years full-time K-12 SpEd practice (early childhood through grade 12, public-district and tribal/Native settings), plus 3+ years adult mental health case management — qualifies for education and behavioral/clinical project pipelines.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Active practitioner: currently teaching early childhood SpEd alongside ongoing OSPI consulting contracts — expertise is current, not archival.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Completed "Generative AI for Educators" professional-development course (2026); routinely uses ChatGPT and Claude in consulting workflow to draft, summarize source documents, and stress-test rubrics.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DOMAIN EXPERTISE</w:t>
      </w:r>
    </w:p>
    <w:p>
      <w:pPr>
        <w:spacing w:after="80"/>
      </w:pPr>
      <w:r>
        <w:rPr>
          <w:rFonts w:ascii="Calibri" w:hAnsi="Calibri"/>
          <w:b w:val="0"/>
          <w:sz w:val="21"/>
        </w:rPr>
        <w:t>IEP / IFSP / 504 compliance  ·  IDEA federal regulations  ·  Complex autism &amp; PDA autism  ·  Early childhood SpEd (ages 3-5)  ·  K-12 SpEd resource &amp; inclusion  ·  Trauma-informed practice  ·  ABA and behavior support  ·  MTSS / RTI design  ·  Culturally responsive practice  ·  Case management &amp; mental health (adult)  ·  Family engagement &amp; coaching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Educational Consultant</w:t>
      </w:r>
      <w:r>
        <w:rPr>
          <w:rFonts w:ascii="Calibri" w:hAnsi="Calibri"/>
          <w:b w:val="0"/>
          <w:sz w:val="22"/>
        </w:rPr>
        <w:t xml:space="preserve"> — Compliance Auditor &amp; Trainer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Audits IEP, 504, and IDEA compliance at private schools and early childhood settings; writes precise, defensible findings with corrective recommendations against federal statute.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Advises school leadership on compliance flow, documentation systems, and accessibility.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Facilitates PD for groups of 10-60 on inclusive education, PDA autism, and trauma-informed practice; delivers speaking engagements on inclusive leadership and complex autism support.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</w:t>
      </w:r>
      <w:r>
        <w:rPr>
          <w:rFonts w:ascii="Calibri" w:hAnsi="Calibri"/>
          <w:b w:val="0"/>
          <w:sz w:val="22"/>
        </w:rPr>
        <w:t xml:space="preserve"> — OSPI-Funded Contracts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Delivers structured project work async across multiple competitive funder contracts, each with defined format and reporting constraints.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Conducts qualitative inquiry and synthesizes findings into program-design recommendations for families navigating poverty, disability, and systemic barriers.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Develops prevention-focused frameworks aimed at reducing youth involvement in juvenile justice systems.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Leads early childhood SpEd classrooms (ages 3-5) with diverse developmental, behavioral, and communication needs.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Coordinates evaluations and IEPs across multidisciplinary providers; integrates trauma-informed and neurodiversity-affirming practice.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caseloads of 35-51 students per year (vs. typical maximum of 25), implementing trauma-informed, autism-specific, and ABA strategies.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Co-introduced a 6-to-8-week documented intervention process that reduced SpEd referrals by 60%; served as compliance monitor across 3 school sites.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Grades 6-12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Delivered specialized instruction for a caseload of 12-16 students; coordinated precise documentation across parole, probation, CPS, and group-home stakeholders.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Case Manager, Adult Mental Health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Managed 40+ client caseload across coping skills, grief, self-harm, and addiction-recovery programming; crisis response and court-ordered compliance.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2025; Dissertation of the Year.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Master of Arts in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Bachelor of Arts in Art Instruction for Exceptional Children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2024; accepted AERA/UCEA sessions 2024-2026.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