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Learning Experience Designer — SpEd &amp; early-childhood (preschool, ages 3-5) edtech · complex/PDA autism · practitioner-researcher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specialist with 15+ years designing learning experiences for complex autism, preschool SpEd (ages 3-5), and IEP/IDEA compliance — a practitioner-researcher who builds for the children mainstream edtech leaves behind. Deep fluency in atypical development (complex autism/PDA, sensory and motor divergence, trauma-affected learners) means the curriculum I design holds up across the full developmental range — how children actually grow, not the median path. The pivot bridge is direct: years of authoring versioned, documented intervention frameworks and scope-and-sequence — built once, revised on use, run by others — is the same spine as content design for a product, and a current educator-advisory engagement has put me inside a real product team's iteration cycle. Targeting curriculum and learning-design roles in SpEd-focused and early-childhood edtech.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WHAT I BRING TO A LEARNING-DESIGN TEAM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Rare, unfakeable domain depth: complex autism and PDA, preschool SpEd (ages 3-5), developmental range across motor, language, and social-emotional domains — the niche general-ed designers cannot cover.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Documented, versioned design artifacts: authored a 6-8 week intervention framework with explicit developmental rationale, scope-and-sequence, and a revision log — built for other practitioners to run, not one-off delivery.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Product-iteration experience: serve on the educator advisory board of a SpEd/early-learning edtech product, delivering written content feedback against the roadmap in cycles with its product and design team.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Iteration instinct beyond the advisory seat: years of revising instructional content against observed learner response and family feedback in short cycles — shipped, then revised — across 35-51 children per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Compliance design as a craft: audited IEP/504/IDEA programs across multiple districts and private schools, identified systemic gaps, and authored remediation frameworks adopted by those programs.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Family-facing communication: translating developmental complexity into concrete, jargon-free home strategies — the parent-facing content skill consumer edtech depends 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AI-in-education literacy: applied daily use of Claude, ChatGPT, and an AI-for-teachers tool to draft and stress-test curriculum content; published a public piece on AI early-learning products and PDA autism.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Research grounding for data-leaning teams: EdD, Dissertation of the Year, and a peer-reviewed AERA/UCEA record — qualitative and practitioner-research, not causal-inference methods.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EXPERTISE</w:t>
      </w:r>
    </w:p>
    <w:p>
      <w:pPr>
        <w:spacing w:after="80"/>
      </w:pPr>
      <w:r>
        <w:rPr>
          <w:rFonts w:ascii="Calibri" w:hAnsi="Calibri"/>
          <w:b w:val="0"/>
          <w:sz w:val="21"/>
        </w:rPr>
        <w:t>Curriculum &amp; content design (PreK-12)  ·  Complex autism &amp; PDA  ·  Preschool developmental learning (ages 3-5)  ·  Developmental milestone sequencing  ·  Play-based &amp; naturalistic instruction  ·  Behavior support &amp; ABA  ·  Trauma-informed practice  ·  MTSS / RTI design  ·  Versioned intervention frameworks &amp; scope-and-sequence  ·  Family communication &amp; parent coaching  ·  Accessibility &amp; neurodiversity-affirming design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run preschool programs for ages 3-5 — building individualized, play-based developmental sequences across motor, language, and social-emotional domains.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Revise instructional routines and content based on observed child response and family feedback — short iteration cycles across diverse developmental profiles.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Partner daily with families to translate developmental progress into concrete, actionable home strategies in accessible language, not clinical jargon.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Educator Advisory Board Member</w:t>
      </w:r>
      <w:r>
        <w:rPr>
          <w:rFonts w:ascii="Calibri" w:hAnsi="Calibri"/>
          <w:b w:val="0"/>
          <w:sz w:val="22"/>
        </w:rPr>
        <w:t xml:space="preserve"> — SpEd / Early-Learning EdTech Product  •  2026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product curriculum and content against the roadmap; deliver written feedback in iteration cycles with the product and design team — surfacing where mainstream content design fails complex-autism and atypically-developing learners.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Authored a documented, versioned 6-8 week structured intervention — scope-and-sequence with developmental rationale, replicable across classrooms; district outcome data showed a 60% reduction in SpEd referrals vs. prior-year baseline.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Restructuring and PD work moved 88% of students receiving services into general-education placement for the majority of the day.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caseloads of 35-51 students per year while supervising and training teams of up to 8 staff; contributed to district-wide MTSS and behavior-support design.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Educational Consultant</w:t>
      </w:r>
      <w:r>
        <w:rPr>
          <w:rFonts w:ascii="Calibri" w:hAnsi="Calibri"/>
          <w:b w:val="0"/>
          <w:sz w:val="22"/>
        </w:rPr>
        <w:t xml:space="preserve"> — Compliance Auditor &amp; Designer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Conducted IEP/504/IDEA compliance audits across multiple private school and early-childhood settings; identified systemic gaps and authored remediation frameworks adopted by those programs.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revised PD curricula for groups of 10-60, iterating program content based on participant feedback.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State-Contracted Family Programs</w:t>
      </w:r>
      <w:r>
        <w:rPr>
          <w:rFonts w:ascii="Calibri" w:hAnsi="Calibri"/>
          <w:b w:val="0"/>
          <w:sz w:val="22"/>
        </w:rPr>
        <w:t xml:space="preserve"> — OSPI-Funded Contracts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Distinct from the private-school audit work: state-contract-funded engagements designing learning experiences for families of children on the autism spectrum and historically underserved communities; conducted qualitative inquiry and translated findings into iterative program improvements.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2025; Dissertation of the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Master of Arts in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Bachelor of Arts in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2024; accepted AERA/UCEA sessions 2024-2026.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PROFESSIONAL DEVELOPMENT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"Generative AI for Educators" (2026); applied R / data course (2026) — working data fluency: cleans datasets and runs basic regression in R; not a causal-inference methodologist.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