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Catherine Olver, EdD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Inclusive education consulting  |  AI policy  •  SpEd compliance  •  Leadership development</w:t>
      </w:r>
    </w:p>
    <w:p>
      <w:pPr>
        <w:spacing w:after="240"/>
        <w:jc w:val="center"/>
      </w:pPr>
      <w:r>
        <w:rPr>
          <w:color w:val="333333"/>
          <w:sz w:val="20"/>
          <w:szCs w:val="20"/>
        </w:rPr>
        <w:t xml:space="preserve">Algona, WA  •  253.335.9805  •  CEOlverThompson@alaska.edu  •  LinkedIn: linkedin.com/in/catherineolver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WHAT I HELP SCHOOLS AND DISTRICTS DO</w:t>
      </w:r>
    </w:p>
    <w:p>
      <w:pPr>
        <w:spacing w:after="120"/>
      </w:pPr>
      <w:r>
        <w:rPr>
          <w:sz w:val="21"/>
          <w:szCs w:val="21"/>
        </w:rPr>
        <w:t xml:space="preserve">I help K-12 districts and private schools make inclusive practice real, compliant, and sustainable. I work with superintendents, special education directors, principals, and instructional leadership teams — including on the integration of AI tools in schools.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ENGAGEMENT AREAS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AI policy &amp; implementation for districts: </w:t>
      </w:r>
      <w:r>
        <w:rPr>
          <w:sz w:val="21"/>
          <w:szCs w:val="21"/>
        </w:rPr>
        <w:t xml:space="preserve">Author or refine district AI policies aligned with state mandates (35+ states have published guidance). Vendor evaluation, teacher PD plans, ongoing governance.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Special education compliance &amp; audits: </w:t>
      </w:r>
      <w:r>
        <w:rPr>
          <w:sz w:val="21"/>
          <w:szCs w:val="21"/>
        </w:rPr>
        <w:t xml:space="preserve">IEP, 504, and IDEA compliance audits across documentation, practice, and physical safety. Detailed findings with prioritized remediation. Six years of audit experience.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Inclusive leadership development: </w:t>
      </w:r>
      <w:r>
        <w:rPr>
          <w:sz w:val="21"/>
          <w:szCs w:val="21"/>
        </w:rPr>
        <w:t xml:space="preserve">Principal preparation and instructional leadership coaching grounded in award-winning dissertation research on emotional labor, special education, and communication in leadership.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PD for inclusive practice and complex autism: </w:t>
      </w:r>
      <w:r>
        <w:rPr>
          <w:sz w:val="21"/>
          <w:szCs w:val="21"/>
        </w:rPr>
        <w:t xml:space="preserve">Workshops and series for educators, leaders, and paraprofessionals on PDA autism, trauma-informed practice, MTSS, and culturally responsive instruction. Groups of 10-60.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Family and community engagement design: </w:t>
      </w:r>
      <w:r>
        <w:rPr>
          <w:sz w:val="21"/>
          <w:szCs w:val="21"/>
        </w:rPr>
        <w:t xml:space="preserve">Family-facing programs on regulation, child development, and navigating systems. Active work under multiple OSPI-funded contracts since 2023.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RECENT ENGAGEMENTS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OSPI-funded contracts (2023-Present): community-based family programming for autism families, single parents, and historically underserved communities.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Private school and early-childhood compliance audits (2019-Present): IEP, 504, and IDEA documentation review with corrective recommendations.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Kent School District (Oct 2025): guest presenter on District-Wide MTSS, Equity, Inclusion, Justice.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Western Washington University Forum (Mar 2025): panelist on Inclusion and Leadership in K-12 Public Schools.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Pacific Lutheran University (Jan 2024): guest lecturer on "Special Education is Not a Place."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AERA 2024-2026 and UCEA 2024 — accepted research presentations.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OUTCOMES FROM DIRECT PRACTICE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Inclusion overhaul: 88% of students receiving services spent the majority of their day in general education after restructuring and PD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Intervention process: 6-to-8-week documented protocol reduced SpEd referrals by 60%.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PD at scale: trained groups of 10-60 educators across multiple districts.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Compliance audits across multiple districts and private schools, with documented improvements in IEP and 504 accuracy.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CREDENTIALS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EdD, Educational Leadership and Administration</w:t>
      </w:r>
      <w:r>
        <w:rPr>
          <w:sz w:val="21"/>
          <w:szCs w:val="21"/>
        </w:rPr>
        <w:t xml:space="preserve"> — Gonzaga University, 2025. Dissertation of the Year.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Emerging Scholar Award</w:t>
      </w:r>
      <w:r>
        <w:rPr>
          <w:sz w:val="21"/>
          <w:szCs w:val="21"/>
        </w:rPr>
        <w:t xml:space="preserve"> — University Council for Educational Administration, 2024.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MA, Special Education</w:t>
      </w:r>
      <w:r>
        <w:rPr>
          <w:sz w:val="21"/>
          <w:szCs w:val="21"/>
        </w:rPr>
        <w:t xml:space="preserve"> — University of Alaska, 2013.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15+ years</w:t>
      </w:r>
      <w:r>
        <w:rPr>
          <w:sz w:val="21"/>
          <w:szCs w:val="21"/>
        </w:rPr>
        <w:t xml:space="preserve"> of K-12 special education practice across early childhood, K-5, and 6-12 settings; six years of independent consulting.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ENGAGEMENT FORMATS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Half-day and full-day workshops (PD, leadership team retreats, family programming).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Multi-week projects (policy authoring, compliance audits, intervention design).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Ongoing fractional advisor / coach engagements for SpEd directors and instructional leaders.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Speaking engagements at conferences, district events, and university forums.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Catherine Olver, EdD  —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2026-05-22T15:37:25.163Z</dcterms:created>
  <dcterms:modified xsi:type="dcterms:W3CDTF">2026-05-22T15:37:25.163Z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