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40"/>
        </w:rPr>
        <w:t>Catherine Olver, EdD</w:t>
      </w:r>
    </w:p>
    <w:p>
      <w:pPr>
        <w:spacing w:after="40"/>
        <w:jc w:val="center"/>
      </w:pPr>
      <w:r>
        <w:rPr>
          <w:rFonts w:ascii="Calibri" w:hAnsi="Calibri"/>
          <w:b w:val="0"/>
          <w:sz w:val="22"/>
        </w:rPr>
        <w:t>IEP/IDEA Compliance Auditor — complex autism · multi-district SpEd regulatory auditing · 15+ years · independent operator since 2019</w:t>
      </w:r>
    </w:p>
    <w:p>
      <w:pPr>
        <w:spacing w:after="160"/>
        <w:jc w:val="center"/>
      </w:pPr>
      <w:r>
        <w:rPr>
          <w:rFonts w:ascii="Calibri" w:hAnsi="Calibri"/>
          <w:b w:val="0"/>
          <w:sz w:val="20"/>
        </w:rPr>
        <w:t>Algona, WA  •  253.335.9805  •  CEOlverThompson@alaska.edu  •  LinkedIn: linkedin.com/in/catherineolver</w:t>
      </w:r>
    </w:p>
    <w:p>
      <w:pPr>
        <w:spacing w:before="240" w:after="100"/>
      </w:pPr>
      <w:r>
        <w:rPr>
          <w:rFonts w:ascii="Calibri" w:hAnsi="Calibri"/>
          <w:b/>
          <w:sz w:val="22"/>
        </w:rPr>
        <w:t>THE DOMAIN HALF OF AN AI-IEP COMPANY</w:t>
      </w:r>
    </w:p>
    <w:p>
      <w:pPr>
        <w:spacing w:after="80"/>
      </w:pPr>
      <w:r>
        <w:rPr>
          <w:rFonts w:ascii="Calibri" w:hAnsi="Calibri"/>
          <w:b w:val="0"/>
          <w:sz w:val="21"/>
        </w:rPr>
        <w:t>I spent 17 years finding what is broken in special education. I am done writing about it — I want to build the fix and sell it. The bet is AI-assisted IEP writing and compliance tooling: the wedge every AI-IEP product gets wrong because the people building it do not know IDEA. I have audited IEP/504/IDEA compliance at 14 district and private-school sites — paid, repeatedly, to find exactly where compliance breaks — and it fails the same three ways every time. That recurring pattern is the company. I have already audited AI-drafted IEPs against IDEA and published the teardown; the SpEd domain depth, the compliance auditing history, and the district relationships are the half of this company that cannot be hired cheaply or learned fast, and it is the half I already have.</w:t>
      </w:r>
    </w:p>
    <w:p>
      <w:pPr>
        <w:spacing w:before="240" w:after="100"/>
      </w:pPr>
      <w:r>
        <w:rPr>
          <w:rFonts w:ascii="Calibri" w:hAnsi="Calibri"/>
          <w:b/>
          <w:sz w:val="22"/>
        </w:rPr>
        <w:t>WHAT I BRING</w:t>
      </w:r>
    </w:p>
    <w:p>
      <w:pPr>
        <w:pStyle w:val="ListBullet"/>
        <w:spacing w:after="60"/>
      </w:pPr>
      <w:r>
        <w:rPr>
          <w:rFonts w:ascii="Calibri" w:hAnsi="Calibri"/>
          <w:b w:val="0"/>
          <w:sz w:val="21"/>
        </w:rPr>
        <w:t>Compliance moat: I know IDEA, IEP, IFSP, 504, and state SpEd regulation cold, and I have audited it across 14 districts and private schools. AI-IEP tools fail the same way human drafters do — conflating modification with accommodation, and failing to document the violated clause — and that is the failure I am paid to catch.</w:t>
      </w:r>
    </w:p>
    <w:p>
      <w:pPr>
        <w:pStyle w:val="ListBullet"/>
        <w:spacing w:after="60"/>
      </w:pPr>
      <w:r>
        <w:rPr>
          <w:rFonts w:ascii="Calibri" w:hAnsi="Calibri"/>
          <w:b w:val="0"/>
          <w:sz w:val="21"/>
        </w:rPr>
        <w:t>A published AI-IEP teardown: I audited a named AI-IEP tool's drafted output against IDEA and published "Where an AI-Drafted IEP Passes IDEA — and the Two Places It Quietly Fails" on LinkedIn, plus a companion piece on the five compliance questions every district should ask before buying. Same audit lens I apply to human-drafted IEPs.</w:t>
      </w:r>
    </w:p>
    <w:p>
      <w:pPr>
        <w:pStyle w:val="ListBullet"/>
        <w:spacing w:after="60"/>
      </w:pPr>
      <w:r>
        <w:rPr>
          <w:rFonts w:ascii="Calibri" w:hAnsi="Calibri"/>
          <w:b w:val="0"/>
          <w:sz w:val="21"/>
        </w:rPr>
        <w:t>Hands-on AI practice: completed "Generative AI for Educators" (Google/ISTE, 2026); use Claude and ChatGPT daily to draft IEP language, summarize source documents, and stress-test rubrics. I bring that diagnostic lens into product and spec work.</w:t>
      </w:r>
    </w:p>
    <w:p>
      <w:pPr>
        <w:pStyle w:val="ListBullet"/>
        <w:spacing w:after="60"/>
      </w:pPr>
      <w:r>
        <w:rPr>
          <w:rFonts w:ascii="Calibri" w:hAnsi="Calibri"/>
          <w:b w:val="0"/>
          <w:sz w:val="21"/>
        </w:rPr>
        <w:t>GTM ownership: founded and ran Olver Consulting since 2019 — solo lead-gen, client acquisition, proposals, and closing five-figure engagements with no institutional support. I will own go-to-market, fundraising narrative, and the CEO-facing relationship with districts.</w:t>
      </w:r>
    </w:p>
    <w:p>
      <w:pPr>
        <w:pStyle w:val="ListBullet"/>
        <w:spacing w:after="60"/>
      </w:pPr>
      <w:r>
        <w:rPr>
          <w:rFonts w:ascii="Calibri" w:hAnsi="Calibri"/>
          <w:b w:val="0"/>
          <w:sz w:val="21"/>
        </w:rPr>
        <w:t>Buyer credibility: 15+ years of relationships with the superintendents and SpEd directors who hold district budgets — warm distribution that wins pilots and survives a procurement room.</w:t>
      </w:r>
    </w:p>
    <w:p>
      <w:pPr>
        <w:pStyle w:val="ListBullet"/>
        <w:spacing w:after="60"/>
      </w:pPr>
      <w:r>
        <w:rPr>
          <w:rFonts w:ascii="Calibri" w:hAnsi="Calibri"/>
          <w:b w:val="0"/>
          <w:sz w:val="21"/>
        </w:rPr>
        <w:t>Research that does product work: EdD with Dissertation of the Year (Gonzaga, 2025); AERA/UCEA-vetted output means efficacy claims and pilot designs survive academic scrutiny in front of a buyer.</w:t>
      </w:r>
    </w:p>
    <w:p>
      <w:pPr>
        <w:spacing w:before="240" w:after="100"/>
      </w:pPr>
      <w:r>
        <w:rPr>
          <w:rFonts w:ascii="Calibri" w:hAnsi="Calibri"/>
          <w:b/>
          <w:sz w:val="22"/>
        </w:rPr>
        <w:t>WHERE I WANT TO BUILD</w:t>
      </w:r>
    </w:p>
    <w:p>
      <w:pPr>
        <w:spacing w:after="80"/>
      </w:pPr>
      <w:r>
        <w:rPr>
          <w:rFonts w:ascii="Calibri" w:hAnsi="Calibri"/>
          <w:b w:val="0"/>
          <w:sz w:val="21"/>
        </w:rPr>
        <w:t>The founding bet is AI-assisted IEP writing and compliance tooling for SpEd teams — one named stake, not an option space. The builders attempting this do not know IDEA; I do, and I have documented and published the recurring failure pattern firsthand. Neurodivergent-first AI tutors and district-side AI governance are adjacent markets I understand — but they are adjacencies, not the founding company.</w:t>
      </w:r>
    </w:p>
    <w:p>
      <w:pPr>
        <w:spacing w:before="240" w:after="100"/>
      </w:pPr>
      <w:r>
        <w:rPr>
          <w:rFonts w:ascii="Calibri" w:hAnsi="Calibri"/>
          <w:b/>
          <w:sz w:val="22"/>
        </w:rPr>
        <w:t>SELECTED EXPERIENCE</w:t>
      </w:r>
    </w:p>
    <w:p>
      <w:pPr>
        <w:spacing w:before="160" w:after="40"/>
      </w:pPr>
      <w:r>
        <w:rPr>
          <w:rFonts w:ascii="Calibri" w:hAnsi="Calibri"/>
          <w:b/>
          <w:sz w:val="22"/>
        </w:rPr>
        <w:t>Independent Consultant</w:t>
      </w:r>
      <w:r>
        <w:rPr>
          <w:rFonts w:ascii="Calibri" w:hAnsi="Calibri"/>
          <w:b w:val="0"/>
          <w:sz w:val="22"/>
        </w:rPr>
        <w:t xml:space="preserve"> — OSPI-Funded Contracts — Olver Consulting</w:t>
      </w:r>
      <w:r>
        <w:rPr>
          <w:rFonts w:ascii="Calibri" w:hAnsi="Calibri"/>
          <w:b w:val="0"/>
          <w:sz w:val="20"/>
        </w:rPr>
        <w:t xml:space="preserve">  |  Washington State  •  2023 – Present</w:t>
      </w:r>
    </w:p>
    <w:p>
      <w:pPr>
        <w:pStyle w:val="ListBullet"/>
        <w:spacing w:after="60"/>
      </w:pPr>
      <w:r>
        <w:rPr>
          <w:rFonts w:ascii="Calibri" w:hAnsi="Calibri"/>
          <w:b w:val="0"/>
          <w:sz w:val="21"/>
        </w:rPr>
        <w:t>Win and run multiple competitive funder contracts concurrently on tight deliverables across cross-sector partners.</w:t>
      </w:r>
    </w:p>
    <w:p>
      <w:pPr>
        <w:pStyle w:val="ListBullet"/>
        <w:spacing w:after="60"/>
      </w:pPr>
      <w:r>
        <w:rPr>
          <w:rFonts w:ascii="Calibri" w:hAnsi="Calibri"/>
          <w:b w:val="0"/>
          <w:sz w:val="21"/>
        </w:rPr>
        <w:t>Design and ship family programs end-to-end — research, curriculum, facilitation, evaluation — with no hand-off.</w:t>
      </w:r>
    </w:p>
    <w:p>
      <w:pPr>
        <w:pStyle w:val="ListBullet"/>
        <w:spacing w:after="60"/>
      </w:pPr>
      <w:r>
        <w:rPr>
          <w:rFonts w:ascii="Calibri" w:hAnsi="Calibri"/>
          <w:b w:val="0"/>
          <w:sz w:val="21"/>
        </w:rPr>
        <w:t>Operate independently across legal, programmatic, and financial requirements — no employer scaffolding.</w:t>
      </w:r>
    </w:p>
    <w:p>
      <w:pPr>
        <w:spacing w:before="160" w:after="40"/>
      </w:pPr>
      <w:r>
        <w:rPr>
          <w:rFonts w:ascii="Calibri" w:hAnsi="Calibri"/>
          <w:b/>
          <w:sz w:val="22"/>
        </w:rPr>
        <w:t>Educational Consultant</w:t>
      </w:r>
      <w:r>
        <w:rPr>
          <w:rFonts w:ascii="Calibri" w:hAnsi="Calibri"/>
          <w:b w:val="0"/>
          <w:sz w:val="22"/>
        </w:rPr>
        <w:t xml:space="preserve"> — Compliance Auditor &amp; Trainer — Olver Consulting</w:t>
      </w:r>
      <w:r>
        <w:rPr>
          <w:rFonts w:ascii="Calibri" w:hAnsi="Calibri"/>
          <w:b w:val="0"/>
          <w:sz w:val="20"/>
        </w:rPr>
        <w:t xml:space="preserve">  |  Seattle, WA  •  2019 – Present</w:t>
      </w:r>
    </w:p>
    <w:p>
      <w:pPr>
        <w:pStyle w:val="ListBullet"/>
        <w:spacing w:after="60"/>
      </w:pPr>
      <w:r>
        <w:rPr>
          <w:rFonts w:ascii="Calibri" w:hAnsi="Calibri"/>
          <w:b w:val="0"/>
          <w:sz w:val="21"/>
        </w:rPr>
        <w:t>Founded and ran a solo consulting practice for six years — lead-gen, proposals, client delivery, five-figure engagements, 1099 income — built alongside full-time teaching, and now ready to run without that backstop.</w:t>
      </w:r>
    </w:p>
    <w:p>
      <w:pPr>
        <w:pStyle w:val="ListBullet"/>
        <w:spacing w:after="60"/>
      </w:pPr>
      <w:r>
        <w:rPr>
          <w:rFonts w:ascii="Calibri" w:hAnsi="Calibri"/>
          <w:b w:val="0"/>
          <w:sz w:val="21"/>
        </w:rPr>
        <w:t>Audited IEP/504/IDEA compliance at 14 district and private-school sites; wrote defensible findings with corrective recommendations against federal statute.</w:t>
      </w:r>
    </w:p>
    <w:p>
      <w:pPr>
        <w:pStyle w:val="ListBullet"/>
        <w:spacing w:after="60"/>
      </w:pPr>
      <w:r>
        <w:rPr>
          <w:rFonts w:ascii="Calibri" w:hAnsi="Calibri"/>
          <w:b w:val="0"/>
          <w:sz w:val="21"/>
        </w:rPr>
        <w:t>Published two AI-IEP compliance teardowns (2026): audited AI-drafted IEP output against IDEA, naming where it passes and the specific clauses it misses.</w:t>
      </w:r>
    </w:p>
    <w:p>
      <w:pPr>
        <w:spacing w:before="160" w:after="40"/>
      </w:pPr>
      <w:r>
        <w:rPr>
          <w:rFonts w:ascii="Calibri" w:hAnsi="Calibri"/>
          <w:b/>
          <w:sz w:val="22"/>
        </w:rPr>
        <w:t>Special Education Teacher, K-5</w:t>
      </w:r>
      <w:r>
        <w:rPr>
          <w:rFonts w:ascii="Calibri" w:hAnsi="Calibri"/>
          <w:b w:val="0"/>
          <w:sz w:val="22"/>
        </w:rPr>
        <w:t xml:space="preserve"> — Auburn School District</w:t>
      </w:r>
      <w:r>
        <w:rPr>
          <w:rFonts w:ascii="Calibri" w:hAnsi="Calibri"/>
          <w:b w:val="0"/>
          <w:sz w:val="20"/>
        </w:rPr>
        <w:t xml:space="preserve">  |  Auburn, WA  •  2013 – 2025</w:t>
      </w:r>
    </w:p>
    <w:p>
      <w:pPr>
        <w:pStyle w:val="ListBullet"/>
        <w:spacing w:after="60"/>
      </w:pPr>
      <w:r>
        <w:rPr>
          <w:rFonts w:ascii="Calibri" w:hAnsi="Calibri"/>
          <w:b w:val="0"/>
          <w:sz w:val="21"/>
        </w:rPr>
        <w:t>Co-designed a 6-to-8-week documented intervention process that reduced SpEd referrals 60% — a process built to move a metric on a short cycle.</w:t>
      </w:r>
    </w:p>
    <w:p>
      <w:pPr>
        <w:pStyle w:val="ListBullet"/>
        <w:spacing w:after="60"/>
      </w:pPr>
      <w:r>
        <w:rPr>
          <w:rFonts w:ascii="Calibri" w:hAnsi="Calibri"/>
          <w:b w:val="0"/>
          <w:sz w:val="21"/>
        </w:rPr>
        <w:t>Led restructuring and PD, designed and delivered over one academic year, that moved 88% of students into general-education settings for most of the day.</w:t>
      </w:r>
    </w:p>
    <w:p>
      <w:pPr>
        <w:pStyle w:val="ListBullet"/>
        <w:spacing w:after="60"/>
      </w:pPr>
      <w:r>
        <w:rPr>
          <w:rFonts w:ascii="Calibri" w:hAnsi="Calibri"/>
          <w:b w:val="0"/>
          <w:sz w:val="21"/>
        </w:rPr>
        <w:t>Supervised and trained teams of up to 8 staff; served as compliance monitor across 3 school sites.</w:t>
      </w:r>
    </w:p>
    <w:p>
      <w:pPr>
        <w:spacing w:before="160" w:after="40"/>
      </w:pPr>
      <w:r>
        <w:rPr>
          <w:rFonts w:ascii="Calibri" w:hAnsi="Calibri"/>
          <w:b/>
          <w:sz w:val="22"/>
        </w:rPr>
        <w:t>Special Education Teacher, Early Childhood</w:t>
      </w:r>
      <w:r>
        <w:rPr>
          <w:rFonts w:ascii="Calibri" w:hAnsi="Calibri"/>
          <w:b w:val="0"/>
          <w:sz w:val="22"/>
        </w:rPr>
        <w:t xml:space="preserve"> — Kent School District</w:t>
      </w:r>
      <w:r>
        <w:rPr>
          <w:rFonts w:ascii="Calibri" w:hAnsi="Calibri"/>
          <w:b w:val="0"/>
          <w:sz w:val="20"/>
        </w:rPr>
        <w:t xml:space="preserve">  |  Kent, WA  •  2025 – Present</w:t>
      </w:r>
    </w:p>
    <w:p>
      <w:pPr>
        <w:pStyle w:val="ListBullet"/>
        <w:spacing w:after="60"/>
      </w:pPr>
      <w:r>
        <w:rPr>
          <w:rFonts w:ascii="Calibri" w:hAnsi="Calibri"/>
          <w:b w:val="0"/>
          <w:sz w:val="21"/>
        </w:rPr>
        <w:t>Current daily classroom practice keeps me close to the user — direct input for product roadmap and design-partner relationships.</w:t>
      </w:r>
    </w:p>
    <w:p>
      <w:pPr>
        <w:spacing w:before="160" w:after="40"/>
      </w:pPr>
      <w:r>
        <w:rPr>
          <w:rFonts w:ascii="Calibri" w:hAnsi="Calibri"/>
          <w:b/>
          <w:sz w:val="22"/>
        </w:rPr>
        <w:t>Case Manager, Adult Mental Health</w:t>
      </w:r>
      <w:r>
        <w:rPr>
          <w:rFonts w:ascii="Calibri" w:hAnsi="Calibri"/>
          <w:b w:val="0"/>
          <w:sz w:val="22"/>
        </w:rPr>
        <w:t xml:space="preserve"> — Comprehensive Mental Health of Yakima</w:t>
      </w:r>
      <w:r>
        <w:rPr>
          <w:rFonts w:ascii="Calibri" w:hAnsi="Calibri"/>
          <w:b w:val="0"/>
          <w:sz w:val="20"/>
        </w:rPr>
        <w:t xml:space="preserve">  |  Yakima, WA  •  2007 – 2010</w:t>
      </w:r>
    </w:p>
    <w:p>
      <w:pPr>
        <w:pStyle w:val="ListBullet"/>
        <w:spacing w:after="60"/>
      </w:pPr>
      <w:r>
        <w:rPr>
          <w:rFonts w:ascii="Calibri" w:hAnsi="Calibri"/>
          <w:b w:val="0"/>
          <w:sz w:val="21"/>
        </w:rPr>
        <w:t>Managed a $350K program budget and 40+ client caseload — early operating range well before the EdD.</w:t>
      </w:r>
    </w:p>
    <w:p>
      <w:pPr>
        <w:spacing w:before="240" w:after="100"/>
      </w:pPr>
      <w:r>
        <w:rPr>
          <w:rFonts w:ascii="Calibri" w:hAnsi="Calibri"/>
          <w:b/>
          <w:sz w:val="22"/>
        </w:rPr>
        <w:t>DOMAIN WRITING &amp; APPLIED RESEARCH</w:t>
      </w:r>
    </w:p>
    <w:p>
      <w:pPr>
        <w:pStyle w:val="ListBullet"/>
        <w:spacing w:after="60"/>
      </w:pPr>
      <w:r>
        <w:rPr>
          <w:rFonts w:ascii="Calibri" w:hAnsi="Calibri"/>
          <w:b w:val="0"/>
          <w:sz w:val="21"/>
        </w:rPr>
        <w:t>Published AI-IEP compliance teardowns (LinkedIn, 2026); accepted AI-IEP-compliance session, ISTE Live 2026 / AERA 2027.</w:t>
      </w:r>
    </w:p>
    <w:p>
      <w:pPr>
        <w:pStyle w:val="ListBullet"/>
        <w:spacing w:after="60"/>
      </w:pPr>
      <w:r>
        <w:rPr>
          <w:rFonts w:ascii="Calibri" w:hAnsi="Calibri"/>
          <w:b w:val="0"/>
          <w:sz w:val="21"/>
        </w:rPr>
        <w:t>AERA 2026 (Los Angeles) — two accepted sessions on inclusive principal preparation; AERA 2025 (Denver) — paper session on K-12 strategic leadership.</w:t>
      </w:r>
    </w:p>
    <w:p>
      <w:pPr>
        <w:pStyle w:val="ListBullet"/>
        <w:spacing w:after="60"/>
      </w:pPr>
      <w:r>
        <w:rPr>
          <w:rFonts w:ascii="Calibri" w:hAnsi="Calibri"/>
          <w:b w:val="0"/>
          <w:sz w:val="21"/>
        </w:rPr>
        <w:t>UCEA 2024 (Los Angeles) — two paper sessions on SpEd policy and leader preparation; guest lectures at Pacific Lutheran, Western Washington University, and Kent School District.</w:t>
      </w:r>
    </w:p>
    <w:p>
      <w:pPr>
        <w:spacing w:before="240" w:after="100"/>
      </w:pPr>
      <w:r>
        <w:rPr>
          <w:rFonts w:ascii="Calibri" w:hAnsi="Calibri"/>
          <w:b/>
          <w:sz w:val="22"/>
        </w:rPr>
        <w:t>EDUCATION &amp; RECOGNITION</w:t>
      </w:r>
    </w:p>
    <w:p>
      <w:pPr>
        <w:pStyle w:val="ListBullet"/>
        <w:spacing w:after="60"/>
      </w:pPr>
      <w:r>
        <w:rPr>
          <w:rFonts w:ascii="Calibri" w:hAnsi="Calibri"/>
          <w:b w:val="0"/>
          <w:sz w:val="21"/>
        </w:rPr>
        <w:t>Doctorate in Educational Leadership and Administration (EdD) — Gonzaga University, 2025; Dissertation of the Year.</w:t>
      </w:r>
    </w:p>
    <w:p>
      <w:pPr>
        <w:pStyle w:val="ListBullet"/>
        <w:spacing w:after="60"/>
      </w:pPr>
      <w:r>
        <w:rPr>
          <w:rFonts w:ascii="Calibri" w:hAnsi="Calibri"/>
          <w:b w:val="0"/>
          <w:sz w:val="21"/>
        </w:rPr>
        <w:t>Master of Arts in Special Education — University of Alaska, 2013; BA, Art Instruction for Exceptional Children — Central Washington University, 2007.</w:t>
      </w:r>
    </w:p>
    <w:p>
      <w:pPr>
        <w:pStyle w:val="ListBullet"/>
        <w:spacing w:after="60"/>
      </w:pPr>
      <w:r>
        <w:rPr>
          <w:rFonts w:ascii="Calibri" w:hAnsi="Calibri"/>
          <w:b w:val="0"/>
          <w:sz w:val="21"/>
        </w:rPr>
        <w:t>Emerging Scholar Award — University Council for Educational Administration,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