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sz w:val="40"/>
        </w:rPr>
        <w:t>Catherine Olver, EdD</w:t>
      </w:r>
    </w:p>
    <w:p>
      <w:pPr>
        <w:spacing w:after="40"/>
        <w:jc w:val="center"/>
      </w:pPr>
      <w:r>
        <w:rPr>
          <w:rFonts w:ascii="Calibri" w:hAnsi="Calibri"/>
          <w:b w:val="0"/>
          <w:sz w:val="22"/>
        </w:rPr>
        <w:t>IEP/IDEA Compliance Specialist — complex autism · multi-district SpEd regulatory auditing · 15+ years · independent operator since 2019</w:t>
      </w:r>
    </w:p>
    <w:p>
      <w:pPr>
        <w:spacing w:after="160"/>
        <w:jc w:val="center"/>
      </w:pPr>
      <w:r>
        <w:rPr>
          <w:rFonts w:ascii="Calibri" w:hAnsi="Calibri"/>
          <w:b w:val="0"/>
          <w:sz w:val="20"/>
        </w:rPr>
        <w:t>Algona, WA  •  253.335.9805  •  CEOlverThompson@alaska.edu  •  LinkedIn: linkedin.com/in/catherineolver</w:t>
      </w:r>
    </w:p>
    <w:p>
      <w:pPr>
        <w:spacing w:before="240" w:after="100"/>
      </w:pPr>
      <w:r>
        <w:rPr>
          <w:rFonts w:ascii="Calibri" w:hAnsi="Calibri"/>
          <w:b/>
          <w:sz w:val="22"/>
        </w:rPr>
        <w:t>THE DOMAIN CO-FOUNDER FOR AN AI-IEP COMPANY</w:t>
      </w:r>
    </w:p>
    <w:p>
      <w:pPr>
        <w:spacing w:after="80"/>
      </w:pPr>
      <w:r>
        <w:rPr>
          <w:rFonts w:ascii="Calibri" w:hAnsi="Calibri"/>
          <w:b w:val="0"/>
          <w:sz w:val="21"/>
        </w:rPr>
        <w:t>I spent 17 years finding what is broken in special education. I am done writing about it — I want to build the fix and sell it. The bet is AI-assisted IEP writing and compliance tooling: the wedge every AI-IEP product gets wrong because the people building them do not know IDEA. I have audited IEP/504/IDEA compliance across multiple districts and private schools — paid, repeatedly, to find exactly where compliance breaks — and the same gaps recur every time. That pattern is the company. I bring the unfakeable half: the SpEd domain depth, the district relationships, and the compliance auditing history that make an AI-IEP company defensible from day one.</w:t>
      </w:r>
    </w:p>
    <w:p>
      <w:pPr>
        <w:spacing w:before="240" w:after="100"/>
      </w:pPr>
      <w:r>
        <w:rPr>
          <w:rFonts w:ascii="Calibri" w:hAnsi="Calibri"/>
          <w:b/>
          <w:sz w:val="22"/>
        </w:rPr>
        <w:t>WHAT I BRING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Compliance moat, said plainly: I know IDEA, IEP, IFSP, 504, and state SpEd regulation cold, and I have audited it across multiple districts and private schools. Most AI-IEP tools fail on the modification-vs-accommodation distinction and on documenting the violated clause — I catch that.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Hands-on AI adopter: completed "Generative AI for Educators" (Google/ISTE, 2026); routinely use ChatGPT and Claude in my consulting workflow to draft, summarize source documents, and stress-test rubrics. I have run AI-drafted IEP language against IDEA standards and can bring that diagnostic lens into product and spec work from day one.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Company-building track record: founded and operated Olver Consulting since 2019 — solo lead-gen, client acquisition, proposal writing, and delivery — running a sales pipeline and closing engagements without institutional support while teaching full time. That is the GTM muscle this company needs.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Velocity with outcomes: co-designed a 6-to-8-week intervention process that cut SpEd referrals 60%; ran multiple competitive OSPI contracts concurrently on tight delivery cycles.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Buyer credibility: 15+ years of relationships with the superintendents and SpEd directors who hold real district budgets — the trust signal that wins pilots and survives a procurement room.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Research that does product work: EdD with Dissertation of the Year (Gonzaga, 2025) gives credible white-paper and pilot-design authority; AERA/UCEA-vetted output means efficacy claims survive academic scrutiny in front of a buyer.</w:t>
      </w:r>
    </w:p>
    <w:p>
      <w:pPr>
        <w:spacing w:before="240" w:after="100"/>
      </w:pPr>
      <w:r>
        <w:rPr>
          <w:rFonts w:ascii="Calibri" w:hAnsi="Calibri"/>
          <w:b/>
          <w:sz w:val="22"/>
        </w:rPr>
        <w:t>WHERE I WANT TO BUILD</w:t>
      </w:r>
    </w:p>
    <w:p>
      <w:pPr>
        <w:spacing w:after="80"/>
      </w:pPr>
      <w:r>
        <w:rPr>
          <w:rFonts w:ascii="Calibri" w:hAnsi="Calibri"/>
          <w:b w:val="0"/>
          <w:sz w:val="21"/>
        </w:rPr>
        <w:t>The founding bet is AI-assisted IEP writing and compliance tooling for SpEd teams — one named stake, not an option space. The builders who attempt this do not know IDEA; I do, and I have documented the recurring failure pattern firsthand. Neurodivergent-first AI tutors and district-side AI governance are adjacent markets I understand — but they are adjacencies, not the founding company.</w:t>
      </w:r>
    </w:p>
    <w:p>
      <w:pPr>
        <w:spacing w:before="240" w:after="100"/>
      </w:pPr>
      <w:r>
        <w:rPr>
          <w:rFonts w:ascii="Calibri" w:hAnsi="Calibri"/>
          <w:b/>
          <w:sz w:val="22"/>
        </w:rPr>
        <w:t>SELECTED EXPERIENCE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Independent Consultant</w:t>
      </w:r>
      <w:r>
        <w:rPr>
          <w:rFonts w:ascii="Calibri" w:hAnsi="Calibri"/>
          <w:b w:val="0"/>
          <w:sz w:val="22"/>
        </w:rPr>
        <w:t xml:space="preserve"> — OSPI-Funded Contracts — Olver Consulting</w:t>
      </w:r>
      <w:r>
        <w:rPr>
          <w:rFonts w:ascii="Calibri" w:hAnsi="Calibri"/>
          <w:b w:val="0"/>
          <w:sz w:val="20"/>
        </w:rPr>
        <w:t xml:space="preserve">  |  Washington State  •  2023 – Present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Win and run multiple competitive funder contracts concurrently on tight deliverables across cross-sector partners.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Design and ship family programs end-to-end — research, curriculum, facilitation, evaluation — with no hand-off.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Operate independently across legal, programmatic, and financial requirements — no employer scaffolding.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Educational Consultant</w:t>
      </w:r>
      <w:r>
        <w:rPr>
          <w:rFonts w:ascii="Calibri" w:hAnsi="Calibri"/>
          <w:b w:val="0"/>
          <w:sz w:val="22"/>
        </w:rPr>
        <w:t xml:space="preserve"> — Compliance Auditor &amp; Trainer — Olver Consulting</w:t>
      </w:r>
      <w:r>
        <w:rPr>
          <w:rFonts w:ascii="Calibri" w:hAnsi="Calibri"/>
          <w:b w:val="0"/>
          <w:sz w:val="20"/>
        </w:rPr>
        <w:t xml:space="preserve">  |  Seattle, WA  •  2019 – Present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Founded and operated a solo consulting practice for six years alongside full-time teaching — lead-gen, proposals, client delivery, and unsteady 1099 income, by choice, against a teaching salary.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Audit IEP/504/IDEA compliance across districts and private schools; write defensible findings with corrective recommendations against federal statute.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Facilitate PD for groups of 10-60 across districts — implementation is where edtech wins or loses.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Special Education Teacher, K-5</w:t>
      </w:r>
      <w:r>
        <w:rPr>
          <w:rFonts w:ascii="Calibri" w:hAnsi="Calibri"/>
          <w:b w:val="0"/>
          <w:sz w:val="22"/>
        </w:rPr>
        <w:t xml:space="preserve"> — Auburn School District</w:t>
      </w:r>
      <w:r>
        <w:rPr>
          <w:rFonts w:ascii="Calibri" w:hAnsi="Calibri"/>
          <w:b w:val="0"/>
          <w:sz w:val="20"/>
        </w:rPr>
        <w:t xml:space="preserve">  |  Auburn, WA  •  2013 – 2025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Co-designed a 6-to-8-week documented intervention process that reduced SpEd referrals 60% — a process built to move a metric.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Led restructuring and PD, designed and delivered over one academic year, that moved 88% of students into general-education settings for the majority of the day.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Supervised and trained teams of up to 8 staff; served as compliance monitor across 3 school sites.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Special Education Teacher, Early Childhood</w:t>
      </w:r>
      <w:r>
        <w:rPr>
          <w:rFonts w:ascii="Calibri" w:hAnsi="Calibri"/>
          <w:b w:val="0"/>
          <w:sz w:val="22"/>
        </w:rPr>
        <w:t xml:space="preserve"> — Kent School District</w:t>
      </w:r>
      <w:r>
        <w:rPr>
          <w:rFonts w:ascii="Calibri" w:hAnsi="Calibri"/>
          <w:b w:val="0"/>
          <w:sz w:val="20"/>
        </w:rPr>
        <w:t xml:space="preserve">  |  Kent, WA  •  2025 – Present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Current daily classroom practice keeps me close to the user — direct input for product roadmap and design-partner relationships.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Case Manager, Adult Mental Health</w:t>
      </w:r>
      <w:r>
        <w:rPr>
          <w:rFonts w:ascii="Calibri" w:hAnsi="Calibri"/>
          <w:b w:val="0"/>
          <w:sz w:val="22"/>
        </w:rPr>
        <w:t xml:space="preserve"> — Comprehensive Mental Health of Yakima</w:t>
      </w:r>
      <w:r>
        <w:rPr>
          <w:rFonts w:ascii="Calibri" w:hAnsi="Calibri"/>
          <w:b w:val="0"/>
          <w:sz w:val="20"/>
        </w:rPr>
        <w:t xml:space="preserve">  |  Yakima, WA  •  2007 – 2010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Managed a $350K program budget and 40+ client caseload — early operating experience well before the EdD.</w:t>
      </w:r>
    </w:p>
    <w:p>
      <w:pPr>
        <w:spacing w:before="240" w:after="100"/>
      </w:pPr>
      <w:r>
        <w:rPr>
          <w:rFonts w:ascii="Calibri" w:hAnsi="Calibri"/>
          <w:b/>
          <w:sz w:val="22"/>
        </w:rPr>
        <w:t>DOMAIN WRITING &amp; APPLIED RESEARCH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AERA 2026 (Los Angeles) — two accepted sessions on inclusive principal preparation; AERA 2025 (Denver) — paper session on K-12 strategic leadership.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UCEA 2024 (Los Angeles) — two paper sessions on SpEd policy and leader preparation; guest lectures at Pacific Lutheran, Western Washington University, and Kent School District (2024-2025).</w:t>
      </w:r>
    </w:p>
    <w:p>
      <w:pPr>
        <w:spacing w:before="240" w:after="100"/>
      </w:pPr>
      <w:r>
        <w:rPr>
          <w:rFonts w:ascii="Calibri" w:hAnsi="Calibri"/>
          <w:b/>
          <w:sz w:val="22"/>
        </w:rPr>
        <w:t>EDUCATION &amp; RECOGNITION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Doctorate in Educational Leadership and Administration (EdD) — Gonzaga University, 2025; Dissertation of the Year.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Master of Arts in Special Education — University of Alaska, 2013; BA, Art Instruction for Exceptional Children — Central Washington University, 2007.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Emerging Scholar Award — University Council for Educational Administration, 2024.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