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Most AI in schools is built for the median student. I help districts make it work for the 14% it currently fails — and stay IDEA-compliant doing it.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WHAT I BUILD</w:t>
      </w:r>
    </w:p>
    <w:p>
      <w:pPr>
        <w:spacing w:after="80"/>
      </w:pPr>
      <w:r>
        <w:rPr>
          <w:rFonts w:ascii="Calibri" w:hAnsi="Calibri"/>
          <w:b w:val="0"/>
          <w:sz w:val="21"/>
        </w:rPr>
        <w:t>Productized PD and cohort programs for special education directors and the leaders who answer to them. 17 years in special education — IEP teams, IDEA compliance audits across multiple districts, currently teaching in Kent SD classrooms. Independent consulting since 2019; OSPI-funded contracts since 2023; paid speaking across K-12 and university settings. The EdD and Gonzaga Dissertation of the Year are the credibility layer behind a practice that already has paying clients — not the lead. PDA / complex autism specialist; IDEA compliance auditor.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PRIMARY BUYER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Special education directors and coordinators at districts now under a state AI mandate or guidance (35+ states and counting).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Principals whose inclusion practice is under scrutiny and who need a defensible AI stance.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SpEd teams who must evaluate AI tools against IDEA requirements before the next compliance review.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COHORT — AI COMPLIANCE FOR SPECIAL EDUCATION DIRECTORS</w:t>
      </w:r>
    </w:p>
    <w:p>
      <w:pPr>
        <w:spacing w:after="80"/>
      </w:pPr>
      <w:r>
        <w:rPr>
          <w:rFonts w:ascii="Calibri" w:hAnsi="Calibri"/>
          <w:b w:val="0"/>
          <w:sz w:val="21"/>
        </w:rPr>
        <w:t>A 4-week cohort. 90 minutes of live session per week; recordings posted within 24 hours; async-friendly for a director's two-hour week.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 draft of the special-education section of your district's AI policy.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an IDEA-compliance checklist for AI-assisted IEP tools.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 vendor-evaluation rubric for screening AI products against accessibility and IDEA requirements.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You leave with: an IEP-team communication script for introducing AI tools to families and staff.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Cohort 2: Inclusive AI Leadership for Principals — same thesis, leadership audience. The book carries the same argument, durably.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OTHER FORMATS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Keynotes (30-60 min) on inclusive leadership and AI for the underserved learner — conferences, district convenings, university forums.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Half- and full-day workshops (10-60 participants) for SpEd and leadership teams.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Family-facing learning series on PDA, regulation, and navigating SpEd systems.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THE THESIS</w:t>
      </w:r>
    </w:p>
    <w:p>
      <w:pPr>
        <w:spacing w:after="80"/>
      </w:pPr>
      <w:r>
        <w:rPr>
          <w:rFonts w:ascii="Calibri" w:hAnsi="Calibri"/>
          <w:b w:val="0"/>
          <w:sz w:val="21"/>
        </w:rPr>
        <w:t>One argument, three audiences, repeatable: the special-education student is the test case AI keeps failing — and the fix is leadership and compliance design, not a better model. The cohort spine, the keynotes, and the book are the same claim at three durations.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SIGNATURE TALKS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Special Education Is Not a Place — rethinking placement, inclusion, and identity in K-12.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 for the Other 14% — making AI tools work for special education students, and staying IDEA-compliant.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Living with PDA — a practical, neurodiversity-affirming framework for educators and families.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Inclusive Leadership Is Not Optional — why principal preparation must change.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PROOF &amp; CADENCE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Paying clients since 2019: private-school and early-childhood IDEA compliance audits; OSPI-funded contracts since 2023.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2026, Los Angeles — two accepted sessions on inclusive principal preparation; AERA 2025, Denver; UCEA 2024, Los Angeles.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Kent School District — guest presenter on District-Wide MTSS, Equity, and Inclusion (Oct 2025).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Building a weekly LinkedIn / newsletter cadence on SpEd-and-AI compliance — concrete, thesis-driven, published consistently between engagements.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EMERGING TOPIC — AI FOR SPED EDUCATORS</w:t>
      </w:r>
    </w:p>
    <w:p>
      <w:pPr>
        <w:spacing w:after="80"/>
      </w:pPr>
      <w:r>
        <w:rPr>
          <w:rFonts w:ascii="Calibri" w:hAnsi="Calibri"/>
          <w:b w:val="0"/>
          <w:sz w:val="21"/>
        </w:rPr>
        <w:t>Completed "Generative AI for Educators" (Google/ISTE) in 2026 and uses ChatGPT and Claude routinely in consulting and PD-prep workflow. This is practitioner-level fluency, not technical depth — enough to deliver an honest, hands-on AI-for-SpEd session that names the compliance traps, not hype.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CREDENTIAL LAYER</w:t>
      </w:r>
    </w:p>
    <w:p>
      <w:pPr>
        <w:spacing w:after="80"/>
      </w:pPr>
      <w:r>
        <w:rPr>
          <w:rFonts w:ascii="Calibri" w:hAnsi="Calibri"/>
          <w:b w:val="0"/>
          <w:sz w:val="21"/>
        </w:rPr>
        <w:t>EdD, Educational Leadership — Gonzaga University, 2025 (Dissertation of the Year)  •  MA, Special Education — University of Alaska, 2013  •  Emerging Scholar, UCEA, 2024  •  17 years K-12 special education practice.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