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sz w:val="40"/>
        </w:rPr>
        <w:t>Catherine Olver, EdD</w:t>
      </w:r>
    </w:p>
    <w:p>
      <w:pPr>
        <w:spacing w:after="40"/>
        <w:jc w:val="center"/>
      </w:pPr>
      <w:r>
        <w:rPr>
          <w:rFonts w:ascii="Calibri" w:hAnsi="Calibri"/>
          <w:b w:val="0"/>
          <w:sz w:val="22"/>
        </w:rPr>
        <w:t>Learning Experience Designer — SpEd &amp; early-childhood edtech · complex/PDA autism · practitioner-researcher</w:t>
      </w:r>
    </w:p>
    <w:p>
      <w:pPr>
        <w:spacing w:after="160"/>
        <w:jc w:val="center"/>
      </w:pPr>
      <w:r>
        <w:rPr>
          <w:rFonts w:ascii="Calibri" w:hAnsi="Calibri"/>
          <w:b w:val="0"/>
          <w:sz w:val="20"/>
        </w:rPr>
        <w:t>Algona, WA  •  253.335.9805  •  CEOlverThompson@alaska.edu  •  LinkedIn: linkedin.com/in/catherineolver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PROFILE</w:t>
      </w:r>
    </w:p>
    <w:p>
      <w:pPr>
        <w:spacing w:after="80"/>
      </w:pPr>
      <w:r>
        <w:rPr>
          <w:rFonts w:ascii="Calibri" w:hAnsi="Calibri"/>
          <w:b w:val="0"/>
          <w:sz w:val="21"/>
        </w:rPr>
        <w:t>Special education specialist with 15+ years designing for complex autism, early-childhood SpEd, and IEP/IDEA compliance — a practitioner-researcher who builds learning experiences for the children mainstream edtech leaves behind. Deep fluency in atypical development (complex autism/PDA, sensory and motor divergence, trauma-affected learners) means the curriculum and content I design holds up across the full range of how children actually grow. Years of designing replicable intervention frameworks and PD programs — built once, revised on feedback, used by others — translate directly to content design that has to scale. Now targeting curriculum and learning-design roles in SpEd-focused and early-childhood edtech: bringing domain depth that takes years to build, a practitioner's feel for what works with real kids, and a researcher's frame for knowing why.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WHAT I BRING TO A LEARNING-DESIGN TEAM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Rare, unfakeable domain depth: complex autism and PDA, early-childhood SpEd (ages 3-5), and developmental range across motor, language, and social-emotional domains — the niche general-ed designers cannot cover.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Replicable design artifacts: built a documented 6-8 week intervention framework and PD curricula intended for other practitioners to run, not one-off delivery.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Iteration instinct: years of revising instructional content and routines based on observed learner response and family feedback — tight feedback loops across 35-51 children per year.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Compliance design as a craft: audited IEP/504/IDEA programs across multiple districts and private schools, identified systemic gaps, and authored remediation frameworks adopted by those programs.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Family-facing communication: translating developmental complexity into concrete, jargon-free home strategies — the same skill consumer-facing edtech content depends on.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Research grounding for data-leaning teams: EdD, Dissertation of the Year, and a peer-reviewed AERA/UCEA record — qualitative and practitioner-research, not causal-inference methods.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AI-in-education literacy: completed "Generative AI for Educators" (2026); routinely uses ChatGPT/Claude in consulting and PD-prep work to draft, summarize sources, and stress-test rubrics.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AREAS OF EXPERTISE</w:t>
      </w:r>
    </w:p>
    <w:p>
      <w:pPr>
        <w:spacing w:after="80"/>
      </w:pPr>
      <w:r>
        <w:rPr>
          <w:rFonts w:ascii="Calibri" w:hAnsi="Calibri"/>
          <w:b w:val="0"/>
          <w:sz w:val="21"/>
        </w:rPr>
        <w:t>Curriculum &amp; content design (PreK-12)  ·  Complex autism &amp; PDA  ·  Early-childhood developmental learning (ages 3-5)  ·  Developmental milestone sequencing  ·  Play-based &amp; naturalistic instruction  ·  Behavior support &amp; ABA  ·  Trauma-informed practice  ·  MTSS / RTI design  ·  Replicable intervention frameworks  ·  Family communication &amp; parent coaching  ·  Accessibility &amp; neurodiversity-affirming design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SELECTED EXPERIENCE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Special Education Teacher, Early Childhood</w:t>
      </w:r>
      <w:r>
        <w:rPr>
          <w:rFonts w:ascii="Calibri" w:hAnsi="Calibri"/>
          <w:b w:val="0"/>
          <w:sz w:val="22"/>
        </w:rPr>
        <w:t xml:space="preserve"> — Kent School District</w:t>
      </w:r>
      <w:r>
        <w:rPr>
          <w:rFonts w:ascii="Calibri" w:hAnsi="Calibri"/>
          <w:b w:val="0"/>
          <w:sz w:val="20"/>
        </w:rPr>
        <w:t xml:space="preserve">  |  Kent, WA  •  2025 – Present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Design and run early-childhood programs for ages 3-5 — building individualized, play-based developmental sequences across motor, language, and social-emotional domains.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Revise instructional routines and content based on observed child response and family feedback — tight iteration cycles across diverse developmental profiles.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Partner daily with families to translate developmental progress into concrete, actionable home strategies in accessible language, not clinical jargon.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Special Education Teacher, K-5</w:t>
      </w:r>
      <w:r>
        <w:rPr>
          <w:rFonts w:ascii="Calibri" w:hAnsi="Calibri"/>
          <w:b w:val="0"/>
          <w:sz w:val="22"/>
        </w:rPr>
        <w:t xml:space="preserve"> — Auburn School District</w:t>
      </w:r>
      <w:r>
        <w:rPr>
          <w:rFonts w:ascii="Calibri" w:hAnsi="Calibri"/>
          <w:b w:val="0"/>
          <w:sz w:val="20"/>
        </w:rPr>
        <w:t xml:space="preserve">  |  Auburn, WA  •  2013 – 2025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Co-designed and piloted a 6-8 week structured intervention — documented, replicable across classrooms; district outcome data showed a 60% reduction in SpEd referrals vs. prior-year baseline.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Restructuring and PD work moved 88% of students receiving services into general-education placement for the majority of the day.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Managed caseloads of 35-51 students per year while supervising and training teams of up to 8 staff; contributed to district-wide MTSS and behavior-support design.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Educational Consultant</w:t>
      </w:r>
      <w:r>
        <w:rPr>
          <w:rFonts w:ascii="Calibri" w:hAnsi="Calibri"/>
          <w:b w:val="0"/>
          <w:sz w:val="22"/>
        </w:rPr>
        <w:t xml:space="preserve"> — Compliance Auditor &amp; Designer — Olver Consulting</w:t>
      </w:r>
      <w:r>
        <w:rPr>
          <w:rFonts w:ascii="Calibri" w:hAnsi="Calibri"/>
          <w:b w:val="0"/>
          <w:sz w:val="20"/>
        </w:rPr>
        <w:t xml:space="preserve">  |  Seattle, WA  •  2019 – Present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Conducted IEP/504/IDEA compliance audits across multiple private school and early-childhood settings; identified systemic gaps and authored remediation frameworks adopted by those programs.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Designed and revised PD curricula for groups of 10-60, iterating program content based on participant feedback; speaking and writing on inclusive practice and complex autism.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Independent Consultant</w:t>
      </w:r>
      <w:r>
        <w:rPr>
          <w:rFonts w:ascii="Calibri" w:hAnsi="Calibri"/>
          <w:b w:val="0"/>
          <w:sz w:val="22"/>
        </w:rPr>
        <w:t xml:space="preserve"> — OSPI-Funded Contracts — Olver Consulting</w:t>
      </w:r>
      <w:r>
        <w:rPr>
          <w:rFonts w:ascii="Calibri" w:hAnsi="Calibri"/>
          <w:b w:val="0"/>
          <w:sz w:val="20"/>
        </w:rPr>
        <w:t xml:space="preserve">  |  Washington State  •  2023 – Present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Designed learning experiences for families of children on the autism spectrum and historically underserved communities; conducted qualitative inquiry and translated findings into iterative program improvements.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Special Education Teacher, Grades 6-12</w:t>
      </w:r>
      <w:r>
        <w:rPr>
          <w:rFonts w:ascii="Calibri" w:hAnsi="Calibri"/>
          <w:b w:val="0"/>
          <w:sz w:val="22"/>
        </w:rPr>
        <w:t xml:space="preserve"> — Fairbanks Native Association</w:t>
      </w:r>
      <w:r>
        <w:rPr>
          <w:rFonts w:ascii="Calibri" w:hAnsi="Calibri"/>
          <w:b w:val="0"/>
          <w:sz w:val="20"/>
        </w:rPr>
        <w:t xml:space="preserve">  |  Fairbanks, AK  •  2010 – 2012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Delivered culturally responsive, trauma-informed instruction for a caseload of 12-16 students; designed inclusion and autism PD for groups of 10-60 educators.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EDUCATION &amp; RECOGNITION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Doctorate in Educational Leadership and Administration (EdD) — Gonzaga University, 2025; Dissertation of the Year.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Master of Arts in Special Education — University of Alaska, 2013.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Bachelor of Arts in Art Instruction for Exceptional Children — Central Washington University, 2007.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Emerging Scholar Award — University Council for Educational Administration, 2024; accepted AERA/UCEA sessions 2024-2026.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