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0"/>
        </w:rPr>
        <w:t>Catherine Olver, EdD</w:t>
      </w:r>
    </w:p>
    <w:p>
      <w:pPr>
        <w:spacing w:after="40"/>
        <w:jc w:val="center"/>
      </w:pPr>
      <w:r>
        <w:rPr>
          <w:rFonts w:ascii="Calibri" w:hAnsi="Calibri"/>
          <w:b w:val="0"/>
          <w:sz w:val="22"/>
        </w:rPr>
        <w:t>Special education compliance consulting  |  IEP/IDEA audits  •  AI governance for SpEd  •  Inclusive practice PD</w:t>
      </w:r>
    </w:p>
    <w:p>
      <w:pPr>
        <w:spacing w:after="160"/>
        <w:jc w:val="center"/>
      </w:pPr>
      <w:r>
        <w:rPr>
          <w:rFonts w:ascii="Calibri" w:hAnsi="Calibri"/>
          <w:b w:val="0"/>
          <w:sz w:val="20"/>
        </w:rPr>
        <w:t>Algona, WA  •  253.335.9805  •  CEOlverThompson@alaska.edu  •  LinkedIn: linkedin.com/in/catherineolver</w:t>
      </w:r>
    </w:p>
    <w:p>
      <w:pPr>
        <w:spacing w:before="240" w:after="100"/>
      </w:pPr>
      <w:r>
        <w:rPr>
          <w:rFonts w:ascii="Calibri" w:hAnsi="Calibri"/>
          <w:b/>
          <w:sz w:val="22"/>
        </w:rPr>
        <w:t>WHAT I DO FOR SCHOOLS AND DISTRICTS</w:t>
      </w:r>
    </w:p>
    <w:p>
      <w:pPr>
        <w:spacing w:after="80"/>
      </w:pPr>
      <w:r>
        <w:rPr>
          <w:rFonts w:ascii="Calibri" w:hAnsi="Calibri"/>
          <w:b w:val="0"/>
          <w:sz w:val="21"/>
        </w:rPr>
        <w:t>17 years as a special education practitioner — complex autism, PDA, trauma-informed practice, early childhood — now in my sixth year of independent consulting. I help K-12 districts and private schools keep special education compliant, defensible, and survivable under a state monitor's review. Compliance is my day job, which is why I am also the right author for AI policy in a district that serves disabled students: AI governance there has to be compliance-grade, not just pedagogically sound. I work with superintendents, special education directors, principals, and instructional leadership teams.</w:t>
      </w:r>
    </w:p>
    <w:p>
      <w:pPr>
        <w:spacing w:before="240" w:after="100"/>
      </w:pPr>
      <w:r>
        <w:rPr>
          <w:rFonts w:ascii="Calibri" w:hAnsi="Calibri"/>
          <w:b/>
          <w:sz w:val="22"/>
        </w:rPr>
        <w:t>ENGAGEMENT AREAS</w:t>
      </w:r>
    </w:p>
    <w:p>
      <w:pPr>
        <w:pStyle w:val="ListBullet"/>
        <w:spacing w:after="60"/>
      </w:pPr>
      <w:r>
        <w:rPr>
          <w:rFonts w:ascii="Calibri" w:hAnsi="Calibri"/>
          <w:b w:val="0"/>
          <w:sz w:val="21"/>
        </w:rPr>
        <w:t>Special education compliance audits — IEP, 504, and IDEA audits across documentation, practice, and physical safety; multi-site. Deliverable: a compliance audit report, a prioritized findings list with IDEA-exposure flags by site, and a board-ready summary structured to survive state monitoring.</w:t>
      </w:r>
    </w:p>
    <w:p>
      <w:pPr>
        <w:pStyle w:val="ListBullet"/>
        <w:spacing w:after="60"/>
      </w:pPr>
      <w:r>
        <w:rPr>
          <w:rFonts w:ascii="Calibri" w:hAnsi="Calibri"/>
          <w:b w:val="0"/>
          <w:sz w:val="21"/>
        </w:rPr>
        <w:t>District AI governance &amp; policy authoring — board-adoptable AI policy plus companion administrative regulation, integrating FERPA, LRE, and IDEA obligations into vendor evaluation and ongoing governance. Engagement includes stakeholder input sessions (board work session, union touchpoint, parent advisory) and first/second-reading support. Model AI policy and administrative-regulation template, adoption-ready, available for review on request.</w:t>
      </w:r>
    </w:p>
    <w:p>
      <w:pPr>
        <w:pStyle w:val="ListBullet"/>
        <w:spacing w:after="60"/>
      </w:pPr>
      <w:r>
        <w:rPr>
          <w:rFonts w:ascii="Calibri" w:hAnsi="Calibri"/>
          <w:b w:val="0"/>
          <w:sz w:val="21"/>
        </w:rPr>
        <w:t>AI literacy for teachers and paraprofessionals — a practical half- or full-day staff PD session, not a policy overview. Teachers leave with three tools they open Monday for IEP documentation, behavior tracking, and differentiation, plus a SpEd-specific AI guide.</w:t>
      </w:r>
    </w:p>
    <w:p>
      <w:pPr>
        <w:pStyle w:val="ListBullet"/>
        <w:spacing w:after="60"/>
      </w:pPr>
      <w:r>
        <w:rPr>
          <w:rFonts w:ascii="Calibri" w:hAnsi="Calibri"/>
          <w:b w:val="0"/>
          <w:sz w:val="21"/>
        </w:rPr>
        <w:t>Inclusive practice &amp; complex-autism PD — workshops and series on PDA autism, trauma-informed practice, MTSS, and culturally responsive instruction. Groups of 10-60. Teachers leave with co-teaching protocols, an MTSS tier-screening tool, and a behavior-support planning template — no abstract frameworks.</w:t>
      </w:r>
    </w:p>
    <w:p>
      <w:pPr>
        <w:pStyle w:val="ListBullet"/>
        <w:spacing w:after="60"/>
      </w:pPr>
      <w:r>
        <w:rPr>
          <w:rFonts w:ascii="Calibri" w:hAnsi="Calibri"/>
          <w:b w:val="0"/>
          <w:sz w:val="21"/>
        </w:rPr>
        <w:t>Inclusive leadership coaching &amp; family-engagement design — principal preparation, instructional leadership coaching, and family-facing programs on regulation, child development, and navigating systems.</w:t>
      </w:r>
    </w:p>
    <w:p>
      <w:pPr>
        <w:spacing w:before="240" w:after="100"/>
      </w:pPr>
      <w:r>
        <w:rPr>
          <w:rFonts w:ascii="Calibri" w:hAnsi="Calibri"/>
          <w:b/>
          <w:sz w:val="22"/>
        </w:rPr>
        <w:t>RECENT ENGAGEMENTS</w:t>
      </w:r>
    </w:p>
    <w:p>
      <w:pPr>
        <w:pStyle w:val="ListBullet"/>
        <w:spacing w:after="60"/>
      </w:pPr>
      <w:r>
        <w:rPr>
          <w:rFonts w:ascii="Calibri" w:hAnsi="Calibri"/>
          <w:b w:val="0"/>
          <w:sz w:val="21"/>
        </w:rPr>
        <w:t>OSPI-funded contracts, 2023-Present — active state-funded community programming for autism families, single parents, and historically underserved communities.</w:t>
      </w:r>
    </w:p>
    <w:p>
      <w:pPr>
        <w:pStyle w:val="ListBullet"/>
        <w:spacing w:after="60"/>
      </w:pPr>
      <w:r>
        <w:rPr>
          <w:rFonts w:ascii="Calibri" w:hAnsi="Calibri"/>
          <w:b w:val="0"/>
          <w:sz w:val="21"/>
        </w:rPr>
        <w:t>Private school and early-childhood compliance audits, 2019-Present — IEP, 504, and IDEA documentation review with corrective recommendations across multiple sites.</w:t>
      </w:r>
    </w:p>
    <w:p>
      <w:pPr>
        <w:pStyle w:val="ListBullet"/>
        <w:spacing w:after="60"/>
      </w:pPr>
      <w:r>
        <w:rPr>
          <w:rFonts w:ascii="Calibri" w:hAnsi="Calibri"/>
          <w:b w:val="0"/>
          <w:sz w:val="21"/>
        </w:rPr>
        <w:t>Model district AI policy and administrative-regulation template — adoption-ready draft, available for review on request.</w:t>
      </w:r>
    </w:p>
    <w:p>
      <w:pPr>
        <w:pStyle w:val="ListBullet"/>
        <w:spacing w:after="60"/>
      </w:pPr>
      <w:r>
        <w:rPr>
          <w:rFonts w:ascii="Calibri" w:hAnsi="Calibri"/>
          <w:b w:val="0"/>
          <w:sz w:val="21"/>
        </w:rPr>
        <w:t>Kent School District, Oct 2025 — District-Wide MTSS and inclusive practice presenter; references available from district SpEd and curriculum staff.</w:t>
      </w:r>
    </w:p>
    <w:p>
      <w:pPr>
        <w:pStyle w:val="ListBullet"/>
        <w:spacing w:after="60"/>
      </w:pPr>
      <w:r>
        <w:rPr>
          <w:rFonts w:ascii="Calibri" w:hAnsi="Calibri"/>
          <w:b w:val="0"/>
          <w:sz w:val="21"/>
        </w:rPr>
        <w:t>Western Washington University Forum, Mar 2025 — panelist, Inclusion and Leadership in K-12 Public Schools.</w:t>
      </w:r>
    </w:p>
    <w:p>
      <w:pPr>
        <w:pStyle w:val="ListBullet"/>
        <w:spacing w:after="60"/>
      </w:pPr>
      <w:r>
        <w:rPr>
          <w:rFonts w:ascii="Calibri" w:hAnsi="Calibri"/>
          <w:b w:val="0"/>
          <w:sz w:val="21"/>
        </w:rPr>
        <w:t>Pacific Lutheran University, Jan 2024 — guest lecturer, "Special Education is Not a Place."</w:t>
      </w:r>
    </w:p>
    <w:p>
      <w:pPr>
        <w:spacing w:before="240" w:after="100"/>
      </w:pPr>
      <w:r>
        <w:rPr>
          <w:rFonts w:ascii="Calibri" w:hAnsi="Calibri"/>
          <w:b/>
          <w:sz w:val="22"/>
        </w:rPr>
        <w:t>OUTCOMES FROM DIRECT PRACTICE</w:t>
      </w:r>
    </w:p>
    <w:p>
      <w:pPr>
        <w:pStyle w:val="ListBullet"/>
        <w:spacing w:after="60"/>
      </w:pPr>
      <w:r>
        <w:rPr>
          <w:rFonts w:ascii="Calibri" w:hAnsi="Calibri"/>
          <w:b w:val="0"/>
          <w:sz w:val="21"/>
        </w:rPr>
        <w:t>Inclusion overhaul: after restructuring and PD work, 88% of students receiving services spent the majority of their day in general education.</w:t>
      </w:r>
    </w:p>
    <w:p>
      <w:pPr>
        <w:pStyle w:val="ListBullet"/>
        <w:spacing w:after="60"/>
      </w:pPr>
      <w:r>
        <w:rPr>
          <w:rFonts w:ascii="Calibri" w:hAnsi="Calibri"/>
          <w:b w:val="0"/>
          <w:sz w:val="21"/>
        </w:rPr>
        <w:t>Intervention process: a documented 6-to-8-week protocol reduced special education referrals by 60%.</w:t>
      </w:r>
    </w:p>
    <w:p>
      <w:pPr>
        <w:pStyle w:val="ListBullet"/>
        <w:spacing w:after="60"/>
      </w:pPr>
      <w:r>
        <w:rPr>
          <w:rFonts w:ascii="Calibri" w:hAnsi="Calibri"/>
          <w:b w:val="0"/>
          <w:sz w:val="21"/>
        </w:rPr>
        <w:t>Compliance audits across multiple districts and private schools, with documented gains in IEP and 504 accuracy.</w:t>
      </w:r>
    </w:p>
    <w:p>
      <w:pPr>
        <w:pStyle w:val="ListBullet"/>
        <w:spacing w:after="60"/>
      </w:pPr>
      <w:r>
        <w:rPr>
          <w:rFonts w:ascii="Calibri" w:hAnsi="Calibri"/>
          <w:b w:val="0"/>
          <w:sz w:val="21"/>
        </w:rPr>
        <w:t>Trained groups of 10-60 educators, leaders, and paraprofessionals across multiple districts.</w:t>
      </w:r>
    </w:p>
    <w:p>
      <w:pPr>
        <w:spacing w:before="240" w:after="100"/>
      </w:pPr>
      <w:r>
        <w:rPr>
          <w:rFonts w:ascii="Calibri" w:hAnsi="Calibri"/>
          <w:b/>
          <w:sz w:val="22"/>
        </w:rPr>
        <w:t>CREDENTIALS</w:t>
      </w:r>
    </w:p>
    <w:p>
      <w:pPr>
        <w:pStyle w:val="ListBullet"/>
        <w:spacing w:after="60"/>
      </w:pPr>
      <w:r>
        <w:rPr>
          <w:rFonts w:ascii="Calibri" w:hAnsi="Calibri"/>
          <w:b w:val="0"/>
          <w:sz w:val="21"/>
        </w:rPr>
        <w:t>17 years of K-12 special education practice across early childhood, K-5, and 6-12 settings; six years of independent consulting.</w:t>
      </w:r>
    </w:p>
    <w:p>
      <w:pPr>
        <w:pStyle w:val="ListBullet"/>
        <w:spacing w:after="60"/>
      </w:pPr>
      <w:r>
        <w:rPr>
          <w:rFonts w:ascii="Calibri" w:hAnsi="Calibri"/>
          <w:b w:val="0"/>
          <w:sz w:val="21"/>
        </w:rPr>
        <w:t>EdD, Educational Leadership and Administration — Gonzaga University, 2025 (Dissertation of the Year) — research grounded in real classroom experience on emotional labor, special education, and communication in leadership.</w:t>
      </w:r>
    </w:p>
    <w:p>
      <w:pPr>
        <w:pStyle w:val="ListBullet"/>
        <w:spacing w:after="60"/>
      </w:pPr>
      <w:r>
        <w:rPr>
          <w:rFonts w:ascii="Calibri" w:hAnsi="Calibri"/>
          <w:b w:val="0"/>
          <w:sz w:val="21"/>
        </w:rPr>
        <w:t>MA, Special Education — University of Alaska, 2013.</w:t>
      </w:r>
    </w:p>
    <w:p>
      <w:pPr>
        <w:pStyle w:val="ListBullet"/>
        <w:spacing w:after="60"/>
      </w:pPr>
      <w:r>
        <w:rPr>
          <w:rFonts w:ascii="Calibri" w:hAnsi="Calibri"/>
          <w:b w:val="0"/>
          <w:sz w:val="21"/>
        </w:rPr>
        <w:t>Generative AI for Educators completion certificate; a routine user of general-purpose AI assistants in my own consulting and PD-prep workflow.</w:t>
      </w:r>
    </w:p>
    <w:p>
      <w:pPr>
        <w:pStyle w:val="ListBullet"/>
        <w:spacing w:after="60"/>
      </w:pPr>
      <w:r>
        <w:rPr>
          <w:rFonts w:ascii="Calibri" w:hAnsi="Calibri"/>
          <w:b w:val="0"/>
          <w:sz w:val="21"/>
        </w:rPr>
        <w:t>Research on inclusive leadership cited at AERA 2024-2026 and UCEA 2024 — the evidence base underlying my compliance and policy work.</w:t>
      </w:r>
    </w:p>
    <w:p>
      <w:pPr>
        <w:pStyle w:val="ListBullet"/>
        <w:spacing w:after="60"/>
      </w:pPr>
      <w:r>
        <w:rPr>
          <w:rFonts w:ascii="Calibri" w:hAnsi="Calibri"/>
          <w:b w:val="0"/>
          <w:sz w:val="21"/>
        </w:rPr>
        <w:t>References available: peer administrators, OSPI contacts, and SpEd directors at prior engagement sites.</w:t>
      </w:r>
    </w:p>
    <w:p>
      <w:pPr>
        <w:spacing w:before="240" w:after="100"/>
      </w:pPr>
      <w:r>
        <w:rPr>
          <w:rFonts w:ascii="Calibri" w:hAnsi="Calibri"/>
          <w:b/>
          <w:sz w:val="22"/>
        </w:rPr>
        <w:t>ENGAGEMENT FORMATS &amp; SCOPE</w:t>
      </w:r>
    </w:p>
    <w:p>
      <w:pPr>
        <w:pStyle w:val="ListBullet"/>
        <w:spacing w:after="60"/>
      </w:pPr>
      <w:r>
        <w:rPr>
          <w:rFonts w:ascii="Calibri" w:hAnsi="Calibri"/>
          <w:b w:val="0"/>
          <w:sz w:val="21"/>
        </w:rPr>
        <w:t>Half- and full-day workshops and staff PD days — $3,500-7,500. Train-the-trainer programs for instructional coaches.</w:t>
      </w:r>
    </w:p>
    <w:p>
      <w:pPr>
        <w:pStyle w:val="ListBullet"/>
        <w:spacing w:after="60"/>
      </w:pPr>
      <w:r>
        <w:rPr>
          <w:rFonts w:ascii="Calibri" w:hAnsi="Calibri"/>
          <w:b w:val="0"/>
          <w:sz w:val="21"/>
        </w:rPr>
        <w:t>Multi-week projects (compliance audits, AI policy authoring, intervention design) — scoped per engagement, typically $15-65k.</w:t>
      </w:r>
    </w:p>
    <w:p>
      <w:pPr>
        <w:pStyle w:val="ListBullet"/>
        <w:spacing w:after="60"/>
      </w:pPr>
      <w:r>
        <w:rPr>
          <w:rFonts w:ascii="Calibri" w:hAnsi="Calibri"/>
          <w:b w:val="0"/>
          <w:sz w:val="21"/>
        </w:rPr>
        <w:t>Ongoing fractional SpEd-director advisory and inclusive-leadership coaching — monthly retainer available.</w:t>
      </w:r>
    </w:p>
    <w:p>
      <w:pPr>
        <w:pStyle w:val="ListBullet"/>
        <w:spacing w:after="60"/>
      </w:pPr>
      <w:r>
        <w:rPr>
          <w:rFonts w:ascii="Calibri" w:hAnsi="Calibri"/>
          <w:b w:val="0"/>
          <w:sz w:val="21"/>
        </w:rPr>
        <w:t>Speaking engagements at conferences, district events, and university forums.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