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Education research, policy &amp; inclusive systems  |  K-12, special education, accessibility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Researcher and practitioner at the intersection of inclusive K-12 leadership, special education compliance, and equitable systems design. EdD with Dissertation of the Year (Gonzaga, 2025) and Emerging Scholar Award (UCEA, 2024); accepted AERA and UCEA presenter every year 2024-2026 on principal preparation, policy implementation, and special education.</w:t>
      </w:r>
    </w:p>
    <w:p>
      <w:pPr>
        <w:spacing w:after="120"/>
      </w:pPr>
      <w:r>
        <w:rPr>
          <w:sz w:val="21"/>
          <w:szCs w:val="21"/>
        </w:rPr>
        <w:t xml:space="preserve">Bring 15+ years of practice across district, tribal, and clinical settings, plus six years of independent consulting on IDEA/IEP compliance and inclusive program design. Looking to contribute domain rigor to how AI products serve students with disabilities, the educators who support them, and the districts that procure them.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AREAS OF FOCUS</w:t>
      </w:r>
    </w:p>
    <w:p>
      <w:pPr>
        <w:spacing w:after="120"/>
      </w:pPr>
      <w:r>
        <w:rPr>
          <w:sz w:val="21"/>
          <w:szCs w:val="21"/>
        </w:rPr>
        <w:t xml:space="preserve">Inclusive K-12 leadership &amp; policy  ·  Special education compliance (IDEA, IEP, 504)  ·  Accessibility &amp; neurodiversity-affirming design  ·  Complex autism (PDA) and behavior supports  ·  Trauma-informed systems  ·  Cultural responsiveness  ·  Qualitative research &amp; program evaluation  ·  Cross-stakeholder program design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RESEARCH &amp; SCHOLARSHIP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Doctoral dissertation (Gonzaga, 2025): inclusive principal preparation, emotional labor in school leadership, and special education capacity in K-12 leadership pipelines. Awarded Dissertation of the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Ongoing research on policy and district-level leadership implementation; multiple AERA and UCEA sessions 2024-2026.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— University Council for Educational Administration, 2024.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PRACTICE &amp; CONSULTING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 design, qualitative inquiry, and systems development for community initiatives serving families navigating poverty, disability, and systemic barriers — including families of children on the autism spectrum.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Synthesize cross-stakeholder qualitative findings into program-design recommendations and prevention-focused frameworks.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 multiple competitive contracts concurrently, delivering on tight timelines across cross-sector partners.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IEP, 504, and IDEA compliance audits across private schools and early childhood settings; produce detailed findings reports and remediation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Advise leadership on the compliance flow connecting federal law, district policy, and classroom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Speaking engagements on inclusive leadership, complex autism, and trauma-informed practice.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DIRECT K-12 PRACTICE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Early childhood SpEd classrooms (ages 3-5); coordinate IEPs across multidisciplinary providers; align district early learning and MTSS with inclusive K-12 practices.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K-5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6-to-8-week documented intervention process that reduced SpEd referrals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to classroom restructuring and PD that placed 88% of students receiving services in general-education settings for the majority of their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monitor across 3 school sites.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(Grades 6-12)</w:t>
      </w:r>
      <w:r>
        <w:rPr>
          <w:sz w:val="22"/>
          <w:szCs w:val="22"/>
        </w:rPr>
        <w:t xml:space="preserve"> — Fairbanks Native Association</w:t>
      </w:r>
      <w:r>
        <w:rPr>
          <w:color w:val="666666"/>
          <w:sz w:val="20"/>
          <w:szCs w:val="20"/>
        </w:rPr>
        <w:t xml:space="preserve">  |  Fairbanks, AK</w:t>
      </w:r>
      <w:r>
        <w:rPr>
          <w:color w:val="666666"/>
          <w:sz w:val="20"/>
          <w:szCs w:val="20"/>
        </w:rPr>
        <w:t xml:space="preserve">  •  2010 –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Cross-system case coordination (parole, CPS, group homes) for students with disabilities and trauma histories.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Alaska Native cultural partnerships integrating Indigenous knowledge into curriculum.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Case Manager, Adult Mental Health</w:t>
      </w:r>
      <w:r>
        <w:rPr>
          <w:sz w:val="22"/>
          <w:szCs w:val="22"/>
        </w:rPr>
        <w:t xml:space="preserve"> — Comprehensive Mental Health of Yakima</w:t>
      </w:r>
      <w:r>
        <w:rPr>
          <w:color w:val="666666"/>
          <w:sz w:val="20"/>
          <w:szCs w:val="20"/>
        </w:rPr>
        <w:t xml:space="preserve">  |  Yakima, WA</w:t>
      </w:r>
      <w:r>
        <w:rPr>
          <w:color w:val="666666"/>
          <w:sz w:val="20"/>
          <w:szCs w:val="20"/>
        </w:rPr>
        <w:t xml:space="preserve">  •  2007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40+ client caseload; therapy group design, crisis response, and clinical documentation — relevant clinical context for safety, accessibility, and high-stakes content domains.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(2026). Inclusive Leadership Is Not Optional: Why Principal Prep Must Change. AERA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(2026). Redefining Principal Preparation: Centering Emotional Labor, Special Education, and Communication for Inclusive Leadership. AERA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(2025). Managing Complexity: Strategic Implementation of Academic and Non-Academic Initiatives in K-12 Public Schools. AERA Annual Meeting, Denver.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Olver, C. (2024). Policy and District Level Leadership; and Preparing High Level Leaders. UCEA Annual Meeting, Los Angeles.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presentations and panels: Kent School District (2025), Western Washington University (2025), Pacific Lutheran University (2024).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2026-05-22T15:37:25.018Z</dcterms:created>
  <dcterms:modified xsi:type="dcterms:W3CDTF">2026-05-22T15:37:25.018Z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