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sz w:val="40"/>
        </w:rPr>
        <w:t>Catherine Olver, EdD</w:t>
      </w:r>
    </w:p>
    <w:p>
      <w:pPr>
        <w:spacing w:after="40"/>
        <w:jc w:val="center"/>
      </w:pPr>
      <w:r>
        <w:rPr>
          <w:rFonts w:ascii="Calibri" w:hAnsi="Calibri"/>
          <w:b w:val="0"/>
          <w:sz w:val="22"/>
        </w:rPr>
        <w:t>SpEd Specialist — complex/PDA autism · IEP &amp; IDEA compliance auditing · behavior support · available 15-20 hrs/wk async</w:t>
      </w:r>
    </w:p>
    <w:p>
      <w:pPr>
        <w:spacing w:after="160"/>
        <w:jc w:val="center"/>
      </w:pPr>
      <w:r>
        <w:rPr>
          <w:rFonts w:ascii="Calibri" w:hAnsi="Calibri"/>
          <w:b w:val="0"/>
          <w:sz w:val="20"/>
        </w:rPr>
        <w:t>Algona, WA  •  253.335.9805  •  CEOlverThompson@alaska.edu  •  LinkedIn: linkedin.com/in/catherineolver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PROFILE</w:t>
      </w:r>
    </w:p>
    <w:p>
      <w:pPr>
        <w:spacing w:after="80"/>
      </w:pPr>
      <w:r>
        <w:rPr>
          <w:rFonts w:ascii="Calibri" w:hAnsi="Calibri"/>
          <w:b w:val="0"/>
          <w:sz w:val="21"/>
        </w:rPr>
        <w:t>Special education compliance auditor and domain expert: audits IEP/504/IDEA compliance across districts and private schools, with complex autism and PDA specialization, 15+ years K-12 practice, and active independent consulting since 2019. Experienced calibrating structured judgments to an external standard — federal statute, funder criteria, project rubrics — scoring to the stated standard rather than personal practice, and where expertise and standard diverge, flagging the divergence explicitly in one line rather than overriding it. Constructs scenarios with a real decision point — a tempting, fluent wrong answer drawn from autism/PDA edge cases — and identifies subtle non-compliance, specifying the exact violated clause rather than categorically flagging. Available 15-20 hrs/wk for asynchronous remote contract work for education and behavioral/clinical project pipelines; experienced async delivery via OSPI-funded independent contracts.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STRENGTHS FOR STRUCTURED-JUDGMENT WORK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Audited IEP/504/IDEA compliance across multiple districts and private schools; wrote findings with corrective recommendations against federal statute, naming the specific violated clause.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Produces structured written judgments under tight specifications: compliance audit findings, rubric-scored IEP reviews, funder deliverables with defined format and length constraints — commits a scored judgment with one-line justification, not open-ended narrative.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Designs observable scoring criteria: PD rubrics, compliance checklists, and 6-to-8-week documented intervention frameworks worded so two reviewers score the same case the same way.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Scarce edge-case domain depth: complex/PDA autism, early childhood SpEd, ABA and behavior support — constructs probe scenarios where a confident, fluent answer is subtly harmful for a neurodivergent learner (e.g., offering an accommodation where the case requires a modification).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15+ years full-time K-12 SpEd practice (early childhood through grade 12, public-district and tribal/Native settings), plus 3+ years adult mental health case management — qualifies for education and behavioral/clinical project pipelines.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Active practitioner: currently teaching early childhood SpEd alongside ongoing OSPI consulting contracts — expertise is current, not archival.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LLM power user: completed "Generative AI for Educators" PD (2026); uses Claude and ChatGPT daily in consulting workflow to draft, summarize source documents, and stress-test rubrics — feeding compliance rubrics edge cases to surface ambiguous criteria. Published "Five Compliance Questions Every District Should Ask Before Buying AI Tools" (2026).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AREAS OF DOMAIN EXPERTISE</w:t>
      </w:r>
    </w:p>
    <w:p>
      <w:pPr>
        <w:spacing w:after="80"/>
      </w:pPr>
      <w:r>
        <w:rPr>
          <w:rFonts w:ascii="Calibri" w:hAnsi="Calibri"/>
          <w:b w:val="0"/>
          <w:sz w:val="21"/>
        </w:rPr>
        <w:t>IEP / IFSP / 504 compliance  ·  IDEA federal regulations  ·  Complex autism &amp; PDA autism  ·  Early childhood SpEd (ages 3-5)  ·  K-12 SpEd resource &amp; inclusion  ·  Trauma-informed practice  ·  ABA and behavior support  ·  MTSS / RTI design  ·  Culturally responsive practice  ·  Case management &amp; mental health (adult)  ·  Family engagement &amp; coaching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SELECTED EXPERIENCE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Educational Consultant</w:t>
      </w:r>
      <w:r>
        <w:rPr>
          <w:rFonts w:ascii="Calibri" w:hAnsi="Calibri"/>
          <w:b w:val="0"/>
          <w:sz w:val="22"/>
        </w:rPr>
        <w:t xml:space="preserve"> — Compliance Auditor &amp; Trainer — Olver Consulting</w:t>
      </w:r>
      <w:r>
        <w:rPr>
          <w:rFonts w:ascii="Calibri" w:hAnsi="Calibri"/>
          <w:b w:val="0"/>
          <w:sz w:val="20"/>
        </w:rPr>
        <w:t xml:space="preserve">  |  Seattle, WA  •  2019 – Present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Audits IEP, 504, and IDEA compliance at private schools and early childhood settings; writes precise, defensible findings with corrective recommendations against federal statute.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Advises school leadership on compliance flow, documentation systems, and accessibility.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Facilitates PD for groups of 10-60 on inclusive education, PDA autism, and trauma-informed practice; delivers speaking engagements on complex autism support.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Independent Consultant</w:t>
      </w:r>
      <w:r>
        <w:rPr>
          <w:rFonts w:ascii="Calibri" w:hAnsi="Calibri"/>
          <w:b w:val="0"/>
          <w:sz w:val="22"/>
        </w:rPr>
        <w:t xml:space="preserve"> — OSPI-Funded Contracts — Olver Consulting</w:t>
      </w:r>
      <w:r>
        <w:rPr>
          <w:rFonts w:ascii="Calibri" w:hAnsi="Calibri"/>
          <w:b w:val="0"/>
          <w:sz w:val="20"/>
        </w:rPr>
        <w:t xml:space="preserve">  |  Washington State  •  2023 – Present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Delivers structured project work async across multiple competitive funder contracts, each with defined format, length, and reporting constraints; ships to spec without supervision.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Synthesizes source material into program-design recommendations against funder-defined criteria.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Develops prevention-focused frameworks aimed at reducing youth involvement in juvenile justice systems.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Special Education Teacher, Early Childhood</w:t>
      </w:r>
      <w:r>
        <w:rPr>
          <w:rFonts w:ascii="Calibri" w:hAnsi="Calibri"/>
          <w:b w:val="0"/>
          <w:sz w:val="22"/>
        </w:rPr>
        <w:t xml:space="preserve"> — Kent School District</w:t>
      </w:r>
      <w:r>
        <w:rPr>
          <w:rFonts w:ascii="Calibri" w:hAnsi="Calibri"/>
          <w:b w:val="0"/>
          <w:sz w:val="20"/>
        </w:rPr>
        <w:t xml:space="preserve">  |  Kent, WA  •  2025 – Present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Coordinates evaluations and IEPs across multidisciplinary providers; documents eligibility decisions against IDEA criteria.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Leads early childhood SpEd classrooms (ages 3-5) with diverse developmental, behavioral, and communication needs; integrates trauma-informed and neurodiversity-affirming practice.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Special Education Teacher, K-5</w:t>
      </w:r>
      <w:r>
        <w:rPr>
          <w:rFonts w:ascii="Calibri" w:hAnsi="Calibri"/>
          <w:b w:val="0"/>
          <w:sz w:val="22"/>
        </w:rPr>
        <w:t xml:space="preserve"> — Auburn School District</w:t>
      </w:r>
      <w:r>
        <w:rPr>
          <w:rFonts w:ascii="Calibri" w:hAnsi="Calibri"/>
          <w:b w:val="0"/>
          <w:sz w:val="20"/>
        </w:rPr>
        <w:t xml:space="preserve">  |  Auburn, WA  •  2013 – 2025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Managed caseloads of 35-51 students per year (vs. typical maximum of 25), implementing trauma-informed, autism-specific, and ABA strategies.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Co-introduced a 6-to-8-week documented intervention process that reduced SpEd referrals by 60%; served as compliance monitor across 3 school sites.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Special Education Teacher, Grades 6-12</w:t>
      </w:r>
      <w:r>
        <w:rPr>
          <w:rFonts w:ascii="Calibri" w:hAnsi="Calibri"/>
          <w:b w:val="0"/>
          <w:sz w:val="22"/>
        </w:rPr>
        <w:t xml:space="preserve"> — Fairbanks Native Association</w:t>
      </w:r>
      <w:r>
        <w:rPr>
          <w:rFonts w:ascii="Calibri" w:hAnsi="Calibri"/>
          <w:b w:val="0"/>
          <w:sz w:val="20"/>
        </w:rPr>
        <w:t xml:space="preserve">  |  Fairbanks, AK  •  2010 – 2012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Delivered specialized instruction for a caseload of 12-16 students; coordinated precise documentation across parole, probation, CPS, and group-home stakeholders.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Case Manager, Adult Mental Health</w:t>
      </w:r>
      <w:r>
        <w:rPr>
          <w:rFonts w:ascii="Calibri" w:hAnsi="Calibri"/>
          <w:b w:val="0"/>
          <w:sz w:val="22"/>
        </w:rPr>
        <w:t xml:space="preserve"> — Comprehensive Mental Health of Yakima</w:t>
      </w:r>
      <w:r>
        <w:rPr>
          <w:rFonts w:ascii="Calibri" w:hAnsi="Calibri"/>
          <w:b w:val="0"/>
          <w:sz w:val="20"/>
        </w:rPr>
        <w:t xml:space="preserve">  |  Yakima, WA  •  2007 – 2010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Managed 40+ client caseload across coping skills, grief, self-harm, and addiction-recovery programming; crisis response and court-ordered compliance.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EDUCATION &amp; RECOGNITION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Doctorate in Educational Leadership and Administration (EdD) — Gonzaga University, 2025; Dissertation of the Year — dissertation work included rubric and structured-criteria design for measuring inclusive practice.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Master of Arts in Special Education — University of Alaska, 2013.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Bachelor of Arts in Art Instruction for Exceptional Children — Central Washington University, 2007.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Emerging Scholar Award — University Council for Educational Administration, 2024; accepted AERA/UCEA sessions 2024-2026.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