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Catherine Olver, EdD</w:t>
      </w:r>
    </w:p>
    <w:p>
      <w:pPr>
        <w:spacing w:after="40"/>
        <w:jc w:val="center"/>
      </w:pPr>
      <w:r>
        <w:rPr>
          <w:rFonts w:ascii="Calibri" w:hAnsi="Calibri"/>
          <w:b w:val="0"/>
          <w:sz w:val="22"/>
        </w:rPr>
        <w:t>Special education practitioner &amp; consultant  |  IEP/IDEA compliance audits  •  district AI policy authoring  •  inclusive-practice PD</w:t>
      </w:r>
    </w:p>
    <w:p>
      <w:pPr>
        <w:spacing w:after="160"/>
        <w:jc w:val="center"/>
      </w:pPr>
      <w:r>
        <w:rPr>
          <w:rFonts w:ascii="Calibri" w:hAnsi="Calibri"/>
          <w:b w:val="0"/>
          <w:sz w:val="20"/>
        </w:rPr>
        <w:t>Algona, WA  •  253.335.9805  •  CEOlverThompson@alaska.edu  •  catherineolver.com  •  LinkedIn: linkedin.com/in/catherineolver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WHAT I DO FOR SCHOOLS AND DISTRICTS</w:t>
      </w:r>
    </w:p>
    <w:p>
      <w:pPr>
        <w:spacing w:after="80"/>
      </w:pPr>
      <w:r>
        <w:rPr>
          <w:rFonts w:ascii="Calibri" w:hAnsi="Calibri"/>
          <w:b w:val="0"/>
          <w:sz w:val="21"/>
        </w:rPr>
        <w:t>17 years as a special education practitioner — complex autism, PDA, trauma-informed practice, early childhood — now in my sixth year of independent consulting. I help K-12 districts keep special education compliant and defensible under a state monitor's review, and I author board-adoptable district AI policy. Compliance is my day job, which is why I am the right author for whole-district AI governance: a policy that has to survive a board member, a parent FOIA request, a journalist, and a state compliance reviewer is the same discipline as a federal IDEA findings report. AI tools are built for the median student; for a child with a PDA profile or a complex communication need, that median assumption is exactly where the bias and the IDEA exposure live — and that is the section of any AI policy I get right. I work with superintendents, special education directors, principals, and instructional leadership teams.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ENGAGEMENT AREAS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District AI governance &amp; policy authoring — a board-adoptable AI policy covering acceptable use for all staff and students, academic integrity, and vendor data-privacy standards, with FERPA/LRE/IDEA and accessibility obligations as the section most consultants get wrong and I get right. Aligned to Washington's OSPI AI guidance (Human-Centered AI in Education, 2024) and adoption deadlines. Includes a companion administrative regulation, stakeholder input sessions (board work session, union touchpoint, parent advisory), and first/second-reading support. Delivered on a phased, fixed-fee two-page scope, board-consent-agenda ready.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Special education compliance audits — IEP, 504, and IDEA audits across documentation, practice, and physical safety; multi-site. Deliverable: a compliance audit report, a prioritized findings list with IDEA-exposure flags by site, and a board-ready summary structured to survive state monitoring.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AI literacy for teachers and paraprofessionals — a road-tested, practical half- or full-day staff PD session, not a policy overview. Teachers leave with three named tools they open Monday for IEP documentation, behavior tracking, and differentiation, plus a SpEd-specific AI guide. Delivered to teacher and paraprofessional audiences in WA buildings.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Inclusive practice &amp; complex-autism PD — workshops and series on PDA autism, trauma-informed practice, MTSS, and culturally responsive instruction. Groups of 10-60. Teachers leave with co-teaching protocols, an MTSS tier-screening tool, and a behavior-support planning template — no abstract frameworks.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Inclusive leadership coaching &amp; family-engagement design — principal preparation, instructional leadership coaching, and family-facing programs on regulation, child development, and navigating systems.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RECENT ENGAGEMENTS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District AI policy authoring, WA — authored a board-adopted AI policy and companion administrative regulation for a Washington school district, taken through stakeholder input and board reading to adoption; reference available.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OSPI-funded contracts, 2023-Present — active state-funded community programming for autism families, single parents, and historically underserved communities.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Private school and early-childhood compliance audits, 2019-Present — IEP, 504, and IDEA documentation review with corrective recommendations across multiple sites.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AI literacy for teachers, WA building, 2026 — delivered a road-tested AI-tools PD session to a teacher and paraprofessional audience; reference available.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Kent School District, Oct 2025 — District-Wide MTSS and inclusive practice presenter; references available from district SpEd and curriculum staff.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Western Washington University Forum, Mar 2025 — panelist, Inclusion and Leadership in K-12 Public Schools.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OUTCOMES FROM DIRECT PRACTICE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Inclusion overhaul: after restructuring and PD work, 88% of students receiving services spent the majority of their day in general education.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Intervention process: a documented 6-to-8-week protocol reduced special education referrals by 60%.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Compliance audits across multiple districts and private schools, with documented gains in IEP and 504 accuracy.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Trained groups of 10-60 educators, leaders, and paraprofessionals across multiple districts.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CREDENTIALS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17 years of K-12 special education practice across early childhood, K-5, and 6-12 settings; six years of independent consulting.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EdD, Educational Leadership and Administration — Gonzaga University, 2025 (Dissertation of the Year) — research grounded in real classroom experience on emotional labor, special education, and communication in leadership; the evidence base underlying my compliance and policy work.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MA, Special Education — University of Alaska, 2013.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Generative AI for Educators completion certificate; daily working user of Claude, ChatGPT, NotebookLM, and teacher-facing AI tools (MagicSchool, Brisk) in compliance, policy, and PD-prep workflows.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Published model district AI policy and administrative-regulation template — adoption-ready, public at catherineolver.com.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Public writing on AI and special education: "What AI Education Products Get Wrong About PDA Autism" and "Five Compliance Questions Every District Should Ask Before Buying AI Tools."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Research on inclusive leadership cited at AERA 2024-2026 and UCEA 2024.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References available: peer administrators, OSPI contacts, and SpEd directors at prior engagement sites.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ENGAGEMENT FORMATS &amp; SCOPE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Half- and full-day workshops and staff PD days — $3,500-7,500. Train-the-trainer programs for instructional coaches.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District AI policy authoring — phased, fixed-fee, board-packet-ready two-page scope, $25-65k.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Multi-week projects (compliance audits, intervention design) — scoped per engagement, $15-50k.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Ongoing fractional SpEd-director advisory and inclusive-leadership coaching — monthly retainer available.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Speaking engagements at conferences, district events, and university forums.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