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Special education compliance specialist &amp; IEP/IDEA auditor — turning accessibility and child-protection law into enforceable practice for AI education products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(open to SF / NYC hybrid relocation)  •  253.335.9805  •  CEOlverThompson@alaska.edu  •  linkedin.com/in/catherineolver  •  "Five IDEA compliance questions every district should ask AI vendors" — linkedin.com/pulse/catherineolver-ai-iep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PROFILE</w:t>
      </w:r>
    </w:p>
    <w:p>
      <w:pPr>
        <w:spacing w:after="80"/>
      </w:pPr>
      <w:r>
        <w:rPr>
          <w:rFonts w:ascii="Calibri" w:hAnsi="Calibri"/>
          <w:b w:val="0"/>
          <w:sz w:val="21"/>
        </w:rPr>
        <w:t>Special education compliance specialist and IEP/IDEA auditor (EdD, 2025) moving into AI education product evaluation and policy. Seventeen years of K-12 special education practice across district, tribal, and clinical settings, plus six years independently auditing private-school and district compliance against IDEA, Section 504, and state requirements. I turn child-protection and accessibility law into enforceable, traceable practice — reading a statute, turning it into a repeatable check, and holding institutions to it. Now applying that framework to how AI education products handle students with disabilities and IEP-protected data, and actively engaging the tools directly: completed "Generative AI for Educators" (Google/ISTE, 2026) and use Claude and ChatGPT routinely to draft, summarize source documents, and stress-test rubrics in my consulting workflow.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AREAS OF FOCUS</w:t>
      </w:r>
    </w:p>
    <w:p>
      <w:pPr>
        <w:spacing w:after="80"/>
      </w:pPr>
      <w:r>
        <w:rPr>
          <w:rFonts w:ascii="Calibri" w:hAnsi="Calibri"/>
          <w:b w:val="0"/>
          <w:sz w:val="21"/>
        </w:rPr>
        <w:t>Special education compliance (IDEA, IEP, 504, FERPA)  ·  IEP/IDEA audit protocol design  ·  Compliance audit framework design  ·  Accessibility &amp; neurodiversity (complex autism / PDA)  ·  Child development across age ranges (EC–12)  ·  AI education product policy [in development]  ·  Cross-stakeholder compliance navigation  ·  Qualitative research &amp; program evaluation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EXPERIENCE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Educational Consultant &amp; Compliance Auditor</w:t>
      </w:r>
      <w:r>
        <w:rPr>
          <w:rFonts w:ascii="Calibri" w:hAnsi="Calibri"/>
          <w:b w:val="0"/>
          <w:sz w:val="22"/>
        </w:rPr>
        <w:t xml:space="preserve"> — Olver Consulting</w:t>
      </w:r>
      <w:r>
        <w:rPr>
          <w:rFonts w:ascii="Calibri" w:hAnsi="Calibri"/>
          <w:b w:val="0"/>
          <w:sz w:val="20"/>
        </w:rPr>
        <w:t xml:space="preserve">  |  Seattle, WA  •  2019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Authored a multi-site IEP/504/IDEA compliance audit protocol used across private schools and early childhood programs; the protocol translates federal statutory obligations (IDEA Part B/C, Section 504) into site-specific remediation requirements.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Delivers findings reports and remediation frameworks to leadership with traceable criteria and follow-up verification; compliance outcomes defensible to state review.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Published "Five IDEA compliance questions every district should ask AI vendors" (2026); speaks on inclusive practice, complex autism, and trauma-informed systems.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Independent Consultant</w:t>
      </w:r>
      <w:r>
        <w:rPr>
          <w:rFonts w:ascii="Calibri" w:hAnsi="Calibri"/>
          <w:b w:val="0"/>
          <w:sz w:val="22"/>
        </w:rPr>
        <w:t xml:space="preserve"> — State-Funded Contracts — Olver Consulting</w:t>
      </w:r>
      <w:r>
        <w:rPr>
          <w:rFonts w:ascii="Calibri" w:hAnsi="Calibri"/>
          <w:b w:val="0"/>
          <w:sz w:val="20"/>
        </w:rPr>
        <w:t xml:space="preserve">  |  Washington State  •  2023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Designs assessment frameworks and compliance tools for community programs serving families at the intersection of poverty, disability, and institutional systems.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Synthesizes findings across competing stakeholder interests — legal mandate, family access, service capacity — into binding program-design recommendations.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Manages concurrent, competitively-awarded contracts independently, delivering to defined format and timeline constraints.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Early Childhood</w:t>
      </w:r>
      <w:r>
        <w:rPr>
          <w:rFonts w:ascii="Calibri" w:hAnsi="Calibri"/>
          <w:b w:val="0"/>
          <w:sz w:val="22"/>
        </w:rPr>
        <w:t xml:space="preserve"> — Kent School District</w:t>
      </w:r>
      <w:r>
        <w:rPr>
          <w:rFonts w:ascii="Calibri" w:hAnsi="Calibri"/>
          <w:b w:val="0"/>
          <w:sz w:val="20"/>
        </w:rPr>
        <w:t xml:space="preserve">  |  Kent, WA  •  2025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Concurrent with EdD research and independent consulting; a parallel practice track, not a sole role.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Coordinates evaluations and IEPs (ages 3-5) across multidisciplinary providers; aligns early-learning systems with inclusive K-12 practice.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K-5</w:t>
      </w:r>
      <w:r>
        <w:rPr>
          <w:rFonts w:ascii="Calibri" w:hAnsi="Calibri"/>
          <w:b w:val="0"/>
          <w:sz w:val="22"/>
        </w:rPr>
        <w:t xml:space="preserve"> — Auburn School District</w:t>
      </w:r>
      <w:r>
        <w:rPr>
          <w:rFonts w:ascii="Calibri" w:hAnsi="Calibri"/>
          <w:b w:val="0"/>
          <w:sz w:val="20"/>
        </w:rPr>
        <w:t xml:space="preserve">  |  Auburn, WA  •  2013 – 2025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Designed and documented a 6-to-8-week intervention protocol that reduced special-education referrals 60%; instrument replicated across multiple classrooms.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Contributed to classroom restructuring and PD placing 88% of students receiving services in general-education settings for the majority of their day.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Served as compliance monitor across 3 school sites.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Grades 6-12</w:t>
      </w:r>
      <w:r>
        <w:rPr>
          <w:rFonts w:ascii="Calibri" w:hAnsi="Calibri"/>
          <w:b w:val="0"/>
          <w:sz w:val="22"/>
        </w:rPr>
        <w:t xml:space="preserve"> — Fairbanks Native Association</w:t>
      </w:r>
      <w:r>
        <w:rPr>
          <w:rFonts w:ascii="Calibri" w:hAnsi="Calibri"/>
          <w:b w:val="0"/>
          <w:sz w:val="20"/>
        </w:rPr>
        <w:t xml:space="preserve">  |  Fairbanks, AK  •  2010 – 2012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Coordinated cross-system case documentation (parole, CPS, group homes) for students with disabilities and trauma histories; integrated Alaska Native knowledge into curriculum.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Case Manager, Adult Mental Health</w:t>
      </w:r>
      <w:r>
        <w:rPr>
          <w:rFonts w:ascii="Calibri" w:hAnsi="Calibri"/>
          <w:b w:val="0"/>
          <w:sz w:val="22"/>
        </w:rPr>
        <w:t xml:space="preserve"> — Comprehensive Mental Health of Yakima</w:t>
      </w:r>
      <w:r>
        <w:rPr>
          <w:rFonts w:ascii="Calibri" w:hAnsi="Calibri"/>
          <w:b w:val="0"/>
          <w:sz w:val="20"/>
        </w:rPr>
        <w:t xml:space="preserve">  |  Yakima, WA  •  2007 – 2010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Managed a 40+ client caseload with crisis response and clinical documentation — relevant context for safety, accessibility, and high-stakes content domains.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EDUCATION &amp; RECOGNITION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Doctorate in Educational Leadership and Administration (EdD) — Gonzaga University, 2025; Dissertation of the Year.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Master of Arts in Special Education — University of Alaska, 2013.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Bachelor of Arts in Art Instruction for Exceptional Children — Central Washington University, 2007.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Emerging Scholar Award — University Council for Educational Administration, 2024.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"Generative AI for Educators" completion certificate (Google / ISTE, 2026).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Accepted AERA / UCEA presenter 2024-2026 on principal preparation, policy implementation, and special education.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