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Catherine Olver, EdD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Learning &amp; Development  |  Program design, facilitation, capability-building at scale</w:t>
      </w:r>
    </w:p>
    <w:p>
      <w:pPr>
        <w:spacing w:after="240"/>
        <w:jc w:val="center"/>
      </w:pPr>
      <w:r>
        <w:rPr>
          <w:color w:val="333333"/>
          <w:sz w:val="20"/>
          <w:szCs w:val="20"/>
        </w:rPr>
        <w:t xml:space="preserve">Algona, WA  •  253.335.9805  •  CEOlverThompson@alaska.edu  •  LinkedIn: linkedin.com/in/catherineolver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PROFILE</w:t>
      </w:r>
    </w:p>
    <w:p>
      <w:pPr>
        <w:spacing w:after="120"/>
      </w:pPr>
      <w:r>
        <w:rPr>
          <w:sz w:val="21"/>
          <w:szCs w:val="21"/>
        </w:rPr>
        <w:t xml:space="preserve">15+ years in education with extensive program design and PD facilitation for adult learners — educators, school leaders, paraprofessionals, families, and clinical teams. EdD focused on leadership development; recognized researcher on capability-building and emotional labor in leadership roles. Comfortable building curriculum, facilitating groups of 10-60, coaching managers, and partnering with stakeholders across legal, policy, and operational functions.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Adult learning design: curriculum, facilitation, coaching, and cohort-based programs across in-person, virtual, and hybrid formats.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Leadership development: doctoral research and active speaking on principal preparation, emotional labor, and inclusive leadership — directly transferable to manager and senior-IC development.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Trainer development: routinely train trainers, mentor educators, and coach instructional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Stakeholder partnership: brief district leadership, partner with therapists and bilingual specialists, and coordinate across legal/compliance functions.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Program operations: manage multiple concurrent contracts, oversee discretionary budgets, and document programs for replication.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Communication: confident public speaker (AERA, UCEA, district forums) and accomplished writer (peer-reviewed research, dissertation award).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AREAS OF FOCUS</w:t>
      </w:r>
    </w:p>
    <w:p>
      <w:pPr>
        <w:spacing w:after="120"/>
      </w:pPr>
      <w:r>
        <w:rPr>
          <w:sz w:val="21"/>
          <w:szCs w:val="21"/>
        </w:rPr>
        <w:t xml:space="preserve">Adult learning principles  ·  Curriculum &amp; program design  ·  Manager &amp; leader development  ·  Cohort and PD facilitation  ·  Coaching &amp; mentoring  ·  Onboarding &amp; ramp programs  ·  Trauma-informed workplace practice  ·  DEI &amp; inclusive practice  ·  Stakeholder management  ·  Cross-functional program operations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EXPERIENCE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Independent Consultant — OSPI-Funded Contracts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Washington State</w:t>
      </w:r>
      <w:r>
        <w:rPr>
          <w:color w:val="666666"/>
          <w:sz w:val="20"/>
          <w:szCs w:val="20"/>
        </w:rPr>
        <w:t xml:space="preserve">  • 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and facilitate adult learning programs and community engagement sessions across multiple competitive contracts.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Develop training curricula for families and stakeholders on regulation, child development, and trauma-informed care.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Build prevention-focused frameworks across cross-sector partners; manage timelines and deliverables independently.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Educational Consultant, Speaker &amp; Author</w:t>
      </w:r>
      <w:r>
        <w:rPr>
          <w:sz w:val="22"/>
          <w:szCs w:val="22"/>
        </w:rPr>
        <w:t xml:space="preserve"> — Olver Consulting</w:t>
      </w:r>
      <w:r>
        <w:rPr>
          <w:color w:val="666666"/>
          <w:sz w:val="20"/>
          <w:szCs w:val="20"/>
        </w:rPr>
        <w:t xml:space="preserve">  |  Seattle, WA</w:t>
      </w:r>
      <w:r>
        <w:rPr>
          <w:color w:val="666666"/>
          <w:sz w:val="20"/>
          <w:szCs w:val="20"/>
        </w:rPr>
        <w:t xml:space="preserve">  • 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 leadership development workshops and PD sessions on inclusive leadership and trauma-informed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Conduct compliance audits and develop standardized practice and documentation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Translate complex regulatory frameworks into actionable, learnable practice for school leadership teams.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Teacher, Early Childhood</w:t>
      </w:r>
      <w:r>
        <w:rPr>
          <w:sz w:val="22"/>
          <w:szCs w:val="22"/>
        </w:rPr>
        <w:t xml:space="preserve"> — Kent School District</w:t>
      </w:r>
      <w:r>
        <w:rPr>
          <w:color w:val="666666"/>
          <w:sz w:val="20"/>
          <w:szCs w:val="20"/>
        </w:rPr>
        <w:t xml:space="preserve">  |  Kent, WA</w:t>
      </w:r>
      <w:r>
        <w:rPr>
          <w:color w:val="666666"/>
          <w:sz w:val="20"/>
          <w:szCs w:val="20"/>
        </w:rPr>
        <w:t xml:space="preserve">  •  2025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Lead classroom teams of educators and paraprofessionals; deliver training and continuing education to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 evidence-based instructional and co-regulation strategies for PreK-5 teachers and staff.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 &amp; Staff Trainer</w:t>
      </w:r>
      <w:r>
        <w:rPr>
          <w:sz w:val="22"/>
          <w:szCs w:val="22"/>
        </w:rPr>
        <w:t xml:space="preserve"> — Auburn School District</w:t>
      </w:r>
      <w:r>
        <w:rPr>
          <w:color w:val="666666"/>
          <w:sz w:val="20"/>
          <w:szCs w:val="20"/>
        </w:rPr>
        <w:t xml:space="preserve">  |  Auburn, WA</w:t>
      </w:r>
      <w:r>
        <w:rPr>
          <w:color w:val="666666"/>
          <w:sz w:val="20"/>
          <w:szCs w:val="20"/>
        </w:rPr>
        <w:t xml:space="preserve">  •  2013 –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delivered recurring PD for groups of 10-60 educators on inclusive education, autism strategies, and trauma-informed practice.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Mentored and trained classroom teams of up to 8 staff across documentation, instructional strategy, and compliance.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Co-designed a documented intervention process that reduced referrals by 60% — a measurable example of program design and capability-building.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Contributed to district-wide initiatives on behavior support, equity, and leadership.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Special Education Teacher &amp; Staff Trainer</w:t>
      </w:r>
      <w:r>
        <w:rPr>
          <w:sz w:val="22"/>
          <w:szCs w:val="22"/>
        </w:rPr>
        <w:t xml:space="preserve"> — Fairbanks Native Association</w:t>
      </w:r>
      <w:r>
        <w:rPr>
          <w:color w:val="666666"/>
          <w:sz w:val="20"/>
          <w:szCs w:val="20"/>
        </w:rPr>
        <w:t xml:space="preserve">  |  Fairbanks, AK</w:t>
      </w:r>
      <w:r>
        <w:rPr>
          <w:color w:val="666666"/>
          <w:sz w:val="20"/>
          <w:szCs w:val="20"/>
        </w:rPr>
        <w:t xml:space="preserve">  •  2010 – 2012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PD on inclusion, autism strategies, and full-inclusion models to groups of 10-60 K-12 educators and school leaders.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Certified approximately 250 staff in First Aid and CPR — district-scale program rollout.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Selected curriculum and managed annual facility budget of $35,000.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Case Manager, Adult Mental Health</w:t>
      </w:r>
      <w:r>
        <w:rPr>
          <w:sz w:val="22"/>
          <w:szCs w:val="22"/>
        </w:rPr>
        <w:t xml:space="preserve"> — Comprehensive Mental Health of Yakima</w:t>
      </w:r>
      <w:r>
        <w:rPr>
          <w:color w:val="666666"/>
          <w:sz w:val="20"/>
          <w:szCs w:val="20"/>
        </w:rPr>
        <w:t xml:space="preserve">  |  Yakima, WA</w:t>
      </w:r>
      <w:r>
        <w:rPr>
          <w:color w:val="666666"/>
          <w:sz w:val="20"/>
          <w:szCs w:val="20"/>
        </w:rPr>
        <w:t xml:space="preserve">  •  2007 – 2010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Delivered up to 4 group sessions per day on coping skills, grief, self-harm, and addiction recovery.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Facilitated staff development; managed program budget of $350K and supervised 4-6 support personnel.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Designed and led group learning for adults in crisis contexts.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EDUCATION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Doctorate in Educational Leadership and Administration (EdD)</w:t>
      </w:r>
      <w:r>
        <w:rPr>
          <w:sz w:val="21"/>
          <w:szCs w:val="21"/>
        </w:rPr>
        <w:t xml:space="preserve"> — Gonzaga University, 2025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Master of Arts in Special Education</w:t>
      </w:r>
      <w:r>
        <w:rPr>
          <w:sz w:val="21"/>
          <w:szCs w:val="21"/>
        </w:rPr>
        <w:t xml:space="preserve"> — University of Alaska, 2013</w:t>
      </w:r>
    </w:p>
    <w:p>
      <w:pPr>
        <w:spacing w:after="120"/>
      </w:pPr>
      <w:r>
        <w:rPr>
          <w:b/>
          <w:bCs/>
          <w:i w:val="false"/>
          <w:iCs w:val="false"/>
          <w:sz w:val="21"/>
          <w:szCs w:val="21"/>
        </w:rPr>
        <w:t xml:space="preserve">Bachelor of Arts in Art Instruction for Exceptional Children</w:t>
      </w:r>
      <w:r>
        <w:rPr>
          <w:sz w:val="21"/>
          <w:szCs w:val="21"/>
        </w:rPr>
        <w:t xml:space="preserve"> — Central Washington University, 2007</w:t>
      </w:r>
    </w:p>
    <w:p>
      <w:pPr>
        <w:spacing w:after="80" w:before="200"/>
      </w:pPr>
      <w:r>
        <w:rPr>
          <w:b/>
          <w:bCs/>
          <w:color w:val="333333"/>
          <w:sz w:val="20"/>
          <w:szCs w:val="20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Dissertation of the Year — Gonzaga University,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Emerging Scholar Award — University Council for Educational Administration, 2024</w:t>
      </w:r>
    </w:p>
    <w:p>
      <w:pPr>
        <w:pBdr>
          <w:bottom w:val="single" w:color="2E75B6" w:sz="6" w:space="4"/>
        </w:pBdr>
        <w:spacing w:after="120" w:before="280"/>
      </w:pPr>
      <w:r>
        <w:rPr>
          <w:b/>
          <w:bCs/>
          <w:color w:val="2E75B6"/>
          <w:sz w:val="22"/>
          <w:szCs w:val="22"/>
        </w:rPr>
        <w:t xml:space="preserve">SELECTED SPEAKING &amp; PUBLICATIONS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2026 (Los Angeles) — two accepted sessions on inclusive principal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AERA 2025 (Denver) — paper session and round table on K-12 strategic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UCEA 2024 (Los Angeles) — two paper sessions on policy and leader preparation.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Guest lectures and panels at Pacific Lutheran University, Western Washington University, and Kent School District (2024-2025).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Catherine Olver, EdD  —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2026-05-22T15:37:25.115Z</dcterms:created>
  <dcterms:modified xsi:type="dcterms:W3CDTF">2026-05-22T15:37:25.115Z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