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/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RT-MLIDS: A Real-Time Ensemble Machine Learning Framework for Network Intrusion Detection with Adversarial Robustness Evaluation</w:t>
      </w:r>
    </w:p>
    <w:p>
      <w:pPr>
        <w:spacing w:after="40"/>
        <w:jc w:val="center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Ian Alexander Brighouse Quintana</w:t>
      </w:r>
    </w:p>
    <w:p>
      <w:pPr>
        <w:spacing w:after="40"/>
        <w:jc w:val="center"/>
      </w:pPr>
      <w:r>
        <w:rPr>
          <w:rFonts w:ascii="Times New Roman" w:cs="Times New Roman" w:eastAsia="Times New Roman" w:hAnsi="Times New Roman"/>
          <w:i/>
          <w:iCs/>
          <w:sz w:val="20"/>
          <w:szCs w:val="20"/>
        </w:rPr>
        <w:t xml:space="preserve">Department of Cybersecurity and Networks, University of East London, London, United Kingdom</w:t>
      </w:r>
    </w:p>
    <w:p>
      <w:pPr>
        <w:spacing w:after="200"/>
        <w:jc w:val="center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i.brighouse@uel.ac.uk</w:t>
      </w:r>
    </w:p>
    <w:p>
      <w:pPr>
        <w:jc w:val="center"/>
      </w:pPr>
      <w:r>
        <w:rPr>
          <w:i/>
          <w:sz w:val="20"/>
        </w:rPr>
        <w:t>Version 2 (October 2026). Results were regenerated from the public code (github.com/brigghouse/RT-MLIDS) with a corrected pipeline; they supersede version 1. Main changes: binary and multi-class metrics reported separately, mean ± std over 3 seeds, corrected stacking and label mapping, adversarial samples drawn at random with confidence intervals, and claims narrowed to what the data support.</w:t>
      </w:r>
    </w:p>
    <w:p>
      <w:pPr>
        <w:spacing w:after="100" w:line="260"/>
        <w:jc w:val="both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>Abstract—</w:t>
      </w:r>
      <w:r>
        <w:rPr>
          <w:rFonts w:ascii="Times New Roman" w:cs="Times New Roman" w:eastAsia="Times New Roman" w:hAnsi="Times New Roman"/>
          <w:sz w:val="20"/>
          <w:szCs w:val="20"/>
        </w:rPr>
        <w:t>Network intrusion detection systems (IDS) are a core layer of network defence, and machine-learning detectors are increasingly proposed to complement signature-based tools. This paper presents RT-MLIDS, an open-source framework that combines a stacked ensemble of Random Forest and XGBoost (out-of-fold logistic-regression meta-learner), mutual-information feature selection, SMOTE, SHAP explanations, a streaming inference pipeline, and a black-box adversarial evaluation. On the complete NSL-KDD KDDTest+ set (mean over 3 seeds), the ensemble reaches 78.17 ± 0.19% accuracy and 76.89 ± 0.24% F1 for attack-vs-normal detection and 77.00 ± 0.28% five-class accuracy; it does not outperform a single XGBoost model (79.24 ± 0.08% and 77.64 ± 0.40%), which is also ~10× faster. Under black-box HopSkipJump and ZOO attacks against XGBoost (n=20 random test flows), accuracy falls from 70.0% to 15.0% (HopSkipJump, raw) and 10.0% (ZOO, raw); after projecting adversarial points onto valid records the figures are 35.0% and 15.0%. We discuss the limits of these estimates (NSL-KDD age, small attack samples, unconstrained feature dependencies).</w:t>
      </w:r>
    </w:p>
    <w:p>
      <w:pPr>
        <w:spacing w:after="60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/>
      </w:r>
    </w:p>
    <w:p>
      <w:pPr>
        <w:spacing w:after="200" w:line="260"/>
        <w:jc w:val="both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Keywords—</w:t>
      </w:r>
      <w:r>
        <w:rPr>
          <w:rFonts w:ascii="Times New Roman" w:cs="Times New Roman" w:eastAsia="Times New Roman" w:hAnsi="Times New Roman"/>
          <w:i/>
          <w:iCs/>
          <w:sz w:val="20"/>
          <w:szCs w:val="20"/>
        </w:rPr>
        <w:t xml:space="preserve">machine learning; intrusion detection; network security; random forest; XGBoost; adversarial robustness; ensemble methods; SHAP; real-time detection</w:t>
      </w:r>
    </w:p>
    <w:p>
      <w:pPr>
        <w:spacing w:after="80" w:before="180"/>
        <w:jc w:val="left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I. INTRODUCTION</w:t>
      </w:r>
    </w:p>
    <w:p>
      <w:pPr>
        <w:spacing w:after="100" w:line="260"/>
        <w:jc w:val="both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The global digital economy depends on interconnected network infrastructures spanning cloud platforms, enterprise systems, and critical public services. This dependence has rendered networks a prime target for malicious actors, with global cybercrime costs projected to reach $10.5 trillion annually by 2025 [1]. Network intrusions — including Distributed Denial of Service (DDoS) attacks, port scanning, and Advanced Persistent Threats (APTs) — represent a critical subset of these incidents, capable of compromising sensitive data, disrupting operations, and undermining public trust in digital infrastructure.</w:t>
      </w:r>
    </w:p>
    <w:p>
      <w:pPr>
        <w:spacing w:after="100" w:line="260"/>
        <w:jc w:val="both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Intrusion Detection Systems (IDS) constitute a fundamental defense layer in network security architectures. Conventional IDS solutions, such as Snort and Suricata, operate on a signature-based model wherein network traffic is compared against a database of known attack patterns. While effective against documented threats, this approach is inherently reactive: it cannot detect zero-day exploits, generates high false-positive rates causing analyst alert fatigue, and requires continuous operational maintenance [2].</w:t>
      </w:r>
    </w:p>
    <w:p>
      <w:pPr>
        <w:spacing w:after="100" w:line="260"/>
        <w:jc w:val="both"/>
      </w:pPr>
      <w:r>
        <w:rPr>
          <w:rFonts w:ascii="Times New Roman" w:cs="Times New Roman" w:eastAsia="Times New Roman" w:hAnsi="Times New Roman"/>
          <w:sz w:val="20"/>
          <w:szCs w:val="20"/>
        </w:rPr>
        <w:t>Machine learning approaches learn discriminative patterns directly from traffic data and can generalize to variants of known attacks. Random Forest [3], XGBoost [4], and deep learning architectures [5] have all been applied to IDS. However, many studies evaluate offline against passive attackers and report results on easier splits, which limits how far they transfer to deployment.</w:t>
      </w:r>
    </w:p>
    <w:p>
      <w:pPr>
        <w:spacing w:after="100" w:line="260"/>
        <w:jc w:val="both"/>
      </w:pPr>
      <w:r>
        <w:rPr>
          <w:rFonts w:ascii="Times New Roman" w:cs="Times New Roman" w:eastAsia="Times New Roman" w:hAnsi="Times New Roman"/>
          <w:sz w:val="20"/>
          <w:szCs w:val="20"/>
        </w:rPr>
        <w:t>In response, this paper presents RT-MLIDS (Real-Time Machine Learning Intrusion Detection System), an open-source, reproducible framework. Its contributions are: (1) a stacked ensemble of Random Forest and XGBoost with a meta-learner trained on out-of-fold predictions; (2) an honest evaluation on the full KDDTest+ set reporting binary and multi-class metrics separately, with variation over random seeds; (3) a black-box adversarial evaluation (HopSkipJump and ZOO) that reports results on both raw and validity-projected adversarial points with confidence intervals; and (4) SHAP analysis of the XGBoost base learner. All numbers are regenerated by a single script in the public repository.</w:t>
      </w:r>
    </w:p>
    <w:p>
      <w:pPr>
        <w:spacing w:after="80" w:before="180"/>
        <w:jc w:val="left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II. RELATED WORK</w:t>
      </w:r>
    </w:p>
    <w:p>
      <w:pPr>
        <w:spacing w:after="100" w:line="260"/>
        <w:jc w:val="both"/>
      </w:pPr>
      <w:r>
        <w:rPr>
          <w:rFonts w:ascii="Times New Roman" w:cs="Times New Roman" w:eastAsia="Times New Roman" w:hAnsi="Times New Roman"/>
          <w:sz w:val="20"/>
          <w:szCs w:val="20"/>
        </w:rPr>
        <w:t>Early ML-based IDS research applied single classifiers to the KDD Cup 1999 and NSL-KDD datasets; Dhanabal and Shantharajah [3] analysed NSL-KDD with standard classifiers, and Yin et al. [5] applied recurrent neural networks to the same benchmark. Reported accuracies on NSL-KDD vary widely with the evaluation protocol: results on random splits or on the easier KDDTest-21 subset are typically much higher than on the full KDDTest+ set, which contains attack types absent from training [13].</w:t>
      </w:r>
    </w:p>
    <w:p>
      <w:pPr>
        <w:spacing w:after="100" w:line="260"/>
        <w:jc w:val="both"/>
      </w:pPr>
      <w:r>
        <w:rPr>
          <w:rFonts w:ascii="Times New Roman" w:cs="Times New Roman" w:eastAsia="Times New Roman" w:hAnsi="Times New Roman"/>
          <w:sz w:val="20"/>
          <w:szCs w:val="20"/>
        </w:rPr>
        <w:t>Tree-based ensembles and hybrid deep models have been reported to perform strongly on more recent datasets [6], [7], [8]. Nagar et al. [14] review machine-learning approaches to DDoS detection and highlight adversarial robustness and explainability as open challenges, which motivates the evaluation in this paper.</w:t>
      </w:r>
    </w:p>
    <w:p>
      <w:pPr>
        <w:spacing w:after="100" w:line="260"/>
        <w:jc w:val="both"/>
      </w:pPr>
      <w:r>
        <w:rPr>
          <w:rFonts w:ascii="Times New Roman" w:cs="Times New Roman" w:eastAsia="Times New Roman" w:hAnsi="Times New Roman"/>
          <w:sz w:val="20"/>
          <w:szCs w:val="20"/>
        </w:rPr>
        <w:t>Explainability in IDS has received growing attention; Akintade et al. [9] applied SHAP and LIME to tree-based IDS and identified flow-level features such as destination port and duration as influential.</w:t>
      </w:r>
    </w:p>
    <w:p>
      <w:pPr>
        <w:spacing w:after="100" w:line="260"/>
        <w:jc w:val="both"/>
      </w:pPr>
      <w:r>
        <w:rPr>
          <w:rFonts w:ascii="Times New Roman" w:cs="Times New Roman" w:eastAsia="Times New Roman" w:hAnsi="Times New Roman"/>
          <w:sz w:val="20"/>
          <w:szCs w:val="20"/>
        </w:rPr>
        <w:t>Adversarial attacks on ML-based IDS have been surveyed by Vitorino et al. [10], who emphasise that realistic attacks must respect the constraints of network traffic, and Yuan et al. [11] studied evasion of deep-learning IDS. Black-box evaluations of tree ensembles on NSL-KDD with explicit feature-validity handling remain less commonly reported; this paper contributes one such evaluation, with the caveats discussed in Section V.</w:t>
      </w:r>
    </w:p>
    <w:p>
      <w:pPr>
        <w:spacing w:after="80" w:before="180"/>
        <w:jc w:val="left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III. PROPOSED FRAMEWORK: RT-MLIDS</w:t>
      </w:r>
    </w:p>
    <w:p>
      <w:pPr>
        <w:spacing w:after="60" w:before="120"/>
      </w:pPr>
      <w:r>
        <w:rPr>
          <w:rFonts w:ascii="Times New Roman" w:cs="Times New Roman" w:eastAsia="Times New Roman" w:hAnsi="Times New Roman"/>
          <w:b/>
          <w:bCs/>
          <w:i/>
          <w:iCs/>
          <w:sz w:val="20"/>
          <w:szCs w:val="20"/>
        </w:rPr>
        <w:t xml:space="preserve">A. System Architecture</w:t>
      </w:r>
    </w:p>
    <w:p>
      <w:pPr>
        <w:spacing w:after="100" w:line="260"/>
        <w:jc w:val="both"/>
      </w:pPr>
      <w:r>
        <w:rPr>
          <w:rFonts w:ascii="Times New Roman" w:cs="Times New Roman" w:eastAsia="Times New Roman" w:hAnsi="Times New Roman"/>
          <w:sz w:val="20"/>
          <w:szCs w:val="20"/>
        </w:rPr>
        <w:t>RT-MLIDS is a six-stage pipeline: flow records, preprocessing (one-hot encoding and mutual-information feature selection), scaling and class balancing, base-learner inference, logistic-regression meta-learning, and alert generation. Fig. 8 illustrates the pipeline. The repository also provides a Kafka-consumer front end for the same preprocessing and inference code; that front end is tested with a mock consumer, and the evaluation in this paper replays NSL-KDD records through it without a broker.</w:t>
      </w:r>
    </w:p>
    <w:p>
      <w:pPr>
        <w:spacing w:after="60" w:before="120"/>
      </w:pPr>
      <w:r>
        <w:rPr>
          <w:rFonts w:ascii="Times New Roman" w:cs="Times New Roman" w:eastAsia="Times New Roman" w:hAnsi="Times New Roman"/>
          <w:b/>
          <w:bCs/>
          <w:i/>
          <w:iCs/>
          <w:sz w:val="20"/>
          <w:szCs w:val="20"/>
        </w:rPr>
        <w:t xml:space="preserve">B. Feature Engineering</w:t>
      </w:r>
    </w:p>
    <w:p>
      <w:pPr>
        <w:spacing w:after="100" w:line="260"/>
        <w:jc w:val="both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Features and selection: </w:t>
      </w:r>
      <w:r>
        <w:rPr>
          <w:rFonts w:ascii="Times New Roman" w:cs="Times New Roman" w:eastAsia="Times New Roman" w:hAnsi="Times New Roman"/>
          <w:sz w:val="20"/>
          <w:szCs w:val="20"/>
        </w:rPr>
        <w:t>NSL-KDD provides 41 pre-extracted features per connection record (the paper's first version incorrectly referred to CICFlowMeter, which is not used). The three categorical features (protocol_type, service, flag) are one-hot encoded, giving 122 columns across KDDTrain+ and KDDTest+. Mutual Information Gain (MIG), fitted on the training set only, retains the top-30 columns:</w:t>
      </w:r>
    </w:p>
    <w:p>
      <w:pPr>
        <w:spacing w:after="80" w:before="80"/>
        <w:jc w:val="center"/>
      </w:pPr>
      <w:r>
        <w:rPr>
          <w:rFonts w:ascii="Courier New" w:cs="Courier New" w:eastAsia="Courier New" w:hAnsi="Courier New"/>
          <w:b/>
          <w:bCs/>
          <w:color w:val="1F3864"/>
          <w:sz w:val="18"/>
          <w:szCs w:val="18"/>
        </w:rPr>
        <w:t xml:space="preserve">I(X;Y) = Σ P(x,y) log[P(x,y) / P(x)P(y)]</w:t>
      </w:r>
    </w:p>
    <w:p>
      <w:pPr>
        <w:spacing w:after="100" w:line="260"/>
        <w:jc w:val="both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Class balancing and scaling: </w:t>
      </w:r>
      <w:r>
        <w:rPr>
          <w:rFonts w:ascii="Times New Roman" w:cs="Times New Roman" w:eastAsia="Times New Roman" w:hAnsi="Times New Roman"/>
          <w:sz w:val="20"/>
          <w:szCs w:val="20"/>
        </w:rPr>
        <w:t>The NSL-KDD training set is highly imbalanced (U2R is 0.04% of records). Features are MinMax-scaled (fitted on training data) and SMOTE generates synthetic minority samples by interpolation between neighbours; with the default strategy every class is oversampled to the majority-class size. SMOTE is applied only to training folds and to the final training set, never to evaluation data:</w:t>
      </w:r>
    </w:p>
    <w:p>
      <w:pPr>
        <w:spacing w:after="80" w:before="80"/>
        <w:jc w:val="center"/>
      </w:pPr>
      <w:r>
        <w:rPr>
          <w:rFonts w:ascii="Courier New" w:cs="Courier New" w:eastAsia="Courier New" w:hAnsi="Courier New"/>
          <w:b/>
          <w:bCs/>
          <w:color w:val="1F3864"/>
          <w:sz w:val="18"/>
          <w:szCs w:val="18"/>
        </w:rPr>
        <w:t xml:space="preserve">x_new = xᵢ + λ·(x_neighbor - xᵢ),   λ ~ Uniform(0,1)</w:t>
      </w:r>
    </w:p>
    <w:p>
      <w:pPr>
        <w:spacing w:after="60" w:before="120"/>
      </w:pPr>
      <w:r>
        <w:rPr>
          <w:rFonts w:ascii="Times New Roman" w:cs="Times New Roman" w:eastAsia="Times New Roman" w:hAnsi="Times New Roman"/>
          <w:b/>
          <w:bCs/>
          <w:i/>
          <w:iCs/>
          <w:sz w:val="20"/>
          <w:szCs w:val="20"/>
        </w:rPr>
        <w:t xml:space="preserve">C. Ensemble Classification Engine</w:t>
      </w:r>
    </w:p>
    <w:p>
      <w:pPr>
        <w:spacing w:after="100" w:line="260"/>
        <w:jc w:val="both"/>
      </w:pPr>
      <w:r>
        <w:rPr>
          <w:rFonts w:ascii="Times New Roman" w:cs="Times New Roman" w:eastAsia="Times New Roman" w:hAnsi="Times New Roman"/>
          <w:sz w:val="20"/>
          <w:szCs w:val="20"/>
        </w:rPr>
        <w:t>The classification engine uses stacked generalization. In Layer 1, Random Forest (500 trees, max depth 15) and XGBoost (300 estimators, learning rate 0.05, max depth 6) each produce class-probability vectors. The meta-learner is trained on out-of-fold probabilities from 3-fold stratified cross-validation of the training data, with SMOTE applied inside each training fold, so that meta-features are never computed on data a base learner was fitted on. In Layer 2, multinomial logistic regression combines the concatenated probability vectors:</w:t>
      </w:r>
    </w:p>
    <w:p>
      <w:pPr>
        <w:spacing w:after="80" w:before="80"/>
        <w:jc w:val="center"/>
      </w:pPr>
      <w:r>
        <w:rPr>
          <w:rFonts w:ascii="Courier New" w:cs="Courier New" w:eastAsia="Courier New" w:hAnsi="Courier New"/>
          <w:b/>
          <w:bCs/>
          <w:color w:val="1F3864"/>
          <w:sz w:val="18"/>
          <w:szCs w:val="18"/>
        </w:rPr>
        <w:t>P(c|x) = softmax_c(W · [p_RF(x); p_XGB(x)] + b)</w:t>
      </w:r>
    </w:p>
    <w:p>
      <w:pPr>
        <w:spacing w:after="100" w:line="260"/>
        <w:jc w:val="both"/>
      </w:pPr>
      <w:r>
        <w:rPr>
          <w:rFonts w:ascii="Times New Roman" w:cs="Times New Roman" w:eastAsia="Times New Roman" w:hAnsi="Times New Roman"/>
          <w:sz w:val="20"/>
          <w:szCs w:val="20"/>
        </w:rPr>
        <w:t>A flow is flagged as an attack when the predicted class is not 'normal' and its confidence is at least θ = 0.85. θ is a fixed operating point, not tuned on the test set; Table II-b reports coverage and accuracy for several thresholds. Fig. 9 illustrates the ensemble architecture.</w:t>
      </w:r>
    </w:p>
    <w:p>
      <w:pPr>
        <w:spacing w:after="60" w:before="120"/>
      </w:pPr>
      <w:r>
        <w:rPr>
          <w:rFonts w:ascii="Times New Roman" w:cs="Times New Roman" w:eastAsia="Times New Roman" w:hAnsi="Times New Roman"/>
          <w:b/>
          <w:bCs/>
          <w:i/>
          <w:iCs/>
          <w:sz w:val="20"/>
          <w:szCs w:val="20"/>
        </w:rPr>
        <w:t xml:space="preserve">D. Real-Time Streaming Pipeline</w:t>
      </w:r>
    </w:p>
    <w:p>
      <w:pPr>
        <w:spacing w:after="100" w:line="260"/>
        <w:jc w:val="both"/>
      </w:pPr>
      <w:r>
        <w:rPr>
          <w:rFonts w:ascii="Times New Roman" w:cs="Times New Roman" w:eastAsia="Times New Roman" w:hAnsi="Times New Roman"/>
          <w:sz w:val="20"/>
          <w:szCs w:val="20"/>
        </w:rPr>
        <w:t>In the streaming implementation, records are consumed from a Kafka topic (or any iterable), buffered into micro-batches of 512 flows, preprocessed with the fitted pipeline, classified, and passed to an alert engine. We replay 5,000 test records through this code path to measure end-to-end processing cost (Section IV-C); Kafka transport and live feature extraction are not included in that measurement.</w:t>
      </w:r>
    </w:p>
    <w:p>
      <w:pPr>
        <w:spacing w:after="80" w:before="180"/>
        <w:jc w:val="left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IV. EXPERIMENTAL EVALUATION</w:t>
      </w:r>
    </w:p>
    <w:p>
      <w:pPr>
        <w:spacing w:after="60" w:before="120"/>
      </w:pPr>
      <w:r>
        <w:rPr>
          <w:rFonts w:ascii="Times New Roman" w:cs="Times New Roman" w:eastAsia="Times New Roman" w:hAnsi="Times New Roman"/>
          <w:b/>
          <w:bCs/>
          <w:i/>
          <w:iCs/>
          <w:sz w:val="20"/>
          <w:szCs w:val="20"/>
        </w:rPr>
        <w:t xml:space="preserve">A. Dataset and Experimental Setup</w:t>
      </w:r>
    </w:p>
    <w:p>
      <w:pPr>
        <w:spacing w:after="100" w:line="260"/>
        <w:jc w:val="both"/>
      </w:pPr>
      <w:r>
        <w:rPr>
          <w:rFonts w:ascii="Times New Roman" w:cs="Times New Roman" w:eastAsia="Times New Roman" w:hAnsi="Times New Roman"/>
          <w:sz w:val="20"/>
          <w:szCs w:val="20"/>
        </w:rPr>
        <w:t>RT-MLIDS is evaluated on NSL-KDD: 125,973 training and 22,544 test records. Evaluation uses the complete KDDTest+ set, including attack types absent from training, rather than the easier KDDTest-21 subset. All 37 attack names are mapped explicitly to the five categories (an earlier version of the code silently mapped unseen names to U2R). Experiments ran on a 2-vCPU cloud container. Classification results are mean ± standard deviation over 3 random seeds (seeds affect MIG tie-breaking, cross-validation splits, SMOTE and model initialisation; the train/test split is fixed). The SVM is an RBF-kernel SVM trained on a 30,000-record stratified subsample (marked *), because full-data training is impractical.</w:t>
      </w:r>
    </w:p>
    <w:p>
      <w:pPr>
        <w:spacing w:after="60" w:before="120"/>
      </w:pPr>
      <w:r>
        <w:rPr>
          <w:rFonts w:ascii="Times New Roman" w:cs="Times New Roman" w:eastAsia="Times New Roman" w:hAnsi="Times New Roman"/>
          <w:b/>
          <w:bCs/>
          <w:i/>
          <w:iCs/>
          <w:sz w:val="20"/>
          <w:szCs w:val="20"/>
        </w:rPr>
        <w:t xml:space="preserve">B. Classification Performance</w:t>
      </w:r>
    </w:p>
    <w:p>
      <w:pPr>
        <w:spacing w:after="100" w:line="260"/>
        <w:jc w:val="both"/>
      </w:pPr>
      <w:r>
        <w:rPr>
          <w:rFonts w:ascii="Times New Roman" w:cs="Times New Roman" w:eastAsia="Times New Roman" w:hAnsi="Times New Roman"/>
          <w:sz w:val="20"/>
          <w:szCs w:val="20"/>
        </w:rPr>
        <w:t>Table I reports attack-vs-normal (binary) metrics, i.e. the view relevant to an IDS operator; Table I-b reports the five-class weighted metrics, where weighted recall equals accuracy. XGBoost is the best model on both views (binary F1 78.29 ± 0.10%, five-class accuracy 77.64 ± 0.40%); the stacked ensemble is within about one point (76.89 ± 0.24% and 77.00 ± 0.28%) and does not improve on it. Precision on attack detection is similar for XGBoost and the ensemble (96.71 ± 0.01% vs 96.71 ± 0.02%), so no claim of superior precision is made.</w:t>
      </w:r>
    </w:p>
    <w:p>
      <w:pPr>
        <w:spacing w:after="60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/>
      </w:r>
    </w:p>
    <w:p>
      <w:pPr>
        <w:spacing w:after="30"/>
        <w:jc w:val="center"/>
      </w:pPr>
      <w:r>
        <w:rPr>
          <w:rFonts w:ascii="Times New Roman" w:cs="Times New Roman" w:eastAsia="Times New Roman" w:hAnsi="Times New Roman"/>
          <w:b/>
          <w:bCs/>
          <w:sz w:val="18"/>
          <w:szCs w:val="18"/>
        </w:rPr>
        <w:t xml:space="preserve">TABLE I</w:t>
      </w:r>
    </w:p>
    <w:p>
      <w:pPr>
        <w:spacing w:after="80"/>
        <w:jc w:val="center"/>
      </w:pPr>
      <w:r>
        <w:rPr>
          <w:rFonts w:ascii="Times New Roman" w:cs="Times New Roman" w:eastAsia="Times New Roman" w:hAnsi="Times New Roman"/>
          <w:i/>
          <w:iCs/>
          <w:sz w:val="18"/>
          <w:szCs w:val="18"/>
        </w:rPr>
        <w:t>Attack-vs-Normal Metrics — NSL-KDD KDDTest+ (mean ± std over 3 seeds, %)</w:t>
      </w:r>
    </w:p>
    <w:tbl>
      <w:tblPr>
        <w:tblW w:type="dxa" w:w="8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1600"/>
        <w:gridCol w:w="1600"/>
        <w:gridCol w:w="1600"/>
        <w:gridCol w:w="1600"/>
      </w:tblGrid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97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18"/>
                <w:szCs w:val="18"/>
              </w:rPr>
              <w:t>Model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97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18"/>
                <w:szCs w:val="18"/>
              </w:rPr>
              <w:t>Accuracy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97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18"/>
                <w:szCs w:val="18"/>
              </w:rPr>
              <w:t>Precision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97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18"/>
                <w:szCs w:val="18"/>
              </w:rPr>
              <w:t>Recall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97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18"/>
                <w:szCs w:val="18"/>
              </w:rPr>
              <w:t>F1-Score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0"/>
                <w:bCs w:val="false"/>
                <w:color w:val="000000"/>
                <w:sz w:val="18"/>
                <w:szCs w:val="18"/>
              </w:rPr>
              <w:t>Random Forest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0"/>
                <w:bCs w:val="false"/>
                <w:color w:val="000000"/>
                <w:sz w:val="18"/>
                <w:szCs w:val="18"/>
              </w:rPr>
              <w:t>75.38 ± 0.23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0"/>
                <w:bCs w:val="false"/>
                <w:color w:val="000000"/>
                <w:sz w:val="18"/>
                <w:szCs w:val="18"/>
              </w:rPr>
              <w:t>92.31 ± 0.27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0"/>
                <w:bCs w:val="false"/>
                <w:color w:val="000000"/>
                <w:sz w:val="18"/>
                <w:szCs w:val="18"/>
              </w:rPr>
              <w:t>61.90 ± 0.46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0"/>
                <w:bCs w:val="false"/>
                <w:color w:val="000000"/>
                <w:sz w:val="18"/>
                <w:szCs w:val="18"/>
              </w:rPr>
              <w:t>74.11 ± 0.31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0"/>
                <w:bCs w:val="false"/>
                <w:color w:val="000000"/>
                <w:sz w:val="18"/>
                <w:szCs w:val="18"/>
              </w:rPr>
              <w:t>XGBoost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0"/>
                <w:bCs w:val="false"/>
                <w:color w:val="000000"/>
                <w:sz w:val="18"/>
                <w:szCs w:val="18"/>
              </w:rPr>
              <w:t>79.24 ± 0.08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0"/>
                <w:bCs w:val="false"/>
                <w:color w:val="000000"/>
                <w:sz w:val="18"/>
                <w:szCs w:val="18"/>
              </w:rPr>
              <w:t>96.71 ± 0.01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0"/>
                <w:bCs w:val="false"/>
                <w:color w:val="000000"/>
                <w:sz w:val="18"/>
                <w:szCs w:val="18"/>
              </w:rPr>
              <w:t>65.76 ± 0.14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0"/>
                <w:bCs/>
                <w:color w:val="375623"/>
                <w:sz w:val="18"/>
                <w:szCs w:val="18"/>
              </w:rPr>
              <w:t>78.29 ± 0.10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0"/>
                <w:bCs w:val="false"/>
                <w:color w:val="000000"/>
                <w:sz w:val="18"/>
                <w:szCs w:val="18"/>
              </w:rPr>
              <w:t>SVM*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0"/>
                <w:bCs w:val="false"/>
                <w:color w:val="000000"/>
                <w:sz w:val="18"/>
                <w:szCs w:val="18"/>
              </w:rPr>
              <w:t>73.08 ± 0.27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0"/>
                <w:bCs w:val="false"/>
                <w:color w:val="000000"/>
                <w:sz w:val="18"/>
                <w:szCs w:val="18"/>
              </w:rPr>
              <w:t>91.44 ± 0.05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0"/>
                <w:bCs w:val="false"/>
                <w:color w:val="000000"/>
                <w:sz w:val="18"/>
                <w:szCs w:val="18"/>
              </w:rPr>
              <w:t>58.15 ± 0.49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0"/>
                <w:bCs w:val="false"/>
                <w:color w:val="000000"/>
                <w:sz w:val="18"/>
                <w:szCs w:val="18"/>
              </w:rPr>
              <w:t>71.09 ± 0.38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0"/>
                <w:bCs w:val="false"/>
                <w:color w:val="000000"/>
                <w:sz w:val="18"/>
                <w:szCs w:val="18"/>
              </w:rPr>
              <w:t>Stacked Ensemble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0"/>
                <w:bCs w:val="false"/>
                <w:color w:val="000000"/>
                <w:sz w:val="18"/>
                <w:szCs w:val="18"/>
              </w:rPr>
              <w:t>78.17 ± 0.19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0"/>
                <w:bCs w:val="false"/>
                <w:color w:val="000000"/>
                <w:sz w:val="18"/>
                <w:szCs w:val="18"/>
              </w:rPr>
              <w:t>96.71 ± 0.02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0"/>
                <w:bCs w:val="false"/>
                <w:color w:val="000000"/>
                <w:sz w:val="18"/>
                <w:szCs w:val="18"/>
              </w:rPr>
              <w:t>63.82 ± 0.33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0"/>
                <w:bCs/>
                <w:color w:val="1F497D"/>
                <w:sz w:val="18"/>
                <w:szCs w:val="18"/>
              </w:rPr>
              <w:t>76.89 ± 0.24</w:t>
            </w:r>
          </w:p>
        </w:tc>
      </w:tr>
    </w:tbl>
    <w:p>
      <w:pPr>
        <w:spacing w:after="30"/>
        <w:jc w:val="center"/>
      </w:pPr>
      <w:r>
        <w:rPr>
          <w:rFonts w:ascii="Times New Roman" w:cs="Times New Roman" w:eastAsia="Times New Roman" w:hAnsi="Times New Roman"/>
          <w:b/>
          <w:bCs/>
          <w:sz w:val="18"/>
          <w:szCs w:val="18"/>
        </w:rPr>
        <w:t>TABLE I-b</w:t>
      </w:r>
    </w:p>
    <w:tbl>
      <w:tblPr>
        <w:tblW w:type="dxa" w:w="8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1600"/>
        <w:gridCol w:w="1600"/>
        <w:gridCol w:w="1600"/>
        <w:gridCol w:w="1600"/>
      </w:tblGrid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97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18"/>
                <w:szCs w:val="18"/>
              </w:rPr>
              <w:t>Model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97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18"/>
                <w:szCs w:val="18"/>
              </w:rPr>
              <w:t>Accuracy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97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18"/>
                <w:szCs w:val="18"/>
              </w:rPr>
              <w:t>Precision (w)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97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18"/>
                <w:szCs w:val="18"/>
              </w:rPr>
              <w:t>Recall (w)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97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18"/>
                <w:szCs w:val="18"/>
              </w:rPr>
              <w:t>F1 (w)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0"/>
                <w:bCs w:val="false"/>
                <w:color w:val="000000"/>
                <w:sz w:val="18"/>
                <w:szCs w:val="18"/>
              </w:rPr>
              <w:t>Random Forest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0"/>
                <w:bCs w:val="false"/>
                <w:color w:val="000000"/>
                <w:sz w:val="18"/>
                <w:szCs w:val="18"/>
              </w:rPr>
              <w:t>74.14 ± 0.22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0"/>
                <w:bCs w:val="false"/>
                <w:color w:val="000000"/>
                <w:sz w:val="18"/>
                <w:szCs w:val="18"/>
              </w:rPr>
              <w:t>78.68 ± 0.21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0"/>
                <w:bCs w:val="false"/>
                <w:color w:val="000000"/>
                <w:sz w:val="18"/>
                <w:szCs w:val="18"/>
              </w:rPr>
              <w:t>74.14 ± 0.22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0"/>
                <w:bCs w:val="false"/>
                <w:color w:val="000000"/>
                <w:sz w:val="18"/>
                <w:szCs w:val="18"/>
              </w:rPr>
              <w:t>70.31 ± 0.25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0"/>
                <w:bCs w:val="false"/>
                <w:color w:val="000000"/>
                <w:sz w:val="18"/>
                <w:szCs w:val="18"/>
              </w:rPr>
              <w:t>XGBoost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0"/>
                <w:bCs w:val="false"/>
                <w:color w:val="000000"/>
                <w:sz w:val="18"/>
                <w:szCs w:val="18"/>
              </w:rPr>
              <w:t>77.64 ± 0.40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0"/>
                <w:bCs w:val="false"/>
                <w:color w:val="000000"/>
                <w:sz w:val="18"/>
                <w:szCs w:val="18"/>
              </w:rPr>
              <w:t>82.62 ± 0.41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0"/>
                <w:bCs w:val="false"/>
                <w:color w:val="000000"/>
                <w:sz w:val="18"/>
                <w:szCs w:val="18"/>
              </w:rPr>
              <w:t>77.64 ± 0.40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0"/>
                <w:bCs/>
                <w:color w:val="375623"/>
                <w:sz w:val="18"/>
                <w:szCs w:val="18"/>
              </w:rPr>
              <w:t>74.35 ± 0.49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0"/>
                <w:bCs w:val="false"/>
                <w:color w:val="000000"/>
                <w:sz w:val="18"/>
                <w:szCs w:val="18"/>
              </w:rPr>
              <w:t>SVM*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0"/>
                <w:bCs w:val="false"/>
                <w:color w:val="000000"/>
                <w:sz w:val="18"/>
                <w:szCs w:val="18"/>
              </w:rPr>
              <w:t>71.75 ± 0.17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0"/>
                <w:bCs w:val="false"/>
                <w:color w:val="000000"/>
                <w:sz w:val="18"/>
                <w:szCs w:val="18"/>
              </w:rPr>
              <w:t>73.19 ± 0.37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0"/>
                <w:bCs w:val="false"/>
                <w:color w:val="000000"/>
                <w:sz w:val="18"/>
                <w:szCs w:val="18"/>
              </w:rPr>
              <w:t>71.75 ± 0.17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0"/>
                <w:bCs w:val="false"/>
                <w:color w:val="000000"/>
                <w:sz w:val="18"/>
                <w:szCs w:val="18"/>
              </w:rPr>
              <w:t>67.09 ± 0.15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0"/>
                <w:bCs w:val="false"/>
                <w:color w:val="000000"/>
                <w:sz w:val="18"/>
                <w:szCs w:val="18"/>
              </w:rPr>
              <w:t>Stacked Ensemble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0"/>
                <w:bCs w:val="false"/>
                <w:color w:val="000000"/>
                <w:sz w:val="18"/>
                <w:szCs w:val="18"/>
              </w:rPr>
              <w:t>77.00 ± 0.28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0"/>
                <w:bCs w:val="false"/>
                <w:color w:val="000000"/>
                <w:sz w:val="18"/>
                <w:szCs w:val="18"/>
              </w:rPr>
              <w:t>82.46 ± 0.22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0"/>
                <w:bCs w:val="false"/>
                <w:color w:val="000000"/>
                <w:sz w:val="18"/>
                <w:szCs w:val="18"/>
              </w:rPr>
              <w:t>77.00 ± 0.28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0"/>
                <w:bCs/>
                <w:color w:val="1F497D"/>
                <w:sz w:val="18"/>
                <w:szCs w:val="18"/>
              </w:rPr>
              <w:t>73.30 ± 0.36</w:t>
            </w:r>
          </w:p>
        </w:tc>
      </w:tr>
    </w:tbl>
    <w:p>
      <w:pPr>
        <w:spacing w:after="80"/>
        <w:jc w:val="center"/>
      </w:pPr>
      <w:r>
        <w:rPr>
          <w:rFonts w:ascii="Times New Roman" w:cs="Times New Roman" w:eastAsia="Times New Roman" w:hAnsi="Times New Roman"/>
          <w:i/>
          <w:iCs/>
          <w:sz w:val="18"/>
          <w:szCs w:val="18"/>
        </w:rPr>
        <w:t>Five-Class Weighted Metrics — NSL-KDD KDDTest+ (mean ± std over 3 seeds, %; * SVM trained on a 30k subsample)</w:t>
      </w:r>
    </w:p>
    <w:p>
      <w:pPr>
        <w:spacing w:after="60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/>
      </w:r>
    </w:p>
    <w:p>
      <w:pPr>
        <w:spacing w:after="100" w:line="260"/>
        <w:jc w:val="both"/>
      </w:pPr>
      <w:r>
        <w:rPr>
          <w:rFonts w:ascii="Times New Roman" w:cs="Times New Roman" w:eastAsia="Times New Roman" w:hAnsi="Times New Roman"/>
          <w:sz w:val="20"/>
          <w:szCs w:val="20"/>
        </w:rPr>
        <w:t>The gap to the 99% figures reported elsewhere is expected: the full KDDTest+ set contains attack variants not seen in training, and recall on those variants is low (binary recall about 63–66%). Recall, not precision, is the limiting factor for these models on this benchmark.</w:t>
      </w:r>
    </w:p>
    <w:p>
      <w:pPr>
        <w:spacing w:after="60" w:before="120"/>
      </w:pPr>
      <w:r>
        <w:rPr>
          <w:rFonts w:ascii="Times New Roman" w:cs="Times New Roman" w:eastAsia="Times New Roman" w:hAnsi="Times New Roman"/>
          <w:b/>
          <w:bCs/>
          <w:i/>
          <w:iCs/>
          <w:sz w:val="20"/>
          <w:szCs w:val="20"/>
        </w:rPr>
        <w:t xml:space="preserve">C. Latency and Throughput</w:t>
      </w:r>
    </w:p>
    <w:p>
      <w:pPr>
        <w:spacing w:after="100" w:line="260"/>
        <w:jc w:val="both"/>
      </w:pPr>
      <w:r>
        <w:rPr>
          <w:rFonts w:ascii="Times New Roman" w:cs="Times New Roman" w:eastAsia="Times New Roman" w:hAnsi="Times New Roman"/>
          <w:sz w:val="20"/>
          <w:szCs w:val="20"/>
        </w:rPr>
        <w:t>Table II reports model-only batch inference cost (batch of 512, single thread, idle machine) and the cost of the end-to-end replay through the streaming code path. XGBoost needs 12.4 µs per flow; the stacked ensemble needs 121.4 µs because it evaluates the 500-tree Random Forest as well. End-to-end replay (preprocessing, inference and alerting, without Kafka transport) costs 150.2 µs per flow for the ensemble. These are single-machine micro-benchmarks, not a deployment latency guarantee.</w:t>
      </w:r>
    </w:p>
    <w:p>
      <w:pPr>
        <w:spacing w:after="60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/>
      </w:r>
    </w:p>
    <w:p>
      <w:pPr>
        <w:spacing w:after="30"/>
        <w:jc w:val="center"/>
      </w:pPr>
      <w:r>
        <w:rPr>
          <w:rFonts w:ascii="Times New Roman" w:cs="Times New Roman" w:eastAsia="Times New Roman" w:hAnsi="Times New Roman"/>
          <w:b/>
          <w:bCs/>
          <w:sz w:val="18"/>
          <w:szCs w:val="18"/>
        </w:rPr>
        <w:t xml:space="preserve">TABLE II</w:t>
      </w:r>
    </w:p>
    <w:p>
      <w:pPr>
        <w:spacing w:after="80"/>
        <w:jc w:val="center"/>
      </w:pPr>
      <w:r>
        <w:rPr>
          <w:rFonts w:ascii="Times New Roman" w:cs="Times New Roman" w:eastAsia="Times New Roman" w:hAnsi="Times New Roman"/>
          <w:i/>
          <w:iCs/>
          <w:sz w:val="18"/>
          <w:szCs w:val="18"/>
        </w:rPr>
        <w:t>Inference Latency and Throughput (batch of 512, single thread)</w:t>
      </w:r>
    </w:p>
    <w:tbl>
      <w:tblPr>
        <w:tblW w:type="dxa" w:w="7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2400"/>
        <w:gridCol w:w="2600"/>
      </w:tblGrid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97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18"/>
                <w:szCs w:val="18"/>
              </w:rPr>
              <w:t>Model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97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18"/>
                <w:szCs w:val="18"/>
              </w:rPr>
              <w:t>Latency / Flow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97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18"/>
                <w:szCs w:val="18"/>
              </w:rPr>
              <w:t>Throughput (flows/sec)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0"/>
                <w:bCs w:val="false"/>
                <w:color w:val="000000"/>
                <w:sz w:val="18"/>
                <w:szCs w:val="18"/>
              </w:rPr>
              <w:t>Random Forest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0"/>
                <w:bCs w:val="false"/>
                <w:color w:val="000000"/>
                <w:sz w:val="18"/>
                <w:szCs w:val="18"/>
              </w:rPr>
              <w:t>102.3 µs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0"/>
                <w:bCs w:val="false"/>
                <w:color w:val="000000"/>
                <w:sz w:val="18"/>
                <w:szCs w:val="18"/>
              </w:rPr>
              <w:t>9,778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0"/>
                <w:bCs w:val="false"/>
                <w:color w:val="000000"/>
                <w:sz w:val="18"/>
                <w:szCs w:val="18"/>
              </w:rPr>
              <w:t>XGBoost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0"/>
                <w:bCs w:val="false"/>
                <w:color w:val="000000"/>
                <w:sz w:val="18"/>
                <w:szCs w:val="18"/>
              </w:rPr>
              <w:t>12.4 µs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0"/>
                <w:bCs w:val="false"/>
                <w:color w:val="000000"/>
                <w:sz w:val="18"/>
                <w:szCs w:val="18"/>
              </w:rPr>
              <w:t>80,398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0"/>
                <w:bCs w:val="false"/>
                <w:color w:val="000000"/>
                <w:sz w:val="18"/>
                <w:szCs w:val="18"/>
              </w:rPr>
              <w:t>Stacked Ensemble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0"/>
                <w:bCs w:val="false"/>
                <w:color w:val="000000"/>
                <w:sz w:val="18"/>
                <w:szCs w:val="18"/>
              </w:rPr>
              <w:t>121.4 µs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0"/>
                <w:bCs w:val="false"/>
                <w:color w:val="000000"/>
                <w:sz w:val="18"/>
                <w:szCs w:val="18"/>
              </w:rPr>
              <w:t>8,235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0"/>
                <w:bCs w:val="false"/>
                <w:color w:val="000000"/>
                <w:sz w:val="18"/>
                <w:szCs w:val="18"/>
              </w:rPr>
              <w:t>Stacked Ensemble — end-to-end replay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0"/>
                <w:bCs w:val="false"/>
                <w:color w:val="000000"/>
                <w:sz w:val="18"/>
                <w:szCs w:val="18"/>
              </w:rPr>
              <w:t>150.2 µs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0"/>
                <w:bCs w:val="false"/>
                <w:color w:val="000000"/>
                <w:sz w:val="18"/>
                <w:szCs w:val="18"/>
              </w:rPr>
              <w:t>6,659</w:t>
            </w:r>
          </w:p>
        </w:tc>
      </w:tr>
    </w:tbl>
    <w:p>
      <w:pPr>
        <w:spacing w:after="100" w:line="260"/>
        <w:jc w:val="both"/>
      </w:pPr>
      <w:r>
        <w:rPr>
          <w:rFonts w:ascii="Times New Roman" w:cs="Times New Roman" w:eastAsia="Times New Roman" w:hAnsi="Times New Roman"/>
          <w:sz w:val="20"/>
          <w:szCs w:val="20"/>
        </w:rPr>
        <w:t>Table II-b. Stacked-ensemble confidence threshold (seed 0): θ=0.5: coverage 99.9%, accuracy on covered flows 76.7%; θ=0.7: coverage 98.7%, accuracy on covered flows 77.2%; θ=0.85: coverage 97.1%, accuracy on covered flows 77.7%; θ=0.95: coverage 95.2%, accuracy on covered flows 78.4%.</w:t>
      </w:r>
    </w:p>
    <w:p>
      <w:pPr>
        <w:spacing w:after="60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/>
      </w:r>
    </w:p>
    <w:p>
      <w:pPr>
        <w:spacing w:after="60" w:before="120"/>
      </w:pPr>
      <w:r>
        <w:rPr>
          <w:rFonts w:ascii="Times New Roman" w:cs="Times New Roman" w:eastAsia="Times New Roman" w:hAnsi="Times New Roman"/>
          <w:b/>
          <w:bCs/>
          <w:i/>
          <w:iCs/>
          <w:sz w:val="20"/>
          <w:szCs w:val="20"/>
        </w:rPr>
        <w:t xml:space="preserve">D. Adversarial Robustness</w:t>
      </w:r>
    </w:p>
    <w:p>
      <w:pPr>
        <w:spacing w:after="100" w:line="260"/>
        <w:jc w:val="both"/>
      </w:pPr>
      <w:r>
        <w:rPr>
          <w:rFonts w:ascii="Times New Roman" w:cs="Times New Roman" w:eastAsia="Times New Roman" w:hAnsi="Times New Roman"/>
          <w:sz w:val="20"/>
          <w:szCs w:val="20"/>
        </w:rPr>
        <w:t>Adversarial attacks were run through ART's black-box wrapper (predicted probabilities only) on a seeded random sample of KDDTest+. Because a raw adversarial vector may not be a valid NSL-KDD record (values outside the scaled range, fractional one-hot columns), accuracy is reported on the raw points and after projection onto valid records (clipping to the scaled range and rounding one-hot columns). Against XGBoost (n=20, clean accuracy 70.0% [48–85]), HopSkipJump reduces five-class accuracy to 15.0% [5–36] raw and 35.0% [18–57] projected; ZOO reduces it to 10.0% [3–30] raw and 15.0% [5–36] projected. Query budgets were limited (XGBoost: HopSkipJump 20 iterations, ZOO 100 iterations; ensemble: HopSkipJump 5 iterations, ZOO 20 iterations). Drops are stated relative to the clean accuracy of the same sample. The stacked ensemble was attacked with a much smaller query budget (n=20; each query evaluates the full ensemble), so its rows are indicative only.</w:t>
      </w:r>
    </w:p>
    <w:p>
      <w:pPr>
        <w:spacing w:after="60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/>
      </w:r>
    </w:p>
    <w:p>
      <w:pPr>
        <w:spacing w:after="30"/>
        <w:jc w:val="center"/>
      </w:pPr>
      <w:r>
        <w:rPr>
          <w:rFonts w:ascii="Times New Roman" w:cs="Times New Roman" w:eastAsia="Times New Roman" w:hAnsi="Times New Roman"/>
          <w:b/>
          <w:bCs/>
          <w:sz w:val="18"/>
          <w:szCs w:val="18"/>
        </w:rPr>
        <w:t xml:space="preserve">TABLE III</w:t>
      </w:r>
    </w:p>
    <w:p>
      <w:pPr>
        <w:spacing w:after="80"/>
        <w:jc w:val="center"/>
      </w:pPr>
      <w:r>
        <w:rPr>
          <w:rFonts w:ascii="Times New Roman" w:cs="Times New Roman" w:eastAsia="Times New Roman" w:hAnsi="Times New Roman"/>
          <w:i/>
          <w:iCs/>
          <w:sz w:val="18"/>
          <w:szCs w:val="18"/>
        </w:rPr>
        <w:t>Adversarial Robustness — five-class accuracy, 95% Wilson interval in brackets</w:t>
      </w:r>
    </w:p>
    <w:tbl>
      <w:tblPr>
        <w:tblW w:type="dxa" w:w="7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2000"/>
        <w:gridCol w:w="2400"/>
      </w:tblGrid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97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18"/>
                <w:szCs w:val="18"/>
              </w:rPr>
              <w:t>Condition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97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18"/>
                <w:szCs w:val="18"/>
              </w:rPr>
              <w:t>Accuracy [95% CI]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97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18"/>
                <w:szCs w:val="18"/>
              </w:rPr>
              <w:t>n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0"/>
                <w:bCs w:val="false"/>
                <w:color w:val="000000"/>
                <w:sz w:val="18"/>
                <w:szCs w:val="18"/>
              </w:rPr>
              <w:t>XGBoost — clean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0"/>
                <w:bCs w:val="false"/>
                <w:color w:val="000000"/>
                <w:sz w:val="18"/>
                <w:szCs w:val="18"/>
              </w:rPr>
              <w:t>70.0% [48–85]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0"/>
                <w:bCs w:val="false"/>
                <w:color w:val="000000"/>
                <w:sz w:val="18"/>
                <w:szCs w:val="18"/>
              </w:rPr>
              <w:t>20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0"/>
                <w:bCs w:val="false"/>
                <w:color w:val="000000"/>
                <w:sz w:val="18"/>
                <w:szCs w:val="18"/>
              </w:rPr>
              <w:t>XGBoost — HopSkipJump, raw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0"/>
                <w:bCs w:val="false"/>
                <w:color w:val="000000"/>
                <w:sz w:val="18"/>
                <w:szCs w:val="18"/>
              </w:rPr>
              <w:t>15.0% [5–36]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0"/>
                <w:bCs/>
                <w:color w:val="C00000"/>
                <w:sz w:val="18"/>
                <w:szCs w:val="18"/>
              </w:rPr>
              <w:t>20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0"/>
                <w:bCs w:val="false"/>
                <w:color w:val="000000"/>
                <w:sz w:val="18"/>
                <w:szCs w:val="18"/>
              </w:rPr>
              <w:t>XGBoost — HopSkipJump, projected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0"/>
                <w:bCs w:val="false"/>
                <w:color w:val="000000"/>
                <w:sz w:val="18"/>
                <w:szCs w:val="18"/>
              </w:rPr>
              <w:t>35.0% [18–57]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0"/>
                <w:bCs w:val="false"/>
                <w:color w:val="000000"/>
                <w:sz w:val="18"/>
                <w:szCs w:val="18"/>
              </w:rPr>
              <w:t>20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0"/>
                <w:bCs w:val="false"/>
                <w:color w:val="000000"/>
                <w:sz w:val="18"/>
                <w:szCs w:val="18"/>
              </w:rPr>
              <w:t>XGBoost — ZOO, raw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0"/>
                <w:bCs w:val="false"/>
                <w:color w:val="000000"/>
                <w:sz w:val="18"/>
                <w:szCs w:val="18"/>
              </w:rPr>
              <w:t>10.0% [3–30]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0"/>
                <w:bCs w:val="false"/>
                <w:color w:val="000000"/>
                <w:sz w:val="18"/>
                <w:szCs w:val="18"/>
              </w:rPr>
              <w:t>20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0"/>
                <w:bCs w:val="false"/>
                <w:color w:val="000000"/>
                <w:sz w:val="18"/>
                <w:szCs w:val="18"/>
              </w:rPr>
              <w:t>XGBoost — ZOO, projected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0"/>
                <w:bCs w:val="false"/>
                <w:color w:val="000000"/>
                <w:sz w:val="18"/>
                <w:szCs w:val="18"/>
              </w:rPr>
              <w:t>15.0% [5–36]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0"/>
                <w:bCs w:val="false"/>
                <w:color w:val="000000"/>
                <w:sz w:val="18"/>
                <w:szCs w:val="18"/>
              </w:rPr>
              <w:t>20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0"/>
                <w:bCs w:val="false"/>
                <w:color w:val="000000"/>
                <w:sz w:val="18"/>
                <w:szCs w:val="18"/>
              </w:rPr>
              <w:t>Stacked Ensemble — clean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0"/>
                <w:bCs w:val="false"/>
                <w:color w:val="000000"/>
                <w:sz w:val="18"/>
                <w:szCs w:val="18"/>
              </w:rPr>
              <w:t>70.0% [48–85]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0"/>
                <w:bCs w:val="false"/>
                <w:color w:val="000000"/>
                <w:sz w:val="18"/>
                <w:szCs w:val="18"/>
              </w:rPr>
              <w:t>20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0"/>
                <w:bCs w:val="false"/>
                <w:color w:val="000000"/>
                <w:sz w:val="18"/>
                <w:szCs w:val="18"/>
              </w:rPr>
              <w:t>Stacked Ensemble — HopSkipJump, raw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0"/>
                <w:bCs w:val="false"/>
                <w:color w:val="000000"/>
                <w:sz w:val="18"/>
                <w:szCs w:val="18"/>
              </w:rPr>
              <w:t>5.0% [1–24]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0"/>
                <w:bCs w:val="false"/>
                <w:color w:val="000000"/>
                <w:sz w:val="18"/>
                <w:szCs w:val="18"/>
              </w:rPr>
              <w:t>20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0"/>
                <w:bCs w:val="false"/>
                <w:color w:val="000000"/>
                <w:sz w:val="18"/>
                <w:szCs w:val="18"/>
              </w:rPr>
              <w:t>Stacked Ensemble — HopSkipJump, projected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0"/>
                <w:bCs w:val="false"/>
                <w:color w:val="000000"/>
                <w:sz w:val="18"/>
                <w:szCs w:val="18"/>
              </w:rPr>
              <w:t>35.0% [18–57]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0"/>
                <w:bCs w:val="false"/>
                <w:color w:val="000000"/>
                <w:sz w:val="18"/>
                <w:szCs w:val="18"/>
              </w:rPr>
              <w:t>20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0"/>
                <w:bCs w:val="false"/>
                <w:color w:val="000000"/>
                <w:sz w:val="18"/>
                <w:szCs w:val="18"/>
              </w:rPr>
              <w:t>Stacked Ensemble — ZOO, raw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0"/>
                <w:bCs w:val="false"/>
                <w:color w:val="000000"/>
                <w:sz w:val="18"/>
                <w:szCs w:val="18"/>
              </w:rPr>
              <w:t>40.0% [22–61]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0"/>
                <w:bCs w:val="false"/>
                <w:color w:val="000000"/>
                <w:sz w:val="18"/>
                <w:szCs w:val="18"/>
              </w:rPr>
              <w:t>20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0"/>
                <w:bCs w:val="false"/>
                <w:color w:val="000000"/>
                <w:sz w:val="18"/>
                <w:szCs w:val="18"/>
              </w:rPr>
              <w:t>Stacked Ensemble — ZOO, projected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0"/>
                <w:bCs w:val="false"/>
                <w:color w:val="000000"/>
                <w:sz w:val="18"/>
                <w:szCs w:val="18"/>
              </w:rPr>
              <w:t>45.0% [26–66]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0"/>
                <w:bCs w:val="false"/>
                <w:color w:val="000000"/>
                <w:sz w:val="18"/>
                <w:szCs w:val="18"/>
              </w:rPr>
              <w:t>20</w:t>
            </w:r>
          </w:p>
        </w:tc>
      </w:tr>
    </w:tbl>
    <w:p>
      <w:pPr>
        <w:spacing w:after="60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/>
      </w:r>
    </w:p>
    <w:p>
      <w:pPr>
        <w:spacing w:after="100" w:line="260"/>
        <w:jc w:val="both"/>
      </w:pPr>
      <w:r>
        <w:rPr>
          <w:rFonts w:ascii="Times New Roman" w:cs="Times New Roman" w:eastAsia="Times New Roman" w:hAnsi="Times New Roman"/>
          <w:sz w:val="20"/>
          <w:szCs w:val="20"/>
        </w:rPr>
        <w:t>These results show that a boundary-search black-box attack can substantially reduce this model's accuracy on a small sample, and that the projection to valid records changes the conclusion materially. They do not establish a general robustness figure: the attacks do not enforce the dependencies between NSL-KDD features (e.g. rate features derived from counts), the samples are small, and intervals are wide.</w:t>
      </w:r>
    </w:p>
    <w:p>
      <w:pPr>
        <w:spacing w:after="60" w:before="120"/>
      </w:pPr>
      <w:r>
        <w:rPr>
          <w:rFonts w:ascii="Times New Roman" w:cs="Times New Roman" w:eastAsia="Times New Roman" w:hAnsi="Times New Roman"/>
          <w:b/>
          <w:bCs/>
          <w:i/>
          <w:iCs/>
          <w:sz w:val="20"/>
          <w:szCs w:val="20"/>
        </w:rPr>
        <w:t xml:space="preserve">E. SHAP Interpretability Analysis</w:t>
      </w:r>
    </w:p>
    <w:p>
      <w:pPr>
        <w:spacing w:after="100" w:line="260"/>
        <w:jc w:val="both"/>
      </w:pPr>
      <w:r>
        <w:rPr>
          <w:rFonts w:ascii="Times New Roman" w:cs="Times New Roman" w:eastAsia="Times New Roman" w:hAnsi="Times New Roman"/>
          <w:sz w:val="20"/>
          <w:szCs w:val="20"/>
        </w:rPr>
        <w:t>Table IV lists the five features with the highest mean absolute SHAP value for the XGBoost base learner (500 test flows, averaged over classes; seed 0). src_bytes ranks first, followed by connection-count and host-rate features, which is consistent with volume- and frequency-based DoS and probe signatures. SHAP describes model behaviour, not causal importance; the one-hot 'service' columns are split across many columns and are therefore under-represented in a per-column ranking.</w:t>
      </w:r>
    </w:p>
    <w:p>
      <w:pPr>
        <w:spacing w:after="60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/>
      </w:r>
    </w:p>
    <w:p>
      <w:pPr>
        <w:spacing w:after="30"/>
        <w:jc w:val="center"/>
      </w:pPr>
      <w:r>
        <w:rPr>
          <w:rFonts w:ascii="Times New Roman" w:cs="Times New Roman" w:eastAsia="Times New Roman" w:hAnsi="Times New Roman"/>
          <w:b/>
          <w:bCs/>
          <w:sz w:val="18"/>
          <w:szCs w:val="18"/>
        </w:rPr>
        <w:t xml:space="preserve">TABLE IV</w:t>
      </w:r>
    </w:p>
    <w:p>
      <w:pPr>
        <w:spacing w:after="80"/>
        <w:jc w:val="center"/>
      </w:pPr>
      <w:r>
        <w:rPr>
          <w:rFonts w:ascii="Times New Roman" w:cs="Times New Roman" w:eastAsia="Times New Roman" w:hAnsi="Times New Roman"/>
          <w:i/>
          <w:iCs/>
          <w:sz w:val="18"/>
          <w:szCs w:val="18"/>
        </w:rPr>
        <w:t xml:space="preserve">Top-5 Features by Mean Absolute SHAP Value (XGBoost)</w:t>
      </w:r>
    </w:p>
    <w:tbl>
      <w:tblPr>
        <w:tblW w:type="dxa" w:w="6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3200"/>
        <w:gridCol w:w="2200"/>
      </w:tblGrid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97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18"/>
                <w:szCs w:val="18"/>
              </w:rPr>
              <w:t>Rank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97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18"/>
                <w:szCs w:val="18"/>
              </w:rPr>
              <w:t>Feature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97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18"/>
                <w:szCs w:val="18"/>
              </w:rPr>
              <w:t>Mean |SHAP|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0"/>
                <w:bCs w:val="false"/>
                <w:color w:val="000000"/>
                <w:sz w:val="18"/>
                <w:szCs w:val="18"/>
              </w:rPr>
              <w:t>1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0"/>
                <w:bCs w:val="false"/>
                <w:color w:val="000000"/>
                <w:sz w:val="18"/>
                <w:szCs w:val="18"/>
              </w:rPr>
              <w:t>src_bytes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0"/>
                <w:bCs w:val="false"/>
                <w:color w:val="000000"/>
                <w:sz w:val="18"/>
                <w:szCs w:val="18"/>
              </w:rPr>
              <w:t>1.1989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0"/>
                <w:bCs w:val="false"/>
                <w:color w:val="000000"/>
                <w:sz w:val="18"/>
                <w:szCs w:val="18"/>
              </w:rPr>
              <w:t>2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0"/>
                <w:bCs w:val="false"/>
                <w:color w:val="000000"/>
                <w:sz w:val="18"/>
                <w:szCs w:val="18"/>
              </w:rPr>
              <w:t>dst_host_srv_count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0"/>
                <w:bCs w:val="false"/>
                <w:color w:val="000000"/>
                <w:sz w:val="18"/>
                <w:szCs w:val="18"/>
              </w:rPr>
              <w:t>0.8850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0"/>
                <w:bCs w:val="false"/>
                <w:color w:val="000000"/>
                <w:sz w:val="18"/>
                <w:szCs w:val="18"/>
              </w:rPr>
              <w:t>3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0"/>
                <w:bCs w:val="false"/>
                <w:color w:val="000000"/>
                <w:sz w:val="18"/>
                <w:szCs w:val="18"/>
              </w:rPr>
              <w:t>count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0"/>
                <w:bCs w:val="false"/>
                <w:color w:val="000000"/>
                <w:sz w:val="18"/>
                <w:szCs w:val="18"/>
              </w:rPr>
              <w:t>0.7533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0"/>
                <w:bCs w:val="false"/>
                <w:color w:val="000000"/>
                <w:sz w:val="18"/>
                <w:szCs w:val="18"/>
              </w:rPr>
              <w:t>4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0"/>
                <w:bCs w:val="false"/>
                <w:color w:val="000000"/>
                <w:sz w:val="18"/>
                <w:szCs w:val="18"/>
              </w:rPr>
              <w:t>dst_bytes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0"/>
                <w:bCs w:val="false"/>
                <w:color w:val="000000"/>
                <w:sz w:val="18"/>
                <w:szCs w:val="18"/>
              </w:rPr>
              <w:t>0.7352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0"/>
                <w:bCs w:val="false"/>
                <w:color w:val="000000"/>
                <w:sz w:val="18"/>
                <w:szCs w:val="18"/>
              </w:rPr>
              <w:t>5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0"/>
                <w:bCs w:val="false"/>
                <w:color w:val="000000"/>
                <w:sz w:val="18"/>
                <w:szCs w:val="18"/>
              </w:rPr>
              <w:t>dst_host_same_src_port_rate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0"/>
                <w:bCs w:val="false"/>
                <w:color w:val="000000"/>
                <w:sz w:val="18"/>
                <w:szCs w:val="18"/>
              </w:rPr>
              <w:t>0.5007</w:t>
            </w:r>
          </w:p>
        </w:tc>
      </w:tr>
    </w:tbl>
    <w:p>
      <w:pPr>
        <w:spacing w:after="60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/>
      </w:r>
    </w:p>
    <w:p>
      <w:pPr>
        <w:spacing w:after="80" w:before="180"/>
        <w:jc w:val="left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V. DISCUSSION</w:t>
      </w:r>
    </w:p>
    <w:p>
      <w:pPr>
        <w:spacing w:after="100" w:line="260"/>
        <w:jc w:val="both"/>
      </w:pPr>
      <w:r>
        <w:rPr>
          <w:rFonts w:ascii="Times New Roman" w:cs="Times New Roman" w:eastAsia="Times New Roman" w:hAnsi="Times New Roman"/>
          <w:sz w:val="20"/>
          <w:szCs w:val="20"/>
        </w:rPr>
        <w:t>On the full KDDTest+ benchmark the stacked ensemble did not outperform a single tuned XGBoost model, and it is about 10× more expensive at inference. The practical recommendation from these data is therefore to use XGBoost alone unless a different benchmark shows a benefit from stacking. Reported results depend on the evaluation view: binary attack-vs-normal metrics are higher than five-class metrics, and the two should not be mixed.</w:t>
      </w:r>
    </w:p>
    <w:p>
      <w:pPr>
        <w:spacing w:after="100" w:line="260"/>
        <w:jc w:val="both"/>
      </w:pPr>
      <w:r>
        <w:rPr>
          <w:rFonts w:ascii="Times New Roman" w:cs="Times New Roman" w:eastAsia="Times New Roman" w:hAnsi="Times New Roman"/>
          <w:sz w:val="20"/>
          <w:szCs w:val="20"/>
        </w:rPr>
        <w:t>The adversarial results indicate sensitivity to black-box boundary-search attacks, but the magnitude depends strongly on whether adversarial points are required to be valid records. A realistic attacker must craft real flows whose features are mutually consistent, which is harder than the vector-space attacks used here; conversely, our projection step does not enforce all such constraints, so the projected figures are an upper bound on attacker success. Adversarial training and perturbation detection remain future work.</w:t>
      </w:r>
    </w:p>
    <w:p>
      <w:pPr>
        <w:spacing w:after="100" w:line="260"/>
        <w:jc w:val="both"/>
      </w:pPr>
      <w:r>
        <w:rPr>
          <w:rFonts w:ascii="Times New Roman" w:cs="Times New Roman" w:eastAsia="Times New Roman" w:hAnsi="Times New Roman"/>
          <w:sz w:val="20"/>
          <w:szCs w:val="20"/>
        </w:rPr>
        <w:t>Limitations: (1) NSL-KDD reflects 1999-era traffic and a fixed train/test split, so seeds capture training variability but not dataset variability; (2) per-class U2R and R2L results are noisy given their sizes; (3) adversarial samples are small (n=20 for XGBoost, n=20 for the ensemble) with a reduced query budget for the ensemble; (4) latency was measured on a 2-vCPU container, single-threaded, and excludes Kafka transport and feature extraction; (5) no comparison with other published IDS models was run under this protocol.</w:t>
      </w:r>
    </w:p>
    <w:p>
      <w:pPr>
        <w:spacing w:after="100" w:line="260"/>
        <w:jc w:val="both"/>
      </w:pPr>
      <w:r>
        <w:rPr>
          <w:rFonts w:ascii="Times New Roman" w:cs="Times New Roman" w:eastAsia="Times New Roman" w:hAnsi="Times New Roman"/>
          <w:sz w:val="20"/>
          <w:szCs w:val="20"/>
        </w:rPr>
        <w:t>Explainability: the SHAP ranking is plausible given domain knowledge of DoS and probe traffic, but it is model-specific and should be read together with the validity caveats above.</w:t>
      </w:r>
    </w:p>
    <w:p>
      <w:pPr>
        <w:spacing w:after="80" w:before="180"/>
        <w:jc w:val="left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VI. CONCLUSION</w:t>
      </w:r>
    </w:p>
    <w:p>
      <w:pPr>
        <w:spacing w:after="100" w:line="260"/>
        <w:jc w:val="both"/>
      </w:pPr>
      <w:r>
        <w:rPr>
          <w:rFonts w:ascii="Times New Roman" w:cs="Times New Roman" w:eastAsia="Times New Roman" w:hAnsi="Times New Roman"/>
          <w:sz w:val="20"/>
          <w:szCs w:val="20"/>
        </w:rPr>
        <w:t>This paper presented RT-MLIDS, an open, reproducible ensemble IDS framework evaluated on the complete NSL-KDD KDDTest+ set. The stacked ensemble reaches 76.89 ± 0.24% binary F1 and 77.00 ± 0.28% five-class accuracy but does not beat a single XGBoost model. Black-box attacks reduce XGBoost's accuracy on a random sample, with effect sizes that depend on whether adversarial points are projected to valid records. The full code, results file and tests are available in the public repository.</w:t>
      </w:r>
    </w:p>
    <w:p>
      <w:pPr>
        <w:spacing w:after="100" w:line="260"/>
        <w:jc w:val="both"/>
      </w:pPr>
      <w:r>
        <w:rPr>
          <w:rFonts w:ascii="Times New Roman" w:cs="Times New Roman" w:eastAsia="Times New Roman" w:hAnsi="Times New Roman"/>
          <w:sz w:val="20"/>
          <w:szCs w:val="20"/>
        </w:rPr>
        <w:t>Future work: (1) adversarial training and feature-constrained attacks; (2) evaluation on modern datasets such as CIC-IDS-2018 and on encrypted traffic; (3) end-to-end latency measurement with a live Kafka deployment and a flow extractor.</w:t>
      </w:r>
    </w:p>
    <w:p>
      <w:pPr>
        <w:spacing w:after="80" w:before="180"/>
        <w:jc w:val="left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. ACKNOWLEDGMENT</w:t>
      </w:r>
    </w:p>
    <w:p>
      <w:pPr>
        <w:spacing w:after="100" w:line="260"/>
        <w:jc w:val="both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The author thanks the Department of Cybersecurity and Networks at the University of East London for academic support. The NSL-KDD dataset is provided by the Canadian Institute for Cybersecurity [13].</w:t>
      </w:r>
    </w:p>
    <w:p>
      <w:pPr>
        <w:spacing w:after="80" w:before="180"/>
        <w:jc w:val="left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. REFERENCES</w:t>
      </w:r>
    </w:p>
    <w:p>
      <w:pPr>
        <w:spacing w:after="60"/>
        <w:ind w:left="360" w:hanging="360"/>
      </w:pPr>
      <w:r>
        <w:rPr>
          <w:rFonts w:ascii="Times New Roman" w:cs="Times New Roman" w:eastAsia="Times New Roman" w:hAnsi="Times New Roman"/>
          <w:sz w:val="18"/>
          <w:szCs w:val="18"/>
        </w:rPr>
        <w:t xml:space="preserve">[1] Cybersecurity Ventures, "Cybercrime To Cost The World $10.5 Trillion Annually By 2025," 2020.</w:t>
      </w:r>
    </w:p>
    <w:p>
      <w:pPr>
        <w:spacing w:after="60"/>
        <w:ind w:left="360" w:hanging="360"/>
      </w:pPr>
      <w:r>
        <w:rPr>
          <w:rFonts w:ascii="Times New Roman" w:cs="Times New Roman" w:eastAsia="Times New Roman" w:hAnsi="Times New Roman"/>
          <w:sz w:val="18"/>
          <w:szCs w:val="18"/>
        </w:rPr>
        <w:t xml:space="preserve">[2] M. Roesch, "Snort: Lightweight intrusion detection for networks," in Proc. USENIX LISA, 1999, pp. 229–238.</w:t>
      </w:r>
    </w:p>
    <w:p>
      <w:pPr>
        <w:spacing w:after="60"/>
        <w:ind w:left="360" w:hanging="360"/>
      </w:pPr>
      <w:r>
        <w:rPr>
          <w:rFonts w:ascii="Times New Roman" w:cs="Times New Roman" w:eastAsia="Times New Roman" w:hAnsi="Times New Roman"/>
          <w:sz w:val="18"/>
          <w:szCs w:val="18"/>
        </w:rPr>
        <w:t xml:space="preserve">[3] L. Dhanabal and S. Shantharajah, "A study on NSL-KDD dataset for intrusion detection system," Int. J. Adv. Res. Comput. Commun. Eng., vol. 4, no. 6, pp. 446–452, 2015.</w:t>
      </w:r>
    </w:p>
    <w:p>
      <w:pPr>
        <w:spacing w:after="60"/>
        <w:ind w:left="360" w:hanging="360"/>
      </w:pPr>
      <w:r>
        <w:rPr>
          <w:rFonts w:ascii="Times New Roman" w:cs="Times New Roman" w:eastAsia="Times New Roman" w:hAnsi="Times New Roman"/>
          <w:sz w:val="18"/>
          <w:szCs w:val="18"/>
        </w:rPr>
        <w:t xml:space="preserve">[4] T. Chen and C. Guestrin, "XGBoost: A scalable tree boosting system," in Proc. ACM SIGKDD, 2016, pp. 785–794.</w:t>
      </w:r>
    </w:p>
    <w:p>
      <w:pPr>
        <w:spacing w:after="60"/>
        <w:ind w:left="360" w:hanging="360"/>
      </w:pPr>
      <w:r>
        <w:rPr>
          <w:rFonts w:ascii="Times New Roman" w:cs="Times New Roman" w:eastAsia="Times New Roman" w:hAnsi="Times New Roman"/>
          <w:sz w:val="18"/>
          <w:szCs w:val="18"/>
        </w:rPr>
        <w:t xml:space="preserve">[5] C. Yin, Y. Zhu, J. Fei, and X. He, "A deep learning approach for intrusion detection using recurrent neural networks," IEEE Access, vol. 5, pp. 21954–21961, 2017.</w:t>
      </w:r>
    </w:p>
    <w:p>
      <w:pPr>
        <w:spacing w:after="60"/>
        <w:ind w:left="360" w:hanging="360"/>
      </w:pPr>
      <w:r>
        <w:rPr>
          <w:rFonts w:ascii="Times New Roman" w:cs="Times New Roman" w:eastAsia="Times New Roman" w:hAnsi="Times New Roman"/>
          <w:sz w:val="18"/>
          <w:szCs w:val="18"/>
        </w:rPr>
        <w:t xml:space="preserve">[6] D. Chou and M. Yeh, "Toward developing network intrusion detection system using adaptive random forest," in Proc. IEEE CSE, 2019, pp. 1–7.</w:t>
      </w:r>
    </w:p>
    <w:p>
      <w:pPr>
        <w:spacing w:after="60"/>
        <w:ind w:left="360" w:hanging="360"/>
      </w:pPr>
      <w:r>
        <w:rPr>
          <w:rFonts w:ascii="Times New Roman" w:cs="Times New Roman" w:eastAsia="Times New Roman" w:hAnsi="Times New Roman"/>
          <w:sz w:val="18"/>
          <w:szCs w:val="18"/>
        </w:rPr>
        <w:t xml:space="preserve">[7] F. A. Khan, A. Gumaei, A. Derhab, and A. Hussain, "A novel two-stage deep learning model for efficient network intrusion detection," IEEE Access, vol. 7, pp. 30373–30385, 2019.</w:t>
      </w:r>
    </w:p>
    <w:p>
      <w:pPr>
        <w:spacing w:after="60"/>
        <w:ind w:left="360" w:hanging="360"/>
      </w:pPr>
      <w:r>
        <w:rPr>
          <w:rFonts w:ascii="Times New Roman" w:cs="Times New Roman" w:eastAsia="Times New Roman" w:hAnsi="Times New Roman"/>
          <w:sz w:val="18"/>
          <w:szCs w:val="18"/>
        </w:rPr>
        <w:t xml:space="preserve">[8] M. Ibrahim and A. Al-Wadi, "Enhancing IoMT network security using ensemble learning-based IDS," J. Eng. Research, 2024.</w:t>
      </w:r>
    </w:p>
    <w:p>
      <w:pPr>
        <w:spacing w:after="60"/>
        <w:ind w:left="360" w:hanging="360"/>
      </w:pPr>
      <w:r>
        <w:rPr>
          <w:rFonts w:ascii="Times New Roman" w:cs="Times New Roman" w:eastAsia="Times New Roman" w:hAnsi="Times New Roman"/>
          <w:sz w:val="18"/>
          <w:szCs w:val="18"/>
        </w:rPr>
        <w:t xml:space="preserve">[9] S. Akintade, S. Kim, and K. Roy, "Explaining ML-based feature selection of IDS for IoT and CPS devices," in Proc. ICMLA, 2023.</w:t>
      </w:r>
    </w:p>
    <w:p>
      <w:pPr>
        <w:spacing w:after="60"/>
        <w:ind w:left="360" w:hanging="360"/>
      </w:pPr>
      <w:r>
        <w:rPr>
          <w:rFonts w:ascii="Times New Roman" w:cs="Times New Roman" w:eastAsia="Times New Roman" w:hAnsi="Times New Roman"/>
          <w:sz w:val="18"/>
          <w:szCs w:val="18"/>
        </w:rPr>
        <w:t xml:space="preserve">[10] J. Vitorino, I. Praça, and E. Maia, "SoK: Realistic adversarial attacks and defenses for intelligent network intrusion detection," Comput. Secur., vol. 134, 2023.</w:t>
      </w:r>
    </w:p>
    <w:p>
      <w:pPr>
        <w:spacing w:after="60"/>
        <w:ind w:left="360" w:hanging="360"/>
      </w:pPr>
      <w:r>
        <w:rPr>
          <w:rFonts w:ascii="Times New Roman" w:cs="Times New Roman" w:eastAsia="Times New Roman" w:hAnsi="Times New Roman"/>
          <w:sz w:val="18"/>
          <w:szCs w:val="18"/>
        </w:rPr>
        <w:t xml:space="preserve">[11] X. Yuan et al., "A simple framework to enhance adversarial robustness of deep learning-based IDS," Comput. Secur., vol. 137, 2024.</w:t>
      </w:r>
    </w:p>
    <w:p>
      <w:pPr>
        <w:spacing w:after="60"/>
        <w:ind w:left="360" w:hanging="360"/>
      </w:pPr>
      <w:r>
        <w:rPr>
          <w:rFonts w:ascii="Times New Roman" w:cs="Times New Roman" w:eastAsia="Times New Roman" w:hAnsi="Times New Roman"/>
          <w:sz w:val="18"/>
          <w:szCs w:val="18"/>
        </w:rPr>
        <w:t xml:space="preserve">[12] NIST, "Guide to Intrusion Detection and Prevention Systems (IDPS)," Special Publication 800-94, 2007.</w:t>
      </w:r>
    </w:p>
    <w:p>
      <w:pPr>
        <w:spacing w:after="60"/>
        <w:ind w:left="360" w:hanging="360"/>
      </w:pPr>
      <w:r>
        <w:rPr>
          <w:rFonts w:ascii="Times New Roman" w:cs="Times New Roman" w:eastAsia="Times New Roman" w:hAnsi="Times New Roman"/>
          <w:sz w:val="18"/>
          <w:szCs w:val="18"/>
        </w:rPr>
        <w:t xml:space="preserve">[13] M. Tavallaee, E. Bagheri, W. Lu, and A. Ghorbani, "A detailed analysis of the KDD CUP 99 data set," in Proc. IEEE CISDA, 2009.</w:t>
      </w:r>
    </w:p>
    <w:p>
      <w:pPr>
        <w:spacing w:after="60"/>
        <w:ind w:left="360" w:hanging="360"/>
      </w:pPr>
      <w:r>
        <w:rPr>
          <w:rFonts w:ascii="Times New Roman" w:cs="Times New Roman" w:eastAsia="Times New Roman" w:hAnsi="Times New Roman"/>
          <w:sz w:val="18"/>
          <w:szCs w:val="18"/>
        </w:rPr>
        <w:t xml:space="preserve">[14] A. Nagar, S. Tatreh, and B. K. Pandey, "A survey on machine learning based approaches for detecting and preventing distributed DoS attacks in IoT," J. Inf. Syst. Eng. Manag., vol. 9, no. 4s, 2024.</w:t>
      </w:r>
    </w:p>
    <w:p>
      <w:r>
        <w:br w:type="page"/>
      </w:r>
    </w:p>
    <w:p>
      <w:pPr>
        <w:spacing w:after="200"/>
        <w:jc w:val="center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FIGURES</w:t>
      </w:r>
    </w:p>
    <w:p>
      <w:pPr>
        <w:spacing w:after="40" w:before="100"/>
        <w:jc w:val="center"/>
      </w:pPr>
      <w:r>
        <w:drawing>
          <wp:inline distT="0" distB="0" distL="0" distR="0">
            <wp:extent cx="5852160" cy="1784154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52160" cy="17841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 w:before="60"/>
        <w:jc w:val="center"/>
      </w:pPr>
      <w:r>
        <w:rPr>
          <w:rFonts w:ascii="Times New Roman" w:cs="Times New Roman" w:eastAsia="Times New Roman" w:hAnsi="Times New Roman"/>
          <w:i/>
          <w:iCs/>
          <w:sz w:val="18"/>
          <w:szCs w:val="18"/>
        </w:rPr>
        <w:t>Fig. 8. RT-MLIDS processing pipeline (offline evaluation; the Kafka front end is part of the repository but its transport was not benchmarked).</w:t>
      </w:r>
    </w:p>
    <w:p>
      <w:pPr>
        <w:spacing w:after="40" w:before="100"/>
        <w:jc w:val="center"/>
      </w:pPr>
      <w:r>
        <w:drawing>
          <wp:inline distT="0" distB="0" distL="0" distR="0">
            <wp:extent cx="4572000" cy="258071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25807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 w:before="60"/>
        <w:jc w:val="center"/>
      </w:pPr>
      <w:r>
        <w:rPr>
          <w:rFonts w:ascii="Times New Roman" w:cs="Times New Roman" w:eastAsia="Times New Roman" w:hAnsi="Times New Roman"/>
          <w:i/>
          <w:iCs/>
          <w:sz w:val="18"/>
          <w:szCs w:val="18"/>
        </w:rPr>
        <w:t>Fig. 9. Stacked ensemble: Random Forest and XGBoost base learners; logistic-regression meta-learner trained on out-of-fold probabilities (3-fold, SMOTE inside each training fold).</w:t>
      </w:r>
    </w:p>
    <w:p>
      <w:pPr>
        <w:spacing w:after="40" w:before="100"/>
        <w:jc w:val="center"/>
      </w:pPr>
      <w:r>
        <w:drawing>
          <wp:inline distT="0" distB="0" distL="0" distR="0">
            <wp:extent cx="5852160" cy="2106777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52160" cy="21067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 w:before="60"/>
        <w:jc w:val="center"/>
      </w:pPr>
      <w:r>
        <w:rPr>
          <w:rFonts w:ascii="Times New Roman" w:cs="Times New Roman" w:eastAsia="Times New Roman" w:hAnsi="Times New Roman"/>
          <w:i/>
          <w:iCs/>
          <w:sz w:val="18"/>
          <w:szCs w:val="18"/>
        </w:rPr>
        <w:t>Fig. 1–2. Classification metrics, mean ± std over seeds: attack-vs-normal (left) and five-class weighted (right). * SVM on a 30k subsample.</w:t>
      </w:r>
    </w:p>
    <w:p>
      <w:pPr>
        <w:spacing w:after="40" w:before="100"/>
        <w:jc w:val="center"/>
      </w:pPr>
      <w:r>
        <w:drawing>
          <wp:inline distT="0" distB="0" distL="0" distR="0">
            <wp:extent cx="5852160" cy="1989734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52160" cy="19897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 w:before="60"/>
        <w:jc w:val="center"/>
      </w:pPr>
      <w:r>
        <w:rPr>
          <w:rFonts w:ascii="Times New Roman" w:cs="Times New Roman" w:eastAsia="Times New Roman" w:hAnsi="Times New Roman"/>
          <w:i/>
          <w:iCs/>
          <w:sz w:val="18"/>
          <w:szCs w:val="18"/>
        </w:rPr>
        <w:t>Fig. 3–4. Latency per flow and throughput (log scale), model-only inference and end-to-end replay, single thread.</w:t>
      </w:r>
    </w:p>
    <w:p>
      <w:pPr>
        <w:spacing w:after="40" w:before="100"/>
        <w:jc w:val="center"/>
      </w:pPr>
      <w:r>
        <w:drawing>
          <wp:inline distT="0" distB="0" distL="0" distR="0">
            <wp:extent cx="5852160" cy="2106777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52160" cy="21067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 w:before="60"/>
        <w:jc w:val="center"/>
      </w:pPr>
      <w:r>
        <w:rPr>
          <w:rFonts w:ascii="Times New Roman" w:cs="Times New Roman" w:eastAsia="Times New Roman" w:hAnsi="Times New Roman"/>
          <w:i/>
          <w:iCs/>
          <w:sz w:val="18"/>
          <w:szCs w:val="18"/>
        </w:rPr>
        <w:t>Fig. 5–6. Accuracy under black-box attack (raw and projected-to-valid adversarial points), with 95% Wilson intervals. Samples are small; see Section V.</w:t>
      </w:r>
    </w:p>
    <w:p>
      <w:pPr>
        <w:spacing w:after="40" w:before="100"/>
        <w:jc w:val="center"/>
      </w:pPr>
      <w:r>
        <w:drawing>
          <wp:inline distT="0" distB="0" distL="0" distR="0">
            <wp:extent cx="4389120" cy="2006454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89120" cy="20064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 w:before="60"/>
        <w:jc w:val="center"/>
      </w:pPr>
      <w:r>
        <w:rPr>
          <w:rFonts w:ascii="Times New Roman" w:cs="Times New Roman" w:eastAsia="Times New Roman" w:hAnsi="Times New Roman"/>
          <w:i/>
          <w:iCs/>
          <w:sz w:val="18"/>
          <w:szCs w:val="18"/>
        </w:rPr>
        <w:t>Fig. 7. Top-5 features by mean absolute SHAP value for the XGBoost base learner.</w:t>
      </w:r>
    </w:p>
    <w:sectPr>
      <w:headerReference w:type="default" r:id="rId7"/>
      <w:footerReference w:type="default" r:id="rId8"/>
      <w:pgSz w:w="12240" w:h="15840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cs="Times New Roman" w:eastAsia="Times New Roman" w:hAnsi="Times New Roman"/>
        <w:color w:val="888888"/>
        <w:sz w:val="16"/>
        <w:szCs w:val="16"/>
      </w:rPr>
      <w:t xml:space="preserve">Preprint — University of East London, 2026     </w:t>
    </w:r>
    <w:r>
      <w:rPr>
        <w:rFonts w:ascii="Times New Roman" w:cs="Times New Roman" w:eastAsia="Times New Roman" w:hAnsi="Times New Roman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center"/>
    </w:pPr>
    <w:r>
      <w:rPr>
        <w:rFonts w:ascii="Times New Roman" w:cs="Times New Roman" w:eastAsia="Times New Roman" w:hAnsi="Times New Roman"/>
        <w:i/>
        <w:iCs/>
        <w:color w:val="888888"/>
        <w:sz w:val="16"/>
        <w:szCs w:val="16"/>
      </w:rPr>
      <w:t xml:space="preserve">RT-MLIDS: Real-Time ML Intrusion Detection with Adversarial Robustness Evaluation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[%1]"/>
      <w:lvlJc w:val="left"/>
      <w:pPr>
        <w:ind w:left="400" w:hanging="40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beed53be892a65df57ea0d2822f8fb32c4dc158e.png"/><Relationship Id="rId10" Type="http://schemas.openxmlformats.org/officeDocument/2006/relationships/image" Target="media/20b33b8b1285d572904d117dde6444a8ecb5cc14.png"/><Relationship Id="rId11" Type="http://schemas.openxmlformats.org/officeDocument/2006/relationships/image" Target="media/f6fb490f99a791ebeff1f045a62fde3ca9cb12f9.png"/><Relationship Id="rId12" Type="http://schemas.openxmlformats.org/officeDocument/2006/relationships/image" Target="media/75bf3c4646414b9a8150eac00183a849fe08088d.png"/><Relationship Id="rId13" Type="http://schemas.openxmlformats.org/officeDocument/2006/relationships/image" Target="media/c80edd7e7023415f0ebe8e8faf19309cfebdd9c2.png"/><Relationship Id="rId14" Type="http://schemas.openxmlformats.org/officeDocument/2006/relationships/image" Target="media/d0d779f7c4ac15152832c354143639d4afe1824b.png"/><Relationship Id="rId15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2026-03-30T23:09:41.544Z</dcterms:created>
  <dcterms:modified xsi:type="dcterms:W3CDTF">2026-03-30T23:09:41.545Z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