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Brian Riggleman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Owatonna, Minnesota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E5090"/>
          <w:sz w:val="18"/>
          <w:szCs w:val="18"/>
        </w:rPr>
        <w:t xml:space="preserve">brian@riggfam.com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E5090"/>
          <w:sz w:val="18"/>
          <w:szCs w:val="18"/>
        </w:rPr>
        <w:t xml:space="preserve">clawddaily.com/papers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Zenodo: search Riggleman 2026</w:t>
      </w:r>
    </w:p>
    <w:p>
      <w:pPr>
        <w:pBdr>
          <w:bottom w:val="single" w:color="1F3864" w:sz="8" w:space="4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thick" w:color="2E5090" w:sz="14" w:space="14"/>
        </w:pBdr>
        <w:spacing w:after="120" w:before="0"/>
        <w:ind w:left="300"/>
      </w:pPr>
      <w:r>
        <w:rPr>
          <w:rFonts w:ascii="Arial" w:cs="Arial" w:eastAsia="Arial" w:hAnsi="Arial"/>
          <w:sz w:val="20"/>
          <w:szCs w:val="20"/>
        </w:rPr>
        <w:t xml:space="preserve">Independent AI safety researcher with a 22-paper publication record on geometric affective state modeling, backed by 25 years of hands-on infrastructure experience including 10 years as a network administrator at a regional ISP. Built and validated a full cognitive architecture from first principles — 21,300+ lines of Swift, deployed on real hardware, validated across 19 test runs culminating in 29/29 tests and 82/82 checks at production timing. Formal proof verification confirmed 29 theorems across 41 checks at 10,000 random trials per theorem. Research extends Russell's circumplex model into three dimensions with a measurable scalar personality parameter (sigma) that predicts behavioral stability — directly complementary to Anthropic's persona vectors and assistant axis work.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F3864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INDEPENDENT RESEARCH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Geometric Affective State — Independent Researcher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clawddaily.com/papers · Zenodo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 published papers </w:t>
      </w:r>
      <w:r>
        <w:rPr>
          <w:rFonts w:ascii="Arial" w:cs="Arial" w:eastAsia="Arial" w:hAnsi="Arial"/>
          <w:sz w:val="20"/>
          <w:szCs w:val="20"/>
        </w:rPr>
        <w:t xml:space="preserve">covering valence/activation/intensity geometry, sigma personality trait, addiction architecture, memory decay with geometric stickiness, attachment bias, centroid dynamics, dream cycle, and GAS survey instrument validation against NHANES PHQ-9 and IBM HR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Potato architecture: </w:t>
      </w:r>
      <w:r>
        <w:rPr>
          <w:rFonts w:ascii="Arial" w:cs="Arial" w:eastAsia="Arial" w:hAnsi="Arial"/>
          <w:sz w:val="20"/>
          <w:szCs w:val="20"/>
        </w:rPr>
        <w:t xml:space="preserve">Complete deployed cognitive agent — 21,300+ lines Swift — with three-dimensional affective state, Parliament of Mind deliberation (EXPLORER, VALIDATOR, CONSTRAINT, PHYSICS, PATCH), trauma floors, reconsolidation, dream cycle with image generation, and 40+ telemetry event types. Deployed on Panasonic Toughbook CF-33, MacBook Air M4, and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YAM v2: </w:t>
      </w:r>
      <w:r>
        <w:rPr>
          <w:rFonts w:ascii="Arial" w:cs="Arial" w:eastAsia="Arial" w:hAnsi="Arial"/>
          <w:sz w:val="20"/>
          <w:szCs w:val="20"/>
        </w:rPr>
        <w:t xml:space="preserve">LLM-free successor architecture on PostgreSQL. Behavioral output driven by deterministic graph retrieval and Parliament engine disagreement — eliminates LLM stochasticity as a failure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Validation: </w:t>
      </w:r>
      <w:r>
        <w:rPr>
          <w:rFonts w:ascii="Arial" w:cs="Arial" w:eastAsia="Arial" w:hAnsi="Arial"/>
          <w:sz w:val="20"/>
          <w:szCs w:val="20"/>
        </w:rPr>
        <w:t xml:space="preserve">29/29 tests, 82/82 checks at full production timing across 19 documented test runs. Formal proof verification: 29/29 theorems, 41/41 checks, 10,000 random trials per theorem. Complete test regime publicly documented at clawddaily.com/thesis/test-regime.html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non-monotonicity: </w:t>
      </w:r>
      <w:r>
        <w:rPr>
          <w:rFonts w:ascii="Arial" w:cs="Arial" w:eastAsia="Arial" w:hAnsi="Arial"/>
          <w:sz w:val="20"/>
          <w:szCs w:val="20"/>
        </w:rPr>
        <w:t xml:space="preserve">Identified structural anomaly invisible to 19 operational test runs — precisely characterized the non-monotone region near the sigma setpoint via formal proof, confirming it lies outside all behavioral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Academic outreach: </w:t>
      </w:r>
      <w:r>
        <w:rPr>
          <w:rFonts w:ascii="Arial" w:cs="Arial" w:eastAsia="Arial" w:hAnsi="Arial"/>
          <w:sz w:val="20"/>
          <w:szCs w:val="20"/>
        </w:rPr>
        <w:t xml:space="preserve">Contacted nine researchers whose work the geometry directly extends, including Russell, Kuppens, Barrett, and Lindquist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F3864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Analyst Engineer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Owatonna Public Utilities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Late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Promoted from Systems Administrator after one year — expanded scope to analytics, reporting, and infrastructure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 analytics infrastructure including PostgreSQL databases and AMI data pipelines at utility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and maintain systems supporting operational decision-making across the organization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Administrator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Owatonna Public Utilities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October 2022 – Late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enterprise IT infrastructure including servers, networking, and internal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Deployed and maintained Dell R730 server environment, PostgreSQL instances, and analytics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AMI pipeline infrastructure supporting utility metering and data analytics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 Administrator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Jaguar Communications / Metronet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2012 – 2022  (10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Administered network infrastructure for a regional ISP serving residential and commercial customers across multiple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routing, switching, DNS, DHCP, and backbone connectivity at production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network operations through company acquisition and rebrand from Jaguar Communications to Metronet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Responsible for uptime, incident response, and capacity planning across the full ISP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maintained monitoring systems for proactive fault detection and SLA compliance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Technician / NOC / Field Operations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Jaguar Communications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November 2000 – 2012  (12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Progressed through field technician, customer support, and network operations center roles over 12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deep hands-on expertise in physical plant, last-mile connectivity, and customer-facing troubleshooting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responsibilities included real-time monitoring, escalation management, and after-hours incident response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F3864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Networking: </w:t>
      </w:r>
      <w:r>
        <w:rPr>
          <w:rFonts w:ascii="Arial" w:cs="Arial" w:eastAsia="Arial" w:hAnsi="Arial"/>
          <w:sz w:val="20"/>
          <w:szCs w:val="20"/>
        </w:rPr>
        <w:t xml:space="preserve">TCP/IP, BGP, OSPF, DNS, DHCP, VLANs, fiber and copper plant, ISP backbone operations, network monitoring and incident response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&amp; Databases: </w:t>
      </w:r>
      <w:r>
        <w:rPr>
          <w:rFonts w:ascii="Arial" w:cs="Arial" w:eastAsia="Arial" w:hAnsi="Arial"/>
          <w:sz w:val="20"/>
          <w:szCs w:val="20"/>
        </w:rPr>
        <w:t xml:space="preserve">PostgreSQL, SQLite, Linux, Windows Server, Dell PowerEdge, Bash scripting, server deployment and maintenance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Swift, Python, JavaScript,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Research: </w:t>
      </w:r>
      <w:r>
        <w:rPr>
          <w:rFonts w:ascii="Arial" w:cs="Arial" w:eastAsia="Arial" w:hAnsi="Arial"/>
          <w:sz w:val="20"/>
          <w:szCs w:val="20"/>
        </w:rPr>
        <w:t xml:space="preserve">Local LLM inference (Ollama, LM Studio), vector embeddings, sqlite-vec, Anthropic API, agent architecture design, cognitive modeling, geometric affective state, formal proof verification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Hardware &amp; Lab: </w:t>
      </w:r>
      <w:r>
        <w:rPr>
          <w:rFonts w:ascii="Arial" w:cs="Arial" w:eastAsia="Arial" w:hAnsi="Arial"/>
          <w:sz w:val="20"/>
          <w:szCs w:val="20"/>
        </w:rPr>
        <w:t xml:space="preserve">ESP32, Raspberry Pi, Threadripper 3990X, RTX 5000, Meta Quest 3, Pimax VR, iOS sensor integration (GPS, accelerometer, camera)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F3864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B.S. Computer Science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5090"/>
          <w:sz w:val="20"/>
          <w:szCs w:val="20"/>
        </w:rPr>
        <w:t xml:space="preserve">Rasmussen University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2022 – Expected August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enrollment, completing degree while working full-time and maintaining an independent research program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Independent Research — Self-Directed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Geometric Affective Modeling, Cognitive Architecture, AI Safety  | 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22-paper publication record on Zenodo and clawddaily.com/papers — all open access, all independently produced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Working thesis: "Geometric Affective State Representation in Synthetic and Human Systems" — v0.4, publicly versioned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IRB engagement with institutional dean serving as subject matter expert on the research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F3864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PUBLICATIONS (RIGGLEMAN 2026 SERIES)</w:t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record at clawddaily.com/papers and Zenodo. Selected titles: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Attachment Bias: Love, Hatred, and Entity-Specific Affective Weights in Agent Memory Architecture (2026u)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Centroid Stability and Source Divergence: 110-Cycle Validation of Geometric Spread as a Tension Metric (2026q)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Geometric Affective Survey Instrument: Validation Against NHANES PHQ-9 and IBM HR Data (2026r)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Addiction and the Sigma Intensity Parameter: A Two-Phase Model of Behavioral Reorganization (2026n)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Spatial Grounding and Physics Prediction in Synthetic Agents: Benchmark Results (2026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Geometric Affective State: Valence, Activation, Intensity — the SGI Synthesis Paper (2026)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2026-04-08T03:51:10.383Z</dcterms:created>
  <dcterms:modified xsi:type="dcterms:W3CDTF">2026-04-08T03:51:10.385Z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