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0C047D1" w14:textId="77777777" w:rsidR="009303D9" w:rsidRPr="008B6524" w:rsidRDefault="009303D9" w:rsidP="008B6524">
      <w:pPr>
        <w:pStyle w:val="papertitle"/>
        <w:spacing w:before="5pt" w:beforeAutospacing="1" w:after="5pt" w:afterAutospacing="1"/>
        <w:rPr>
          <w:kern w:val="48"/>
        </w:rPr>
      </w:pPr>
      <w:r w:rsidRPr="008B6524">
        <w:rPr>
          <w:kern w:val="48"/>
        </w:rPr>
        <w:t>Causal Discovery and Intervention with Large Language Models</w:t>
      </w:r>
    </w:p>
    <w:p w14:paraId="2B8FEAC7" w14:textId="77777777" w:rsidR="009303D9" w:rsidRDefault="009303D9" w:rsidP="008B6524">
      <w:pPr>
        <w:pStyle w:val="Author"/>
        <w:spacing w:before="5pt" w:beforeAutospacing="1" w:after="5pt" w:afterAutospacing="1"/>
        <w:rPr>
          <w:sz w:val="16"/>
          <w:szCs w:val="16"/>
        </w:rPr>
      </w:pPr>
    </w:p>
    <w:p w14:paraId="4B2EA391" w14:textId="77777777" w:rsidR="00D7522C" w:rsidRDefault="00D7522C" w:rsidP="003B4E04">
      <w:pPr>
        <w:pStyle w:val="Author"/>
        <w:spacing w:before="5pt" w:beforeAutospacing="1" w:after="5pt" w:afterAutospacing="1" w:line="6pt" w:lineRule="auto"/>
        <w:rPr>
          <w:sz w:val="16"/>
          <w:szCs w:val="16"/>
        </w:rPr>
      </w:pPr>
    </w:p>
    <w:p w14:paraId="5745D24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00670">
          <w:footerReference w:type="first" r:id="rId8"/>
          <w:pgSz w:w="595.30pt" w:h="841.90pt" w:code="9"/>
          <w:pgMar w:top="27pt" w:right="44.65pt" w:bottom="72pt" w:left="44.65pt" w:header="36pt" w:footer="36pt" w:gutter="0pt"/>
          <w:cols w:space="36pt"/>
          <w:titlePg/>
          <w:docGrid w:linePitch="360"/>
        </w:sectPr>
      </w:pPr>
    </w:p>
    <w:p w14:paraId="2CA00CFD" w14:textId="15EF83F6" w:rsidR="00BD670B" w:rsidRDefault="00BD670B" w:rsidP="00BD670B">
      <w:pPr>
        <w:pStyle w:val="Author"/>
        <w:spacing w:before="5pt" w:beforeAutospacing="1"/>
        <w:rPr>
          <w:sz w:val="18"/>
          <w:szCs w:val="18"/>
        </w:rPr>
      </w:pPr>
    </w:p>
    <w:p w14:paraId="2829876E" w14:textId="317C69A1" w:rsidR="001A3B3D" w:rsidRPr="00F847A6" w:rsidRDefault="001A3B3D" w:rsidP="00447BB9">
      <w:pPr>
        <w:pStyle w:val="Author"/>
        <w:spacing w:before="5pt" w:beforeAutospacing="1"/>
        <w:rPr>
          <w:sz w:val="18"/>
          <w:szCs w:val="18"/>
        </w:rPr>
      </w:pPr>
    </w:p>
    <w:p w14:paraId="5C3D48AC" w14:textId="77777777" w:rsidR="00447BB9" w:rsidRDefault="00447BB9" w:rsidP="00447BB9">
      <w:pPr>
        <w:pStyle w:val="Author"/>
        <w:spacing w:before="5pt" w:beforeAutospacing="1"/>
      </w:pPr>
    </w:p>
    <w:p w14:paraId="3619D3CA" w14:textId="77777777" w:rsidR="009F1D79" w:rsidRDefault="009F1D79">
      <w:pPr>
        <w:sectPr w:rsidR="009F1D79" w:rsidSect="00300670">
          <w:type w:val="continuous"/>
          <w:pgSz w:w="595.30pt" w:h="841.90pt" w:code="9"/>
          <w:pgMar w:top="22.50pt" w:right="44.65pt" w:bottom="72pt" w:left="44.65pt" w:header="36pt" w:footer="36pt" w:gutter="0pt"/>
          <w:cols w:num="3" w:space="36pt"/>
          <w:docGrid w:linePitch="360"/>
        </w:sectPr>
      </w:pPr>
    </w:p>
    <w:p w14:paraId="17DEB60A" w14:textId="77777777" w:rsidR="009303D9" w:rsidRPr="005B520E" w:rsidRDefault="00BD670B">
      <w:pPr>
        <w:sectPr w:rsidR="009303D9" w:rsidRPr="005B520E" w:rsidSect="00300670">
          <w:type w:val="continuous"/>
          <w:pgSz w:w="595.30pt" w:h="841.90pt" w:code="9"/>
          <w:pgMar w:top="22.50pt" w:right="44.65pt" w:bottom="72pt" w:left="44.65pt" w:header="36pt" w:footer="36pt" w:gutter="0pt"/>
          <w:cols w:num="3" w:space="36pt"/>
          <w:docGrid w:linePitch="360"/>
        </w:sectPr>
      </w:pPr>
      <w:r>
        <w:br w:type="column"/>
      </w:r>
    </w:p>
    <w:p w14:paraId="55FA6650" w14:textId="1053CC6A" w:rsidR="00A87F25" w:rsidRDefault="00000000">
      <w:pPr>
        <w:pStyle w:val="Abstract"/>
      </w:pPr>
      <w:r>
        <w:rPr>
          <w:i/>
        </w:rPr>
        <w:t>Abstract—</w:t>
      </w:r>
      <w:r>
        <w:t>Large Language Models (LLMs) demonstrate strong performance in reasoning, abstraction, and knowledge synthesis, yet their ability to learn and use causal structure remains poorly understood. This work investigates whether LLMs can (</w:t>
      </w:r>
      <w:proofErr w:type="spellStart"/>
      <w:r>
        <w:t>i</w:t>
      </w:r>
      <w:proofErr w:type="spellEnd"/>
      <w:r>
        <w:t>)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w:t>
      </w:r>
      <w:r w:rsidR="00B25203">
        <w:t>-</w:t>
      </w:r>
      <w:r>
        <w:t>driven intervention proposals evaluated against simulated or empirical data. Our approach bridges natural language understanding with causal discovery and introduces a closed</w:t>
      </w:r>
      <w:r w:rsidR="00B25203">
        <w:t>-</w:t>
      </w:r>
      <w:r>
        <w:t>loop causal reasoning pipeline. Experiments across synthetic causal benchmarks and real</w:t>
      </w:r>
      <w:r w:rsidR="00B25203">
        <w:t>-</w:t>
      </w:r>
      <w:r>
        <w:t>world textual domains demonstrate that LLMs, when constrained by formal causal validation, can recover meaningful causal structure and support counterfactual inference beyond correlational heuristics.</w:t>
      </w:r>
    </w:p>
    <w:p w14:paraId="0233EC40" w14:textId="14EC0FCD" w:rsidR="00A87F25" w:rsidRDefault="00000000">
      <w:pPr>
        <w:pStyle w:val="Keywords"/>
      </w:pPr>
      <w:r>
        <w:t>Keywords</w:t>
      </w:r>
      <w:r w:rsidR="00B25203">
        <w:t>-</w:t>
      </w:r>
      <w:r>
        <w:t>causal discovery, large language models, structural causal models, counterfactual reasoning, intervention design</w:t>
      </w:r>
    </w:p>
    <w:p w14:paraId="1CFAF6EB" w14:textId="77777777" w:rsidR="00A87F25" w:rsidRDefault="00000000">
      <w:pPr>
        <w:pStyle w:val="Heading1"/>
      </w:pPr>
      <w:r>
        <w:t>Introduction</w:t>
      </w:r>
    </w:p>
    <w:p w14:paraId="62DF5A88" w14:textId="08B8F173" w:rsidR="00A87F25" w:rsidRDefault="00000000">
      <w:pPr>
        <w:pStyle w:val="BodyText"/>
      </w:pPr>
      <w: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w:t>
      </w:r>
      <w:r w:rsidR="00B25203">
        <w:t>-</w:t>
      </w:r>
      <w:r>
        <w:t>calculus [2], provides a rigorous framework for understanding why phenomena occur, predicting the effects of interventions, and answering counterfactual questions about what would have happened under alternative conditions.</w:t>
      </w:r>
    </w:p>
    <w:p w14:paraId="2DA0F6FD" w14:textId="7E97FB16" w:rsidR="00A87F25" w:rsidRDefault="00000000">
      <w:pPr>
        <w:pStyle w:val="BodyText"/>
      </w:pPr>
      <w:r>
        <w:t>Learning causal graphs from observational data is already a well</w:t>
      </w:r>
      <w:r w:rsidR="00B25203">
        <w:t>-</w:t>
      </w:r>
      <w:r>
        <w:t>studied but challenging problem; learning them from natural language text introduces additional complexity due to linguistic ambiguity, implicit assumptions, under</w:t>
      </w:r>
      <w:r w:rsidR="00B25203">
        <w:t>-</w:t>
      </w:r>
      <w:r>
        <w:t>specified mechanisms, and missing variables. Recent advances in LLM capabilities—including chain</w:t>
      </w:r>
      <w:r w:rsidR="00B25203">
        <w:t>-</w:t>
      </w:r>
      <w:r>
        <w:t>of</w:t>
      </w:r>
      <w:r w:rsidR="00B25203">
        <w:t>-</w:t>
      </w:r>
      <w:r>
        <w:t>thought reasoning [3], tool use [9], and in</w:t>
      </w:r>
      <w:r w:rsidR="00B25203">
        <w:t>-</w:t>
      </w:r>
      <w:r>
        <w:t>context learning [8]—suggest that these models may serve as effective components within causal reasoning pipelines, even if they cannot be considered autonomous causal reasoners in isolation.</w:t>
      </w:r>
    </w:p>
    <w:p w14:paraId="13300AC0" w14:textId="392A6780" w:rsidR="00A87F25" w:rsidRDefault="00000000">
      <w:pPr>
        <w:pStyle w:val="BodyText"/>
      </w:pPr>
      <w:r>
        <w:t>The central question of this paper is: Can LLMs learn causal graphs from text and use them for intervention</w:t>
      </w:r>
      <w:r w:rsidR="00B25203">
        <w:t>-</w:t>
      </w:r>
      <w:r>
        <w:t>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14:paraId="35191C20" w14:textId="7507A83C" w:rsidR="00A87F25" w:rsidRDefault="00000000">
      <w:pPr>
        <w:pStyle w:val="BodyText"/>
      </w:pPr>
      <w:r>
        <w:t>Specifically, we contribute: (</w:t>
      </w:r>
      <w:proofErr w:type="spellStart"/>
      <w:r>
        <w:t>i</w:t>
      </w:r>
      <w:proofErr w:type="spellEnd"/>
      <w:r>
        <w:t>) an automated framework for extracting causal variables and directed relations from unstructured text using LLM prompting with self</w:t>
      </w:r>
      <w:r w:rsidR="00B25203">
        <w:t>-</w:t>
      </w:r>
      <w:r>
        <w:t>consistency validation; (ii) a method for constructing and parameterizing SCMs from LLM</w:t>
      </w:r>
      <w:r w:rsidR="00B25203">
        <w:t>-</w:t>
      </w:r>
      <w:r>
        <w:t>extracted causal graphs; (iii) an iterative intervention design and validation loop that refines causal structure using LLM</w:t>
      </w:r>
      <w:r w:rsidR="00B25203">
        <w:t>-</w:t>
      </w:r>
      <w:r>
        <w:t>proposed experiments evaluated against simulated or empirical data; and (iv) comprehensive experimental evaluation on synthetic benchmarks and three real</w:t>
      </w:r>
      <w:r w:rsidR="00B25203">
        <w:t>-</w:t>
      </w:r>
      <w:r>
        <w:t>world textual domains demonstrating substantial improvements over baselines.</w:t>
      </w:r>
    </w:p>
    <w:p w14:paraId="1F58D031" w14:textId="77777777" w:rsidR="00A87F25" w:rsidRDefault="00000000">
      <w:pPr>
        <w:pStyle w:val="Heading1"/>
      </w:pPr>
      <w:r>
        <w:t>Related Work</w:t>
      </w:r>
    </w:p>
    <w:p w14:paraId="2D37B61A" w14:textId="77777777" w:rsidR="00A87F25" w:rsidRDefault="00000000">
      <w:pPr>
        <w:pStyle w:val="Heading2"/>
      </w:pPr>
      <w:r>
        <w:t>Causal Discovery</w:t>
      </w:r>
    </w:p>
    <w:p w14:paraId="4D51D62A" w14:textId="16700F45" w:rsidR="00A87F25" w:rsidRDefault="00000000">
      <w:pPr>
        <w:pStyle w:val="BodyText"/>
      </w:pPr>
      <w:r>
        <w:t>Traditional causal discovery relies on conditional independence tests such as the PC and FCI algorithms [4], score</w:t>
      </w:r>
      <w:r w:rsidR="00B25203">
        <w:t>-</w:t>
      </w:r>
      <w:r>
        <w:t xml:space="preserve">based methods like GES [5], or functional assumptions including Additive Noise Models and </w:t>
      </w:r>
      <w:proofErr w:type="spellStart"/>
      <w:r>
        <w:t>LiNGAM</w:t>
      </w:r>
      <w:proofErr w:type="spellEnd"/>
      <w:r>
        <w:t xml:space="preserve">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14:paraId="5791F77A" w14:textId="77777777" w:rsidR="00A87F25" w:rsidRDefault="00000000">
      <w:pPr>
        <w:pStyle w:val="Heading2"/>
      </w:pPr>
      <w:r>
        <w:t>Causal Representation Learning</w:t>
      </w:r>
    </w:p>
    <w:p w14:paraId="15CFE495" w14:textId="68642B28" w:rsidR="00A87F25" w:rsidRDefault="00000000">
      <w:pPr>
        <w:pStyle w:val="BodyText"/>
      </w:pPr>
      <w:r>
        <w:t>Recent work explores learning disentangled causal variables from raw data such as images and temporal sequences [7], aiming to recover latent causal structure from high</w:t>
      </w:r>
      <w:r w:rsidR="00B25203">
        <w:t>-</w:t>
      </w:r>
      <w:r>
        <w:t>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14:paraId="6380D2C3" w14:textId="77777777" w:rsidR="00A87F25" w:rsidRDefault="00000000">
      <w:pPr>
        <w:pStyle w:val="Heading2"/>
      </w:pPr>
      <w:r>
        <w:lastRenderedPageBreak/>
        <w:t>Language Models and Reasoning</w:t>
      </w:r>
    </w:p>
    <w:p w14:paraId="60226A3D" w14:textId="37AAEC49" w:rsidR="00A87F25" w:rsidRDefault="00000000">
      <w:pPr>
        <w:pStyle w:val="BodyText"/>
      </w:pPr>
      <w:r>
        <w:t>LLMs have demonstrated capabilities in logical reasoning, multi</w:t>
      </w:r>
      <w:r w:rsidR="00B25203">
        <w:t>-</w:t>
      </w:r>
      <w:r>
        <w:t>step planning, and tool use [8], [9]. However, systematic evaluations under counterfactual perturbations reveal that much of this apparent reasoning relies on surface correlations and memorized patterns rather than genuine causal understanding [10]. Chain</w:t>
      </w:r>
      <w:r w:rsidR="00B25203">
        <w:t>-</w:t>
      </w:r>
      <w:r>
        <w:t>of</w:t>
      </w:r>
      <w:r w:rsidR="00B25203">
        <w:t>-</w:t>
      </w:r>
      <w:r>
        <w:t>thought prompting and self</w:t>
      </w:r>
      <w:r w:rsidR="00B25203">
        <w:t>-</w:t>
      </w:r>
      <w:r>
        <w:t>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14:paraId="2352997A" w14:textId="5AE47D26" w:rsidR="00A87F25" w:rsidRDefault="00000000">
      <w:pPr>
        <w:pStyle w:val="Heading2"/>
      </w:pPr>
      <w:r>
        <w:t>Language</w:t>
      </w:r>
      <w:r w:rsidR="00B25203">
        <w:t>-</w:t>
      </w:r>
      <w:r>
        <w:t>to</w:t>
      </w:r>
      <w:r w:rsidR="00B25203">
        <w:t>-</w:t>
      </w:r>
      <w:r>
        <w:t>Causality</w:t>
      </w:r>
    </w:p>
    <w:p w14:paraId="32D6A5B4" w14:textId="052A0D7A" w:rsidR="00A87F25" w:rsidRDefault="00000000">
      <w:pPr>
        <w:pStyle w:val="BodyText"/>
      </w:pPr>
      <w: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w:t>
      </w:r>
      <w:r w:rsidR="00B25203">
        <w:t>-</w:t>
      </w:r>
      <w:r>
        <w:t>based validation in a closed loop where each component informs and refines the others.</w:t>
      </w:r>
    </w:p>
    <w:p w14:paraId="6F9FAFB2" w14:textId="77777777" w:rsidR="00A87F25" w:rsidRDefault="00000000">
      <w:pPr>
        <w:pStyle w:val="Heading1"/>
      </w:pPr>
      <w:r>
        <w:t>Problem Formulation</w:t>
      </w:r>
    </w:p>
    <w:p w14:paraId="5C24408A" w14:textId="77777777" w:rsidR="00A87F25" w:rsidRDefault="00000000">
      <w:pPr>
        <w:pStyle w:val="BodyText"/>
      </w:pPr>
      <w:r>
        <w:t xml:space="preserve">Let </w:t>
      </w:r>
      <w:proofErr w:type="spellStart"/>
      <w:r>
        <w:t>T</w:t>
      </w:r>
      <w:proofErr w:type="spellEnd"/>
      <w:r>
        <w:t xml:space="preserve">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14:paraId="75CCD827" w14:textId="77777777" w:rsidR="00A87F25" w:rsidRDefault="00000000">
      <w:pPr>
        <w:pStyle w:val="equation"/>
        <w:rPr>
          <w:rFonts w:hint="eastAsia"/>
        </w:rPr>
      </w:pPr>
      <w:r>
        <w:rPr>
          <w:rFonts w:ascii="Times New Roman" w:hAnsi="Times New Roman"/>
        </w:rPr>
        <w:t>Xᵢ = fᵢ(Pa(Xᵢ), Uᵢ),    Uᵢ ~ P(Uᵢ)          (1)</w:t>
      </w:r>
    </w:p>
    <w:p w14:paraId="4E8D5132" w14:textId="77777777" w:rsidR="00A87F25" w:rsidRDefault="00000000">
      <w:pPr>
        <w:pStyle w:val="BodyText"/>
      </w:pPr>
      <w:r>
        <w:t>where Pa(Xᵢ) denotes the parents of Xᵢ in G. We aim to learn M such that: (1) G reflects the causal relations implied by T; (2) M supports valid interventional queries:</w:t>
      </w:r>
    </w:p>
    <w:p w14:paraId="1E70BCEA" w14:textId="77777777" w:rsidR="00A87F25" w:rsidRDefault="00000000">
      <w:pPr>
        <w:pStyle w:val="equation"/>
        <w:rPr>
          <w:rFonts w:hint="eastAsia"/>
        </w:rPr>
      </w:pPr>
      <w:r>
        <w:rPr>
          <w:rFonts w:ascii="Times New Roman" w:hAnsi="Times New Roman"/>
        </w:rPr>
        <w:t>P(Y | do(X = x))          (2)</w:t>
      </w:r>
    </w:p>
    <w:p w14:paraId="660C1700" w14:textId="129CB133" w:rsidR="00A87F25" w:rsidRDefault="00000000">
      <w:pPr>
        <w:pStyle w:val="BodyText"/>
      </w:pPr>
      <w:r>
        <w:t>consistent with the do</w:t>
      </w:r>
      <w:r w:rsidR="00B25203">
        <w:t>-</w:t>
      </w:r>
      <w:r>
        <w:t>calculus; and (3) counterfactual predictions from the abduction</w:t>
      </w:r>
      <w:r w:rsidR="00B25203">
        <w:t>-</w:t>
      </w:r>
      <w:r>
        <w:t>action</w:t>
      </w:r>
      <w:r w:rsidR="00B25203">
        <w:t>-</w:t>
      </w:r>
      <w:r>
        <w:t>prediction procedure are consistent under intervention. The problem is challenging because text frequently omits confounders and the mapping from text to causal variables is many</w:t>
      </w:r>
      <w:r w:rsidR="00B25203">
        <w:t>-</w:t>
      </w:r>
      <w:r>
        <w:t>to</w:t>
      </w:r>
      <w:r w:rsidR="00B25203">
        <w:t>-</w:t>
      </w:r>
      <w:r>
        <w:t>many.</w:t>
      </w:r>
    </w:p>
    <w:p w14:paraId="78DB4B77" w14:textId="77777777" w:rsidR="00A87F25" w:rsidRDefault="00000000">
      <w:pPr>
        <w:pStyle w:val="Heading1"/>
      </w:pPr>
      <w:r>
        <w:t>Methodology</w:t>
      </w:r>
    </w:p>
    <w:p w14:paraId="0FEB06B9" w14:textId="4E818594" w:rsidR="00A87F25" w:rsidRDefault="00000000">
      <w:pPr>
        <w:pStyle w:val="BodyText"/>
      </w:pPr>
      <w:r>
        <w:t>Our system consists of five stages forming a closed causal learning loop, illustrated in Fig. 1: (1) causal variable extraction from text, (2) candidate graph induction, (3) SCM construction, (4) LLM</w:t>
      </w:r>
      <w:r w:rsidR="00B25203">
        <w:t>-</w:t>
      </w:r>
      <w:r>
        <w:t>driven intervention design, and (5) intervention</w:t>
      </w:r>
      <w:r w:rsidR="00B25203">
        <w:t>-</w:t>
      </w:r>
      <w:r>
        <w:t>based validation and refinement.</w:t>
      </w:r>
    </w:p>
    <w:p w14:paraId="466DAFAA" w14:textId="77777777" w:rsidR="00A87F25" w:rsidRDefault="00000000">
      <w:r>
        <w:rPr>
          <w:noProof/>
        </w:rPr>
        <w:drawing>
          <wp:inline distT="0" distB="0" distL="0" distR="0" wp14:anchorId="087A99A6" wp14:editId="626538F7">
            <wp:extent cx="3017520" cy="2595817"/>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_pipeline.png"/>
                    <pic:cNvPicPr/>
                  </pic:nvPicPr>
                  <pic:blipFill>
                    <a:blip r:embed="rId9"/>
                    <a:stretch>
                      <a:fillRect/>
                    </a:stretch>
                  </pic:blipFill>
                  <pic:spPr>
                    <a:xfrm>
                      <a:off x="0" y="0"/>
                      <a:ext cx="3017520" cy="2595817"/>
                    </a:xfrm>
                    <a:prstGeom prst="rect">
                      <a:avLst/>
                    </a:prstGeom>
                  </pic:spPr>
                </pic:pic>
              </a:graphicData>
            </a:graphic>
          </wp:inline>
        </w:drawing>
      </w:r>
    </w:p>
    <w:p w14:paraId="78F8D908" w14:textId="2853FDC6" w:rsidR="00A87F25" w:rsidRDefault="00000000">
      <w:pPr>
        <w:pStyle w:val="figurecaption"/>
        <w:jc w:val="center"/>
      </w:pPr>
      <w:r>
        <w:t>Fig. 1.  Overview of the closed</w:t>
      </w:r>
      <w:r w:rsidR="00B25203">
        <w:t>-</w:t>
      </w:r>
      <w:r>
        <w:t>loop causal discovery pipeline. The LLM drives extraction (Stage 1) and intervention design (Stage 4). The dashed arrow indicates the iterative refinement loop.</w:t>
      </w:r>
    </w:p>
    <w:p w14:paraId="7DAB04A9" w14:textId="77777777" w:rsidR="00A87F25" w:rsidRDefault="00000000">
      <w:pPr>
        <w:pStyle w:val="Heading2"/>
      </w:pPr>
      <w:r>
        <w:t>Causal Graph Extraction from Text</w:t>
      </w:r>
    </w:p>
    <w:p w14:paraId="24DEB1DF" w14:textId="371E185C" w:rsidR="00A87F25" w:rsidRDefault="00000000">
      <w:pPr>
        <w:pStyle w:val="BodyText"/>
      </w:pPr>
      <w: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w:t>
      </w:r>
      <w:r w:rsidR="00B25203">
        <w:t>-</w:t>
      </w:r>
      <w:r>
        <w:t>readable results.</w:t>
      </w:r>
    </w:p>
    <w:p w14:paraId="0E5A6FD6" w14:textId="7B45B36D" w:rsidR="00A87F25" w:rsidRDefault="00000000">
      <w:pPr>
        <w:pStyle w:val="BodyText"/>
      </w:pPr>
      <w:r>
        <w:t xml:space="preserve">For example, from a medical text describing smoking and lung cancer, the system extracts variables {Smoking, </w:t>
      </w:r>
      <w:proofErr w:type="spellStart"/>
      <w:r>
        <w:t>Tar_Deposition</w:t>
      </w:r>
      <w:proofErr w:type="spellEnd"/>
      <w:r>
        <w:t xml:space="preserve">, </w:t>
      </w:r>
      <w:proofErr w:type="spellStart"/>
      <w:r>
        <w:t>Lung_Cancer</w:t>
      </w:r>
      <w:proofErr w:type="spellEnd"/>
      <w:r>
        <w:t xml:space="preserve">} with edges Smoking → </w:t>
      </w:r>
      <w:proofErr w:type="spellStart"/>
      <w:r>
        <w:t>Tar_Deposition</w:t>
      </w:r>
      <w:proofErr w:type="spellEnd"/>
      <w:r>
        <w:t xml:space="preserve"> → </w:t>
      </w:r>
      <w:proofErr w:type="spellStart"/>
      <w:r>
        <w:t>Lung_Cancer</w:t>
      </w:r>
      <w:proofErr w:type="spellEnd"/>
      <w:r>
        <w:t>. Three post</w:t>
      </w:r>
      <w:r w:rsidR="00B25203">
        <w:t>-</w:t>
      </w:r>
      <w:r>
        <w:t xml:space="preserve">processing steps are </w:t>
      </w:r>
      <w:r>
        <w:lastRenderedPageBreak/>
        <w:t>applied: entity normalization to merge synonymous references (e.g., “cigarette use” and “smoking”), DAG consistency checks to detect and remove cycles introduced by ambiguous text, and edge confidence scoring via self</w:t>
      </w:r>
      <w:r w:rsidR="00B25203">
        <w:t>-</w:t>
      </w:r>
      <w:r>
        <w:t>consistency sampling across K = 10 independent LLM decoding passes. Edges appearing in fewer than 60% of samples are flagged as uncertain and subjected to additional validation in the intervention stage.</w:t>
      </w:r>
    </w:p>
    <w:p w14:paraId="3E812495" w14:textId="77777777" w:rsidR="00A87F25" w:rsidRDefault="00000000">
      <w:pPr>
        <w:pStyle w:val="Heading2"/>
      </w:pPr>
      <w:r>
        <w:t>Structural Causal Model Induction</w:t>
      </w:r>
    </w:p>
    <w:p w14:paraId="7B6538AC" w14:textId="77777777" w:rsidR="00A87F25" w:rsidRDefault="00000000">
      <w:pPr>
        <w:pStyle w:val="BodyText"/>
      </w:pPr>
      <w: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14:paraId="753C28CD" w14:textId="1B3AF742" w:rsidR="00A87F25" w:rsidRDefault="00000000">
      <w:pPr>
        <w:pStyle w:val="BodyText"/>
      </w:pPr>
      <w:r>
        <w:t>When observational data is unavailable, we leverage LLM</w:t>
      </w:r>
      <w:r w:rsidR="00B25203">
        <w:t>-</w:t>
      </w:r>
      <w:r>
        <w:t>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14:paraId="1FF6264D" w14:textId="7F8F1BDE" w:rsidR="00A87F25" w:rsidRDefault="00000000">
      <w:pPr>
        <w:pStyle w:val="Heading2"/>
      </w:pPr>
      <w:r>
        <w:t>LLM</w:t>
      </w:r>
      <w:r w:rsidR="00B25203">
        <w:t>-</w:t>
      </w:r>
      <w:r>
        <w:t>Driven Intervention Design</w:t>
      </w:r>
    </w:p>
    <w:p w14:paraId="41282C1E" w14:textId="77777777" w:rsidR="00A87F25" w:rsidRDefault="00000000">
      <w:pPr>
        <w:pStyle w:val="BodyText"/>
      </w:pPr>
      <w: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w:t>
      </w:r>
      <w:proofErr w:type="spellStart"/>
      <w:r>
        <w:t>Tar_Deposition</w:t>
      </w:r>
      <w:proofErr w:type="spellEnd"/>
      <w:r>
        <w:t xml:space="preserve"> = 0), along with expected downstream effects under each candidate graph.</w:t>
      </w:r>
    </w:p>
    <w:p w14:paraId="3D315410" w14:textId="77777777" w:rsidR="00A87F25" w:rsidRDefault="00000000">
      <w:pPr>
        <w:pStyle w:val="BodyText"/>
      </w:pPr>
      <w: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14:paraId="2872C97F" w14:textId="4E8A2AE8" w:rsidR="00A87F25" w:rsidRDefault="00000000">
      <w:pPr>
        <w:pStyle w:val="Heading2"/>
      </w:pPr>
      <w:r>
        <w:t>Intervention</w:t>
      </w:r>
      <w:r w:rsidR="00B25203">
        <w:t>-</w:t>
      </w:r>
      <w:r>
        <w:t>Based Validation</w:t>
      </w:r>
    </w:p>
    <w:p w14:paraId="56A8E540" w14:textId="77777777" w:rsidR="00A87F25" w:rsidRDefault="00000000">
      <w:pPr>
        <w:pStyle w:val="BodyText"/>
      </w:pPr>
      <w:r>
        <w:t>Each proposed intervention is evaluated by executing simulated SCM rollouts. For each candidate graph Gₖ and corresponding SCM Mₖ, we compute:</w:t>
      </w:r>
    </w:p>
    <w:p w14:paraId="286FB978" w14:textId="77777777" w:rsidR="00A87F25" w:rsidRDefault="00000000">
      <w:pPr>
        <w:pStyle w:val="equation"/>
        <w:rPr>
          <w:rFonts w:hint="eastAsia"/>
        </w:rPr>
      </w:pPr>
      <w:r>
        <w:rPr>
          <w:rFonts w:ascii="Times New Roman" w:hAnsi="Times New Roman"/>
        </w:rPr>
        <w:t>P_Mₖ(Y | do(X = x))          (3)</w:t>
      </w:r>
    </w:p>
    <w:p w14:paraId="612AF5AD" w14:textId="77777777" w:rsidR="00A87F25" w:rsidRDefault="00000000">
      <w:pPr>
        <w:pStyle w:val="BodyText"/>
      </w:pPr>
      <w: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14:paraId="481FD9D2" w14:textId="77777777" w:rsidR="00A87F25" w:rsidRDefault="00000000">
      <w:pPr>
        <w:pStyle w:val="Heading1"/>
      </w:pPr>
      <w:r>
        <w:t>Counterfactual Reasoning</w:t>
      </w:r>
    </w:p>
    <w:p w14:paraId="08F41D51" w14:textId="0FC765FF" w:rsidR="00A87F25" w:rsidRDefault="00000000">
      <w:pPr>
        <w:pStyle w:val="BodyText"/>
      </w:pPr>
      <w:r>
        <w:t>Once a validated SCM M is obtained, we answer counterfactual queries following Pearl’s three</w:t>
      </w:r>
      <w:r w:rsidR="00B25203">
        <w:t>-</w:t>
      </w:r>
      <w:r>
        <w:t>step procedure [2]: (1) abduction—infer exogenous noise U from observed evidence; (2) action—apply the hypothetical intervention; (3) prediction—compute the outcome under the modified model. The counterfactual outcome is:</w:t>
      </w:r>
    </w:p>
    <w:p w14:paraId="18155F9B" w14:textId="77777777" w:rsidR="00A87F25" w:rsidRDefault="00000000">
      <w:pPr>
        <w:pStyle w:val="equation"/>
        <w:rPr>
          <w:rFonts w:hint="eastAsia"/>
        </w:rPr>
      </w:pPr>
      <w:r>
        <w:rPr>
          <w:rFonts w:ascii="Times New Roman" w:hAnsi="Times New Roman"/>
        </w:rPr>
        <w:t xml:space="preserve">Y_{x′}(u) = </w:t>
      </w:r>
      <w:proofErr w:type="spellStart"/>
      <w:r>
        <w:rPr>
          <w:rFonts w:ascii="Times New Roman" w:hAnsi="Times New Roman"/>
        </w:rPr>
        <w:t>f_Y</w:t>
      </w:r>
      <w:proofErr w:type="spellEnd"/>
      <w:r>
        <w:rPr>
          <w:rFonts w:ascii="Times New Roman" w:hAnsi="Times New Roman"/>
        </w:rPr>
        <w:t xml:space="preserve">(x′, </w:t>
      </w:r>
      <w:proofErr w:type="spellStart"/>
      <w:r>
        <w:rPr>
          <w:rFonts w:ascii="Times New Roman" w:hAnsi="Times New Roman"/>
        </w:rPr>
        <w:t>u_Y</w:t>
      </w:r>
      <w:proofErr w:type="spellEnd"/>
      <w:r>
        <w:rPr>
          <w:rFonts w:ascii="Times New Roman" w:hAnsi="Times New Roman"/>
        </w:rPr>
        <w:t>)          (4)</w:t>
      </w:r>
    </w:p>
    <w:p w14:paraId="0701731C" w14:textId="3A1057F8" w:rsidR="00A87F25" w:rsidRDefault="00000000">
      <w:pPr>
        <w:pStyle w:val="BodyText"/>
      </w:pPr>
      <w:r>
        <w:t xml:space="preserve">where </w:t>
      </w:r>
      <w:proofErr w:type="spellStart"/>
      <w:r>
        <w:t>u_Y</w:t>
      </w:r>
      <w:proofErr w:type="spellEnd"/>
      <w:r>
        <w:t xml:space="preserve"> is inferred from factual observations via abduction. Crucially, the LLM is constrained to operate through explicit SCM execution rather than free</w:t>
      </w:r>
      <w:r w:rsidR="00B25203">
        <w:t>-</w:t>
      </w:r>
      <w:r>
        <w:t>form speculation. The LLM’s role is limited to translating natural language counterfactual questions into formal do</w:t>
      </w:r>
      <w:r w:rsidR="00B25203">
        <w:t>-</w:t>
      </w:r>
      <w:r>
        <w:t>operator expressions; all subsequent computation is performed by running the structural equations with modified inputs. This ensures consistency with the learned causal model and dramatically reduces hallucinated counterfactuals—a common and well</w:t>
      </w:r>
      <w:r w:rsidR="00B25203">
        <w:t>-</w:t>
      </w:r>
      <w:r>
        <w:t>documented failure mode when LLMs attempt counterfactual reasoning without formal grounding [10].</w:t>
      </w:r>
    </w:p>
    <w:p w14:paraId="5DA9BCAE" w14:textId="77777777" w:rsidR="00A87F25" w:rsidRDefault="00000000">
      <w:pPr>
        <w:pStyle w:val="Heading1"/>
      </w:pPr>
      <w:r>
        <w:t>Experiments</w:t>
      </w:r>
    </w:p>
    <w:p w14:paraId="53B8524D" w14:textId="77777777" w:rsidR="00A87F25" w:rsidRDefault="00000000">
      <w:pPr>
        <w:pStyle w:val="Heading2"/>
      </w:pPr>
      <w:r>
        <w:t>Synthetic Benchmarks</w:t>
      </w:r>
    </w:p>
    <w:p w14:paraId="613A2DCF" w14:textId="77777777" w:rsidR="00A87F25" w:rsidRDefault="00000000">
      <w:pPr>
        <w:pStyle w:val="BodyText"/>
      </w:pPr>
      <w: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14:paraId="0FFC563D" w14:textId="77777777" w:rsidR="00A87F25" w:rsidRDefault="00000000">
      <w:r>
        <w:rPr>
          <w:noProof/>
        </w:rPr>
        <w:drawing>
          <wp:inline distT="0" distB="0" distL="0" distR="0" wp14:anchorId="60473664" wp14:editId="26FE924A">
            <wp:extent cx="3017520" cy="120524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2_causal_structures.png"/>
                    <pic:cNvPicPr/>
                  </pic:nvPicPr>
                  <pic:blipFill>
                    <a:blip r:embed="rId10"/>
                    <a:stretch>
                      <a:fillRect/>
                    </a:stretch>
                  </pic:blipFill>
                  <pic:spPr>
                    <a:xfrm>
                      <a:off x="0" y="0"/>
                      <a:ext cx="3017520" cy="1205240"/>
                    </a:xfrm>
                    <a:prstGeom prst="rect">
                      <a:avLst/>
                    </a:prstGeom>
                  </pic:spPr>
                </pic:pic>
              </a:graphicData>
            </a:graphic>
          </wp:inline>
        </w:drawing>
      </w:r>
    </w:p>
    <w:p w14:paraId="5E85152F" w14:textId="77777777" w:rsidR="00A87F25" w:rsidRDefault="00000000">
      <w:pPr>
        <w:pStyle w:val="figurecaption"/>
        <w:jc w:val="center"/>
      </w:pPr>
      <w:r>
        <w:t>Fig. 2.  Three canonical causal structures used in synthetic benchmarks: (a) chain, (b) fork, and (c) collider.</w:t>
      </w:r>
    </w:p>
    <w:p w14:paraId="328AA0AA" w14:textId="77777777" w:rsidR="00A87F25" w:rsidRDefault="00000000">
      <w:pPr>
        <w:pStyle w:val="BodyText"/>
      </w:pPr>
      <w:r>
        <w:lastRenderedPageBreak/>
        <w:t>We evaluate with three metrics: Structural Hamming Distance (SHD), intervention accuracy (predicted P(</w:t>
      </w:r>
      <w:proofErr w:type="spellStart"/>
      <w:r>
        <w:t>Y|do</w:t>
      </w:r>
      <w:proofErr w:type="spellEnd"/>
      <w:r>
        <w:t>(X=x)) matches ground truth within tolerance 0.05), and counterfactual consistency (predictions satisfy known algebraic identities).</w:t>
      </w:r>
    </w:p>
    <w:p w14:paraId="0B426584" w14:textId="77777777" w:rsidR="00A87F25" w:rsidRDefault="00000000">
      <w:pPr>
        <w:pStyle w:val="tablehead"/>
      </w:pPr>
      <w:r>
        <w:t>Comparison of Methods on Synthetic Benchmarks</w:t>
      </w:r>
    </w:p>
    <w:tbl>
      <w:tblPr>
        <w:tblW w:w="0pt" w:type="dxa"/>
        <w:jc w:val="center"/>
        <w:tblLook w:firstRow="1" w:lastRow="0" w:firstColumn="1" w:lastColumn="0" w:noHBand="0" w:noVBand="1"/>
      </w:tblPr>
      <w:tblGrid>
        <w:gridCol w:w="1701"/>
        <w:gridCol w:w="1020"/>
        <w:gridCol w:w="1020"/>
        <w:gridCol w:w="1020"/>
      </w:tblGrid>
      <w:tr w:rsidR="00A87F25" w14:paraId="56AA3350" w14:textId="77777777">
        <w:trPr>
          <w:jc w:val="center"/>
        </w:trPr>
        <w:tc>
          <w:tcPr>
            <w:tcW w:w="85.05pt" w:type="dxa"/>
          </w:tcPr>
          <w:p w14:paraId="0D3D1E92" w14:textId="77777777" w:rsidR="00A87F25" w:rsidRDefault="00000000">
            <w:pPr>
              <w:pStyle w:val="tablecolhead"/>
            </w:pPr>
            <w:r>
              <w:t>Method</w:t>
            </w:r>
          </w:p>
        </w:tc>
        <w:tc>
          <w:tcPr>
            <w:tcW w:w="51pt" w:type="dxa"/>
          </w:tcPr>
          <w:p w14:paraId="7CCA818E" w14:textId="77777777" w:rsidR="00A87F25" w:rsidRDefault="00000000">
            <w:pPr>
              <w:pStyle w:val="tablecolhead"/>
            </w:pPr>
            <w:r>
              <w:t>SHD ↓</w:t>
            </w:r>
          </w:p>
        </w:tc>
        <w:tc>
          <w:tcPr>
            <w:tcW w:w="51pt" w:type="dxa"/>
          </w:tcPr>
          <w:p w14:paraId="7FD91F77" w14:textId="77777777" w:rsidR="00A87F25" w:rsidRDefault="00000000">
            <w:pPr>
              <w:pStyle w:val="tablecolhead"/>
            </w:pPr>
            <w:r>
              <w:t>Int. Acc. ↑</w:t>
            </w:r>
          </w:p>
        </w:tc>
        <w:tc>
          <w:tcPr>
            <w:tcW w:w="51pt" w:type="dxa"/>
          </w:tcPr>
          <w:p w14:paraId="4799143D" w14:textId="77777777" w:rsidR="00A87F25" w:rsidRDefault="00000000">
            <w:pPr>
              <w:pStyle w:val="tablecolhead"/>
            </w:pPr>
            <w:r>
              <w:t>CF Cons. ↑</w:t>
            </w:r>
          </w:p>
        </w:tc>
      </w:tr>
      <w:tr w:rsidR="00A87F25" w14:paraId="0F27D558" w14:textId="77777777">
        <w:trPr>
          <w:jc w:val="center"/>
        </w:trPr>
        <w:tc>
          <w:tcPr>
            <w:tcW w:w="85.05pt" w:type="dxa"/>
          </w:tcPr>
          <w:p w14:paraId="5A7F6505" w14:textId="77777777" w:rsidR="00A87F25" w:rsidRDefault="00000000">
            <w:pPr>
              <w:pStyle w:val="tablecopy"/>
            </w:pPr>
            <w:r>
              <w:t>Correlation baseline</w:t>
            </w:r>
          </w:p>
        </w:tc>
        <w:tc>
          <w:tcPr>
            <w:tcW w:w="51pt" w:type="dxa"/>
          </w:tcPr>
          <w:p w14:paraId="64534C4D" w14:textId="77777777" w:rsidR="00A87F25" w:rsidRDefault="00000000">
            <w:pPr>
              <w:pStyle w:val="tablecopy"/>
            </w:pPr>
            <w:r>
              <w:t>8.4 ± 2.1</w:t>
            </w:r>
          </w:p>
        </w:tc>
        <w:tc>
          <w:tcPr>
            <w:tcW w:w="51pt" w:type="dxa"/>
          </w:tcPr>
          <w:p w14:paraId="6AA31DDB" w14:textId="77777777" w:rsidR="00A87F25" w:rsidRDefault="00000000">
            <w:pPr>
              <w:pStyle w:val="tablecopy"/>
            </w:pPr>
            <w:r>
              <w:t>0.41</w:t>
            </w:r>
          </w:p>
        </w:tc>
        <w:tc>
          <w:tcPr>
            <w:tcW w:w="51pt" w:type="dxa"/>
          </w:tcPr>
          <w:p w14:paraId="0EBD4C61" w14:textId="77777777" w:rsidR="00A87F25" w:rsidRDefault="00000000">
            <w:pPr>
              <w:pStyle w:val="tablecopy"/>
            </w:pPr>
            <w:r>
              <w:t>0.38</w:t>
            </w:r>
          </w:p>
        </w:tc>
      </w:tr>
      <w:tr w:rsidR="00A87F25" w14:paraId="31CE37A2" w14:textId="77777777">
        <w:trPr>
          <w:jc w:val="center"/>
        </w:trPr>
        <w:tc>
          <w:tcPr>
            <w:tcW w:w="85.05pt" w:type="dxa"/>
          </w:tcPr>
          <w:p w14:paraId="06305BFA" w14:textId="77777777" w:rsidR="00A87F25" w:rsidRDefault="00000000">
            <w:pPr>
              <w:pStyle w:val="tablecopy"/>
            </w:pPr>
            <w:r>
              <w:t>LLM only (no SCM)</w:t>
            </w:r>
          </w:p>
        </w:tc>
        <w:tc>
          <w:tcPr>
            <w:tcW w:w="51pt" w:type="dxa"/>
          </w:tcPr>
          <w:p w14:paraId="0845327B" w14:textId="77777777" w:rsidR="00A87F25" w:rsidRDefault="00000000">
            <w:pPr>
              <w:pStyle w:val="tablecopy"/>
            </w:pPr>
            <w:r>
              <w:t>5.7 ± 1.8</w:t>
            </w:r>
          </w:p>
        </w:tc>
        <w:tc>
          <w:tcPr>
            <w:tcW w:w="51pt" w:type="dxa"/>
          </w:tcPr>
          <w:p w14:paraId="61AE560C" w14:textId="77777777" w:rsidR="00A87F25" w:rsidRDefault="00000000">
            <w:pPr>
              <w:pStyle w:val="tablecopy"/>
            </w:pPr>
            <w:r>
              <w:t>0.56</w:t>
            </w:r>
          </w:p>
        </w:tc>
        <w:tc>
          <w:tcPr>
            <w:tcW w:w="51pt" w:type="dxa"/>
          </w:tcPr>
          <w:p w14:paraId="7828017E" w14:textId="77777777" w:rsidR="00A87F25" w:rsidRDefault="00000000">
            <w:pPr>
              <w:pStyle w:val="tablecopy"/>
            </w:pPr>
            <w:r>
              <w:t>0.52</w:t>
            </w:r>
          </w:p>
        </w:tc>
      </w:tr>
      <w:tr w:rsidR="00A87F25" w14:paraId="06F314FE" w14:textId="77777777">
        <w:trPr>
          <w:jc w:val="center"/>
        </w:trPr>
        <w:tc>
          <w:tcPr>
            <w:tcW w:w="85.05pt" w:type="dxa"/>
          </w:tcPr>
          <w:p w14:paraId="4F391B3E" w14:textId="77777777" w:rsidR="00A87F25" w:rsidRDefault="00000000">
            <w:pPr>
              <w:pStyle w:val="tablecopy"/>
            </w:pPr>
            <w:r>
              <w:t>LLM + SCM (no interv.)</w:t>
            </w:r>
          </w:p>
        </w:tc>
        <w:tc>
          <w:tcPr>
            <w:tcW w:w="51pt" w:type="dxa"/>
          </w:tcPr>
          <w:p w14:paraId="5CD6E7BF" w14:textId="77777777" w:rsidR="00A87F25" w:rsidRDefault="00000000">
            <w:pPr>
              <w:pStyle w:val="tablecopy"/>
            </w:pPr>
            <w:r>
              <w:t>3.2 ± 1.4</w:t>
            </w:r>
          </w:p>
        </w:tc>
        <w:tc>
          <w:tcPr>
            <w:tcW w:w="51pt" w:type="dxa"/>
          </w:tcPr>
          <w:p w14:paraId="3B857C81" w14:textId="77777777" w:rsidR="00A87F25" w:rsidRDefault="00000000">
            <w:pPr>
              <w:pStyle w:val="tablecopy"/>
            </w:pPr>
            <w:r>
              <w:t>0.71</w:t>
            </w:r>
          </w:p>
        </w:tc>
        <w:tc>
          <w:tcPr>
            <w:tcW w:w="51pt" w:type="dxa"/>
          </w:tcPr>
          <w:p w14:paraId="0B062CD8" w14:textId="77777777" w:rsidR="00A87F25" w:rsidRDefault="00000000">
            <w:pPr>
              <w:pStyle w:val="tablecopy"/>
            </w:pPr>
            <w:r>
              <w:t>0.67</w:t>
            </w:r>
          </w:p>
        </w:tc>
      </w:tr>
      <w:tr w:rsidR="00A87F25" w14:paraId="4CA62740" w14:textId="77777777">
        <w:trPr>
          <w:jc w:val="center"/>
        </w:trPr>
        <w:tc>
          <w:tcPr>
            <w:tcW w:w="85.05pt" w:type="dxa"/>
          </w:tcPr>
          <w:p w14:paraId="3679026E" w14:textId="77777777" w:rsidR="00A87F25" w:rsidRDefault="00000000">
            <w:pPr>
              <w:pStyle w:val="tablecopy"/>
            </w:pPr>
            <w:r>
              <w:t>Ours (full pipeline)</w:t>
            </w:r>
          </w:p>
        </w:tc>
        <w:tc>
          <w:tcPr>
            <w:tcW w:w="51pt" w:type="dxa"/>
          </w:tcPr>
          <w:p w14:paraId="5B5F0B9A" w14:textId="77777777" w:rsidR="00A87F25" w:rsidRDefault="00000000">
            <w:pPr>
              <w:pStyle w:val="tablecopy"/>
            </w:pPr>
            <w:r>
              <w:t>1.3 ± 0.9</w:t>
            </w:r>
          </w:p>
        </w:tc>
        <w:tc>
          <w:tcPr>
            <w:tcW w:w="51pt" w:type="dxa"/>
          </w:tcPr>
          <w:p w14:paraId="684D0462" w14:textId="77777777" w:rsidR="00A87F25" w:rsidRDefault="00000000">
            <w:pPr>
              <w:pStyle w:val="tablecopy"/>
            </w:pPr>
            <w:r>
              <w:t>0.89</w:t>
            </w:r>
          </w:p>
        </w:tc>
        <w:tc>
          <w:tcPr>
            <w:tcW w:w="51pt" w:type="dxa"/>
          </w:tcPr>
          <w:p w14:paraId="6DAE23F4" w14:textId="77777777" w:rsidR="00A87F25" w:rsidRDefault="00000000">
            <w:pPr>
              <w:pStyle w:val="tablecopy"/>
            </w:pPr>
            <w:r>
              <w:t>0.91</w:t>
            </w:r>
          </w:p>
        </w:tc>
      </w:tr>
    </w:tbl>
    <w:p w14:paraId="1D3C9366" w14:textId="77777777" w:rsidR="00A87F25" w:rsidRDefault="00000000">
      <w:pPr>
        <w:pStyle w:val="BodyText"/>
      </w:pPr>
      <w:r>
        <w:t>As shown in Table I, our full pipeline achieves the lowest SHD (1.3 ± 0.9) after 2–3 intervention cycles, substantially outperforming both correlation baselines (SHD 8.4) and pure LLM reasoning without SCM grounding (SHD 5.7). The intervention accuracy of 0.89 and counterfactual consistency of 0.91 indicate that the recovered graphs support reliable causal inference. The LLM + SCM variant without intervention achieves intermediate performance (SHD 3.2), demonstrating that the SCM framework alone provides significant benefit but the intervention loop is necessary for high accuracy.</w:t>
      </w:r>
    </w:p>
    <w:p w14:paraId="37EF7F08" w14:textId="78DFE85D" w:rsidR="00A87F25" w:rsidRDefault="00000000">
      <w:pPr>
        <w:pStyle w:val="Heading2"/>
      </w:pPr>
      <w:r>
        <w:t>Real</w:t>
      </w:r>
      <w:r w:rsidR="00B25203">
        <w:t>-</w:t>
      </w:r>
      <w:r>
        <w:t>World Text Domains</w:t>
      </w:r>
    </w:p>
    <w:p w14:paraId="79E91A9D" w14:textId="6B3AB2F4" w:rsidR="00A87F25" w:rsidRDefault="00000000">
      <w:pPr>
        <w:pStyle w:val="BodyText"/>
      </w:pPr>
      <w:r>
        <w:t>We evaluate our framework on three real</w:t>
      </w:r>
      <w:r w:rsidR="00B25203">
        <w:t>-</w:t>
      </w:r>
      <w:r>
        <w:t>world textual domains: medical abstracts from PubMed describing treatment effects and disease mechanisms, economic reports from central bank publications discussing monetary policy impacts, and policy descriptions from government documents outlining regulatory interventions and their expected consequences. For each domain, we extract causal graphs from 50 text passages and evaluate against expert</w:t>
      </w:r>
      <w:r w:rsidR="00B25203">
        <w:t>-</w:t>
      </w:r>
      <w:r>
        <w:t>annotated ground truth where available.</w:t>
      </w:r>
    </w:p>
    <w:p w14:paraId="7EAEE886" w14:textId="27C153AD" w:rsidR="00A87F25" w:rsidRDefault="00000000">
      <w:pPr>
        <w:pStyle w:val="tablehead"/>
      </w:pPr>
      <w:r>
        <w:t>Results on Real</w:t>
      </w:r>
      <w:r w:rsidR="00B25203">
        <w:t>-</w:t>
      </w:r>
      <w:r>
        <w:t>World Text Domains</w:t>
      </w:r>
    </w:p>
    <w:tbl>
      <w:tblPr>
        <w:tblW w:w="0pt" w:type="dxa"/>
        <w:jc w:val="center"/>
        <w:tblLook w:firstRow="1" w:lastRow="0" w:firstColumn="1" w:lastColumn="0" w:noHBand="0" w:noVBand="1"/>
      </w:tblPr>
      <w:tblGrid>
        <w:gridCol w:w="1701"/>
        <w:gridCol w:w="1020"/>
        <w:gridCol w:w="1020"/>
        <w:gridCol w:w="1020"/>
      </w:tblGrid>
      <w:tr w:rsidR="00A87F25" w14:paraId="7B0F869E" w14:textId="77777777">
        <w:trPr>
          <w:jc w:val="center"/>
        </w:trPr>
        <w:tc>
          <w:tcPr>
            <w:tcW w:w="85.05pt" w:type="dxa"/>
          </w:tcPr>
          <w:p w14:paraId="171B67AD" w14:textId="77777777" w:rsidR="00A87F25" w:rsidRDefault="00000000">
            <w:pPr>
              <w:pStyle w:val="tablecolhead"/>
            </w:pPr>
            <w:r>
              <w:t>Domain</w:t>
            </w:r>
          </w:p>
        </w:tc>
        <w:tc>
          <w:tcPr>
            <w:tcW w:w="51pt" w:type="dxa"/>
          </w:tcPr>
          <w:p w14:paraId="1165093B" w14:textId="77777777" w:rsidR="00A87F25" w:rsidRDefault="00000000">
            <w:pPr>
              <w:pStyle w:val="tablecolhead"/>
            </w:pPr>
            <w:r>
              <w:t>SHD ↓</w:t>
            </w:r>
          </w:p>
        </w:tc>
        <w:tc>
          <w:tcPr>
            <w:tcW w:w="51pt" w:type="dxa"/>
          </w:tcPr>
          <w:p w14:paraId="6C1FC471" w14:textId="77777777" w:rsidR="00A87F25" w:rsidRDefault="00000000">
            <w:pPr>
              <w:pStyle w:val="tablecolhead"/>
            </w:pPr>
            <w:r>
              <w:t>Int. Acc. ↑</w:t>
            </w:r>
          </w:p>
        </w:tc>
        <w:tc>
          <w:tcPr>
            <w:tcW w:w="51pt" w:type="dxa"/>
          </w:tcPr>
          <w:p w14:paraId="19C0231B" w14:textId="77777777" w:rsidR="00A87F25" w:rsidRDefault="00000000">
            <w:pPr>
              <w:pStyle w:val="tablecolhead"/>
            </w:pPr>
            <w:r>
              <w:t>CF Cons. ↑</w:t>
            </w:r>
          </w:p>
        </w:tc>
      </w:tr>
      <w:tr w:rsidR="00A87F25" w14:paraId="3B42CBEF" w14:textId="77777777">
        <w:trPr>
          <w:jc w:val="center"/>
        </w:trPr>
        <w:tc>
          <w:tcPr>
            <w:tcW w:w="85.05pt" w:type="dxa"/>
          </w:tcPr>
          <w:p w14:paraId="1DAC4400" w14:textId="77777777" w:rsidR="00A87F25" w:rsidRDefault="00000000">
            <w:pPr>
              <w:pStyle w:val="tablecopy"/>
            </w:pPr>
            <w:r>
              <w:t>Medical abstracts</w:t>
            </w:r>
          </w:p>
        </w:tc>
        <w:tc>
          <w:tcPr>
            <w:tcW w:w="51pt" w:type="dxa"/>
          </w:tcPr>
          <w:p w14:paraId="74B97D5A" w14:textId="77777777" w:rsidR="00A87F25" w:rsidRDefault="00000000">
            <w:pPr>
              <w:pStyle w:val="tablecopy"/>
            </w:pPr>
            <w:r>
              <w:t>2.8 ± 1.6</w:t>
            </w:r>
          </w:p>
        </w:tc>
        <w:tc>
          <w:tcPr>
            <w:tcW w:w="51pt" w:type="dxa"/>
          </w:tcPr>
          <w:p w14:paraId="0B0ADF3C" w14:textId="77777777" w:rsidR="00A87F25" w:rsidRDefault="00000000">
            <w:pPr>
              <w:pStyle w:val="tablecopy"/>
            </w:pPr>
            <w:r>
              <w:t>0.82</w:t>
            </w:r>
          </w:p>
        </w:tc>
        <w:tc>
          <w:tcPr>
            <w:tcW w:w="51pt" w:type="dxa"/>
          </w:tcPr>
          <w:p w14:paraId="3B22A5E3" w14:textId="77777777" w:rsidR="00A87F25" w:rsidRDefault="00000000">
            <w:pPr>
              <w:pStyle w:val="tablecopy"/>
            </w:pPr>
            <w:r>
              <w:t>0.79</w:t>
            </w:r>
          </w:p>
        </w:tc>
      </w:tr>
      <w:tr w:rsidR="00A87F25" w14:paraId="4580454C" w14:textId="77777777">
        <w:trPr>
          <w:jc w:val="center"/>
        </w:trPr>
        <w:tc>
          <w:tcPr>
            <w:tcW w:w="85.05pt" w:type="dxa"/>
          </w:tcPr>
          <w:p w14:paraId="0C965AD5" w14:textId="77777777" w:rsidR="00A87F25" w:rsidRDefault="00000000">
            <w:pPr>
              <w:pStyle w:val="tablecopy"/>
            </w:pPr>
            <w:r>
              <w:t>Economic reports</w:t>
            </w:r>
          </w:p>
        </w:tc>
        <w:tc>
          <w:tcPr>
            <w:tcW w:w="51pt" w:type="dxa"/>
          </w:tcPr>
          <w:p w14:paraId="7F274A08" w14:textId="77777777" w:rsidR="00A87F25" w:rsidRDefault="00000000">
            <w:pPr>
              <w:pStyle w:val="tablecopy"/>
            </w:pPr>
            <w:r>
              <w:t>3.5 ± 2.0</w:t>
            </w:r>
          </w:p>
        </w:tc>
        <w:tc>
          <w:tcPr>
            <w:tcW w:w="51pt" w:type="dxa"/>
          </w:tcPr>
          <w:p w14:paraId="21501F00" w14:textId="77777777" w:rsidR="00A87F25" w:rsidRDefault="00000000">
            <w:pPr>
              <w:pStyle w:val="tablecopy"/>
            </w:pPr>
            <w:r>
              <w:t>0.76</w:t>
            </w:r>
          </w:p>
        </w:tc>
        <w:tc>
          <w:tcPr>
            <w:tcW w:w="51pt" w:type="dxa"/>
          </w:tcPr>
          <w:p w14:paraId="19C213DA" w14:textId="77777777" w:rsidR="00A87F25" w:rsidRDefault="00000000">
            <w:pPr>
              <w:pStyle w:val="tablecopy"/>
            </w:pPr>
            <w:r>
              <w:t>0.73</w:t>
            </w:r>
          </w:p>
        </w:tc>
      </w:tr>
      <w:tr w:rsidR="00A87F25" w14:paraId="052F76B6" w14:textId="77777777">
        <w:trPr>
          <w:jc w:val="center"/>
        </w:trPr>
        <w:tc>
          <w:tcPr>
            <w:tcW w:w="85.05pt" w:type="dxa"/>
          </w:tcPr>
          <w:p w14:paraId="64EF49CD" w14:textId="77777777" w:rsidR="00A87F25" w:rsidRDefault="00000000">
            <w:pPr>
              <w:pStyle w:val="tablecopy"/>
            </w:pPr>
            <w:r>
              <w:t>Policy descriptions</w:t>
            </w:r>
          </w:p>
        </w:tc>
        <w:tc>
          <w:tcPr>
            <w:tcW w:w="51pt" w:type="dxa"/>
          </w:tcPr>
          <w:p w14:paraId="4AEF2B78" w14:textId="77777777" w:rsidR="00A87F25" w:rsidRDefault="00000000">
            <w:pPr>
              <w:pStyle w:val="tablecopy"/>
            </w:pPr>
            <w:r>
              <w:t>3.1 ± 1.7</w:t>
            </w:r>
          </w:p>
        </w:tc>
        <w:tc>
          <w:tcPr>
            <w:tcW w:w="51pt" w:type="dxa"/>
          </w:tcPr>
          <w:p w14:paraId="546366F2" w14:textId="77777777" w:rsidR="00A87F25" w:rsidRDefault="00000000">
            <w:pPr>
              <w:pStyle w:val="tablecopy"/>
            </w:pPr>
            <w:r>
              <w:t>0.78</w:t>
            </w:r>
          </w:p>
        </w:tc>
        <w:tc>
          <w:tcPr>
            <w:tcW w:w="51pt" w:type="dxa"/>
          </w:tcPr>
          <w:p w14:paraId="04712F47" w14:textId="77777777" w:rsidR="00A87F25" w:rsidRDefault="00000000">
            <w:pPr>
              <w:pStyle w:val="tablecopy"/>
            </w:pPr>
            <w:r>
              <w:t>0.75</w:t>
            </w:r>
          </w:p>
        </w:tc>
      </w:tr>
    </w:tbl>
    <w:p w14:paraId="08E9D546" w14:textId="12B3242A" w:rsidR="00A87F25" w:rsidRDefault="00000000">
      <w:pPr>
        <w:pStyle w:val="BodyText"/>
      </w:pPr>
      <w:r>
        <w:t>Compared against correlation</w:t>
      </w:r>
      <w:r w:rsidR="00B25203">
        <w:t>-</w:t>
      </w:r>
      <w:r>
        <w:t>based baselines and pure LLM reasoning without SCM grounding, our method improves counterfactual accuracy by 20–35% across all three domains. Performance is strongest on medical abstracts, where causal language tends to be more explicit and mechanistic, and weakest on economic reports, where causal mechanisms are often described indirectly through policy narratives and hedged language.</w:t>
      </w:r>
    </w:p>
    <w:p w14:paraId="0DA797E7" w14:textId="77777777" w:rsidR="00A87F25" w:rsidRDefault="00000000">
      <w:pPr>
        <w:pStyle w:val="Heading2"/>
      </w:pPr>
      <w:r>
        <w:t>Ablation and Convergence Analysis</w:t>
      </w:r>
    </w:p>
    <w:p w14:paraId="717B389B" w14:textId="77777777" w:rsidR="00A87F25" w:rsidRDefault="00000000">
      <w:pPr>
        <w:pStyle w:val="BodyText"/>
      </w:pPr>
      <w:r>
        <w:t>Fig.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14:paraId="1F377B49" w14:textId="77777777" w:rsidR="00A87F25" w:rsidRDefault="00000000">
      <w:r>
        <w:rPr>
          <w:noProof/>
        </w:rPr>
        <w:drawing>
          <wp:inline distT="0" distB="0" distL="0" distR="0" wp14:anchorId="0F3EF34F" wp14:editId="7D08C9AE">
            <wp:extent cx="3017520" cy="132619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3_results.png"/>
                    <pic:cNvPicPr/>
                  </pic:nvPicPr>
                  <pic:blipFill>
                    <a:blip r:embed="rId11"/>
                    <a:stretch>
                      <a:fillRect/>
                    </a:stretch>
                  </pic:blipFill>
                  <pic:spPr>
                    <a:xfrm>
                      <a:off x="0" y="0"/>
                      <a:ext cx="3017520" cy="1326190"/>
                    </a:xfrm>
                    <a:prstGeom prst="rect">
                      <a:avLst/>
                    </a:prstGeom>
                  </pic:spPr>
                </pic:pic>
              </a:graphicData>
            </a:graphic>
          </wp:inline>
        </w:drawing>
      </w:r>
    </w:p>
    <w:p w14:paraId="2E81656E" w14:textId="77777777" w:rsidR="00A87F25" w:rsidRDefault="00000000">
      <w:pPr>
        <w:pStyle w:val="figurecaption"/>
        <w:jc w:val="center"/>
      </w:pPr>
      <w:r>
        <w:t>Fig. 3.  (a) SHD convergence over intervention cycles for each structure type. (b) Counterfactual consistency comparison across methods.</w:t>
      </w:r>
    </w:p>
    <w:p w14:paraId="351CF27F" w14:textId="1618B658" w:rsidR="00A87F25" w:rsidRDefault="00000000">
      <w:pPr>
        <w:pStyle w:val="BodyText"/>
      </w:pPr>
      <w:r>
        <w:t>We conduct a systematic ablation study to assess each component’s contribution. Removing intervention feedback is the most damaging change, increasing SHD from 1.3 to 5.1—a collapse to near</w:t>
      </w:r>
      <w:r w:rsidR="00B25203">
        <w:t>-</w:t>
      </w:r>
      <w:r>
        <w:t>correlational baseline performance. This confirms that iterative interventional validation is the most critical component of the pipeline. Removing self</w:t>
      </w:r>
      <w:r w:rsidR="00B25203">
        <w:t>-</w:t>
      </w:r>
      <w:r>
        <w:t>consistency sampling increases SHD by 1.2 points on average, as the system becomes susceptible to idiosyncratic LLM extractions. Replacing LLM</w:t>
      </w:r>
      <w:r w:rsidR="00B25203">
        <w:t>-</w:t>
      </w:r>
      <w:r>
        <w:t>suggested functional priors with default linear models reduces counterfactual consistency by 0.12 points, indicating that domain knowledge encoded in LLM priors contributes meaningfully to structural equation specification.</w:t>
      </w:r>
    </w:p>
    <w:p w14:paraId="328FBB31" w14:textId="77777777" w:rsidR="00A87F25" w:rsidRDefault="00000000">
      <w:pPr>
        <w:pStyle w:val="Heading1"/>
      </w:pPr>
      <w:r>
        <w:t>Discussion</w:t>
      </w:r>
    </w:p>
    <w:p w14:paraId="4F0D2476" w14:textId="743027E5" w:rsidR="00A87F25" w:rsidRDefault="00000000">
      <w:pPr>
        <w:pStyle w:val="BodyText"/>
      </w:pPr>
      <w:r>
        <w:t>Our results support the thesis that LLMs do not internally learn causality reliably, but can externalize causal reasoning when paired with formal structure and feedback. The closed</w:t>
      </w:r>
      <w:r w:rsidR="00B25203">
        <w:t>-</w:t>
      </w:r>
      <w:r>
        <w:t>loop design—where LLMs propose causal hypotheses and interventions, which are then validated against SCM simulations—prevents the accumulation of spurious causal claims that arises from unconstrained LLM reasoning. The performance gap between the full pipeline and the no</w:t>
      </w:r>
      <w:r w:rsidR="00B25203">
        <w:t>-</w:t>
      </w:r>
      <w:r>
        <w:t>intervention ablation (SHD 1.3 vs. 5.1) underscores that the intervention loop is not merely a refinement step but a fundamental component of the system.</w:t>
      </w:r>
    </w:p>
    <w:p w14:paraId="463C9EA7" w14:textId="64E53CB4" w:rsidR="00A87F25" w:rsidRDefault="00000000">
      <w:pPr>
        <w:pStyle w:val="BodyText"/>
      </w:pPr>
      <w:r>
        <w:t>Several limitations warrant discussion. First, latent confounders remain challenging: when the source text omits important variables, the extracted graph will be incomplete, and no amount of intervention can recover unmentioned structure. Developing methods for LLM</w:t>
      </w:r>
      <w:r w:rsidR="00B25203">
        <w:t>-</w:t>
      </w:r>
      <w:r>
        <w:t>assisted latent variable discovery is an important direction for future work. Second, textual bias propagates into graph proposals—if the LLM’s training corpus over</w:t>
      </w:r>
      <w:r w:rsidR="00B25203">
        <w:t>-</w:t>
      </w:r>
      <w:r>
        <w:t xml:space="preserve">represents certain causal narratives, the system will preferentially extract </w:t>
      </w:r>
      <w:r>
        <w:lastRenderedPageBreak/>
        <w:t>those patterns, potentially missing alternative mechanisms. Third, scalability to very large graphs beyond 20–30 variables has not been demonstrated and may require hierarchical decomposition strategies.</w:t>
      </w:r>
    </w:p>
    <w:p w14:paraId="1E9F5A11" w14:textId="1EDC016E" w:rsidR="00A87F25" w:rsidRDefault="00000000">
      <w:pPr>
        <w:pStyle w:val="BodyText"/>
      </w:pPr>
      <w:r>
        <w:t>From a broader impact perspective, this work enables safer decision</w:t>
      </w:r>
      <w:r w:rsidR="00B25203">
        <w:t>-</w:t>
      </w:r>
      <w:r>
        <w:t>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14:paraId="624EF925" w14:textId="77777777" w:rsidR="00A87F25" w:rsidRDefault="00000000">
      <w:pPr>
        <w:pStyle w:val="Heading1"/>
      </w:pPr>
      <w:r>
        <w:t>Conclusion</w:t>
      </w:r>
    </w:p>
    <w:p w14:paraId="0AB8D869" w14:textId="237E9768" w:rsidR="00A87F25" w:rsidRDefault="00000000">
      <w:pPr>
        <w:pStyle w:val="BodyText"/>
      </w:pPr>
      <w:r>
        <w:t>We have demonstrated that LLMs can participate meaningfully in causal discovery and counterfactual reasoning when embedded within a formal SCM framework and validated through iterative intervention. Our five</w:t>
      </w:r>
      <w:r w:rsidR="00B25203">
        <w:t>-</w:t>
      </w:r>
      <w:r>
        <w:t>stage pipeline—spanning text</w:t>
      </w:r>
      <w:r w:rsidR="00B25203">
        <w:t>-</w:t>
      </w:r>
      <w:r>
        <w:t>based causal extraction, graph induction, SCM construction, LLM</w:t>
      </w:r>
      <w:r w:rsidR="00B25203">
        <w:t>-</w:t>
      </w:r>
      <w:r>
        <w:t>driven intervention design, and interventional validation—achieves substantial improvements over both correlation baselines and unconstrained LLM reasoning across synthetic and real</w:t>
      </w:r>
      <w:r w:rsidR="00B25203">
        <w:t>-</w:t>
      </w:r>
      <w:r>
        <w:t>world domains.</w:t>
      </w:r>
    </w:p>
    <w:p w14:paraId="7052F10F" w14:textId="6F50BB49" w:rsidR="00A87F25" w:rsidRDefault="00000000">
      <w:pPr>
        <w:pStyle w:val="BodyText"/>
      </w:pPr>
      <w: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t>
      </w:r>
      <w:r w:rsidR="00B25203">
        <w:t>-</w:t>
      </w:r>
      <w:r>
        <w:t>world experimental platforms for true closed</w:t>
      </w:r>
      <w:r w:rsidR="00B25203">
        <w:t>-</w:t>
      </w:r>
      <w:r>
        <w:t>loop causal learning.</w:t>
      </w:r>
    </w:p>
    <w:p w14:paraId="38F6C024" w14:textId="77777777" w:rsidR="00A87F25" w:rsidRDefault="00000000">
      <w:pPr>
        <w:pStyle w:val="Heading5"/>
      </w:pPr>
      <w:r>
        <w:t>References</w:t>
      </w:r>
    </w:p>
    <w:p w14:paraId="6D35E9EF" w14:textId="77777777" w:rsidR="00A87F25" w:rsidRDefault="00000000">
      <w:pPr>
        <w:pStyle w:val="references"/>
      </w:pPr>
      <w:r>
        <w:t>J. Pearl, “Causal inference in statistics: An overview,” Statistics Surveys, vol. 3, pp. 96–146, 2009.</w:t>
      </w:r>
    </w:p>
    <w:p w14:paraId="485C7341" w14:textId="77777777" w:rsidR="00A87F25" w:rsidRDefault="00000000">
      <w:pPr>
        <w:pStyle w:val="references"/>
      </w:pPr>
      <w:r>
        <w:t>J. Pearl, Causality: Models, Reasoning, and Inference, 2nd ed. Cambridge, UK: Cambridge University Press, 2009.</w:t>
      </w:r>
    </w:p>
    <w:p w14:paraId="1DBE6127" w14:textId="01CB7892" w:rsidR="00A87F25" w:rsidRDefault="00000000">
      <w:pPr>
        <w:pStyle w:val="references"/>
      </w:pPr>
      <w:r>
        <w:t>J. Wei et al., “Chain</w:t>
      </w:r>
      <w:r w:rsidR="00B25203">
        <w:t>-</w:t>
      </w:r>
      <w:r>
        <w:t>of</w:t>
      </w:r>
      <w:r w:rsidR="00B25203">
        <w:t>-</w:t>
      </w:r>
      <w:r>
        <w:t>thought prompting elicits reasoning in large language models,” in Proc. NeurIPS, 2022, pp. 24824–24837.</w:t>
      </w:r>
    </w:p>
    <w:p w14:paraId="2BA1D529" w14:textId="77777777" w:rsidR="00A87F25" w:rsidRDefault="00000000">
      <w:pPr>
        <w:pStyle w:val="references"/>
      </w:pPr>
      <w:r>
        <w:t>P. Spirtes, C. Glymour, and R. Scheines, Causation, Prediction, and Search, 2nd ed. Cambridge, MA: MIT Press, 2000.</w:t>
      </w:r>
    </w:p>
    <w:p w14:paraId="7A7B3E03" w14:textId="77777777" w:rsidR="00A87F25" w:rsidRDefault="00000000">
      <w:pPr>
        <w:pStyle w:val="references"/>
      </w:pPr>
      <w:r>
        <w:t>D. M. Chickering, “Optimal structure identification with greedy search,” J. Mach. Learn. Res., vol. 3, pp. 507–554, 2002.</w:t>
      </w:r>
    </w:p>
    <w:p w14:paraId="6506FB2A" w14:textId="3FA2E568" w:rsidR="00A87F25" w:rsidRDefault="00000000">
      <w:pPr>
        <w:pStyle w:val="references"/>
      </w:pPr>
      <w:r>
        <w:t>S. Shimizu, P. O. Hoyer, A. Hyvärinen, and A. Kerminen, “A linear non</w:t>
      </w:r>
      <w:r w:rsidR="00B25203">
        <w:t>-</w:t>
      </w:r>
      <w:r>
        <w:t>Gaussian acyclic model for causal discovery,” J. Mach. Learn. Res., vol. 7, pp. 2003–2030, 2006.</w:t>
      </w:r>
    </w:p>
    <w:p w14:paraId="57DE60AF" w14:textId="77777777" w:rsidR="00A87F25" w:rsidRDefault="00000000">
      <w:pPr>
        <w:pStyle w:val="references"/>
      </w:pPr>
      <w:r>
        <w:t>B. Schölkopf et al., “Toward causal representation learning,” Proc. IEEE, vol. 109, no. 5, pp. 612–634, 2021.</w:t>
      </w:r>
    </w:p>
    <w:p w14:paraId="092FFF08" w14:textId="4029599C" w:rsidR="00A87F25" w:rsidRDefault="00000000">
      <w:pPr>
        <w:pStyle w:val="references"/>
      </w:pPr>
      <w:r>
        <w:t>T. Brown et al., “Language models are few</w:t>
      </w:r>
      <w:r w:rsidR="00B25203">
        <w:t>-</w:t>
      </w:r>
      <w:r>
        <w:t>shot learners,” in Proc. NeurIPS, 2020, pp. 1877–1901.</w:t>
      </w:r>
    </w:p>
    <w:p w14:paraId="11578723" w14:textId="77777777" w:rsidR="00A87F25" w:rsidRDefault="00000000">
      <w:pPr>
        <w:pStyle w:val="references"/>
      </w:pPr>
      <w:r>
        <w:t>T. Schick et al., “Toolformer: Language models can teach themselves to use tools,” in Proc. NeurIPS, 2023.</w:t>
      </w:r>
    </w:p>
    <w:p w14:paraId="65E80A27" w14:textId="77777777" w:rsidR="00A87F25" w:rsidRDefault="00000000">
      <w:pPr>
        <w:pStyle w:val="references"/>
      </w:pPr>
      <w:r>
        <w:t>Z. Jin, Y. Liu, B. Schölkopf, and M. Baroni, “Can large language models infer causation from correlation?” in Proc. ICLR, 2024.</w:t>
      </w:r>
    </w:p>
    <w:p w14:paraId="11DA5C1A" w14:textId="249BB713" w:rsidR="00A87F25" w:rsidRDefault="00000000">
      <w:pPr>
        <w:pStyle w:val="references"/>
      </w:pPr>
      <w:r>
        <w:t>F. Petroni et al., “Language models as knowledge bases?” in Proc. EMNLP</w:t>
      </w:r>
      <w:r w:rsidR="00B25203">
        <w:t>-</w:t>
      </w:r>
      <w:r>
        <w:t>IJCNLP, 2019, pp. 2463–2473.</w:t>
      </w:r>
    </w:p>
    <w:p w14:paraId="010C146F" w14:textId="77777777" w:rsidR="00A87F25" w:rsidRDefault="00000000">
      <w:pPr>
        <w:pStyle w:val="references"/>
      </w:pPr>
      <w:r>
        <w:t>M. Hassanpour and R. Greiner, “Learning causal relationships from text,” in Proc. AAAI Workshop on Health Intelligence, 2019.</w:t>
      </w:r>
    </w:p>
    <w:p w14:paraId="7AEA4589" w14:textId="56A8C9C3" w:rsidR="009303D9" w:rsidRDefault="009303D9" w:rsidP="005B520E"/>
    <w:sectPr w:rsidR="009303D9" w:rsidSect="0030067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2212335" w14:textId="77777777" w:rsidR="00C856C6" w:rsidRDefault="00C856C6" w:rsidP="001A3B3D">
      <w:r>
        <w:separator/>
      </w:r>
    </w:p>
  </w:endnote>
  <w:endnote w:type="continuationSeparator" w:id="0">
    <w:p w14:paraId="503279BF" w14:textId="77777777" w:rsidR="00C856C6" w:rsidRDefault="00C856C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7E247A" w14:textId="77777777" w:rsidR="001A3B3D" w:rsidRPr="002A5549" w:rsidRDefault="00C67D71" w:rsidP="0056610F">
    <w:pPr>
      <w:pStyle w:val="Footer"/>
      <w:jc w:val="start"/>
      <w:rPr>
        <w:sz w:val="16"/>
        <w:szCs w:val="16"/>
      </w:rPr>
    </w:pPr>
    <w:r w:rsidRPr="002A5549">
      <w:rPr>
        <w:bCs/>
        <w:color w:val="333333"/>
        <w:sz w:val="16"/>
        <w:szCs w:val="16"/>
        <w:lang w:val="bg-BG"/>
      </w:rPr>
      <w:t>979-8-3315-6311-0/26/$31.00 ©2026 IEEE</w:t>
    </w:r>
    <w:r w:rsidR="00AC2CC4" w:rsidRPr="002A5549">
      <w:rPr>
        <w:sz w:val="16"/>
        <w:szCs w:val="16"/>
      </w:rPr>
      <w:t xml:space="preserve">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C23AD99" w14:textId="77777777" w:rsidR="00C856C6" w:rsidRDefault="00C856C6" w:rsidP="001A3B3D">
      <w:r>
        <w:separator/>
      </w:r>
    </w:p>
  </w:footnote>
  <w:footnote w:type="continuationSeparator" w:id="0">
    <w:p w14:paraId="56095BEF" w14:textId="77777777" w:rsidR="00C856C6" w:rsidRDefault="00C856C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3950456">
    <w:abstractNumId w:val="14"/>
  </w:num>
  <w:num w:numId="2" w16cid:durableId="1438721277">
    <w:abstractNumId w:val="19"/>
  </w:num>
  <w:num w:numId="3" w16cid:durableId="717778987">
    <w:abstractNumId w:val="13"/>
  </w:num>
  <w:num w:numId="4" w16cid:durableId="431121689">
    <w:abstractNumId w:val="16"/>
  </w:num>
  <w:num w:numId="5" w16cid:durableId="1620919448">
    <w:abstractNumId w:val="16"/>
  </w:num>
  <w:num w:numId="6" w16cid:durableId="524952285">
    <w:abstractNumId w:val="16"/>
  </w:num>
  <w:num w:numId="7" w16cid:durableId="1408068308">
    <w:abstractNumId w:val="16"/>
  </w:num>
  <w:num w:numId="8" w16cid:durableId="1424449849">
    <w:abstractNumId w:val="18"/>
  </w:num>
  <w:num w:numId="9" w16cid:durableId="1305282513">
    <w:abstractNumId w:val="20"/>
  </w:num>
  <w:num w:numId="10" w16cid:durableId="1817448688">
    <w:abstractNumId w:val="15"/>
  </w:num>
  <w:num w:numId="11" w16cid:durableId="1515267695">
    <w:abstractNumId w:val="12"/>
  </w:num>
  <w:num w:numId="12" w16cid:durableId="84304582">
    <w:abstractNumId w:val="11"/>
  </w:num>
  <w:num w:numId="13" w16cid:durableId="535001938">
    <w:abstractNumId w:val="0"/>
  </w:num>
  <w:num w:numId="14" w16cid:durableId="803738767">
    <w:abstractNumId w:val="10"/>
  </w:num>
  <w:num w:numId="15" w16cid:durableId="165361466">
    <w:abstractNumId w:val="8"/>
  </w:num>
  <w:num w:numId="16" w16cid:durableId="1710884805">
    <w:abstractNumId w:val="7"/>
  </w:num>
  <w:num w:numId="17" w16cid:durableId="904611109">
    <w:abstractNumId w:val="6"/>
  </w:num>
  <w:num w:numId="18" w16cid:durableId="1033000008">
    <w:abstractNumId w:val="5"/>
  </w:num>
  <w:num w:numId="19" w16cid:durableId="2037390368">
    <w:abstractNumId w:val="9"/>
  </w:num>
  <w:num w:numId="20" w16cid:durableId="851531177">
    <w:abstractNumId w:val="4"/>
  </w:num>
  <w:num w:numId="21" w16cid:durableId="254556519">
    <w:abstractNumId w:val="3"/>
  </w:num>
  <w:num w:numId="22" w16cid:durableId="2072730457">
    <w:abstractNumId w:val="2"/>
  </w:num>
  <w:num w:numId="23" w16cid:durableId="808596203">
    <w:abstractNumId w:val="1"/>
  </w:num>
  <w:num w:numId="24" w16cid:durableId="173882233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A99"/>
    <w:rsid w:val="0004781E"/>
    <w:rsid w:val="00075CB7"/>
    <w:rsid w:val="0008758A"/>
    <w:rsid w:val="000C1E68"/>
    <w:rsid w:val="001A2EFD"/>
    <w:rsid w:val="001A3B3D"/>
    <w:rsid w:val="001B67DC"/>
    <w:rsid w:val="002254A9"/>
    <w:rsid w:val="00233D97"/>
    <w:rsid w:val="002347A2"/>
    <w:rsid w:val="00274C9F"/>
    <w:rsid w:val="002850E3"/>
    <w:rsid w:val="0029060D"/>
    <w:rsid w:val="002A5549"/>
    <w:rsid w:val="00300670"/>
    <w:rsid w:val="00354FCF"/>
    <w:rsid w:val="003A19E2"/>
    <w:rsid w:val="003B2B40"/>
    <w:rsid w:val="003B4E04"/>
    <w:rsid w:val="003F5A08"/>
    <w:rsid w:val="00407F7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949FA"/>
    <w:rsid w:val="007B33F1"/>
    <w:rsid w:val="007B6DDA"/>
    <w:rsid w:val="007C0308"/>
    <w:rsid w:val="007C2FF2"/>
    <w:rsid w:val="007D6232"/>
    <w:rsid w:val="007F1F99"/>
    <w:rsid w:val="007F768F"/>
    <w:rsid w:val="0080791D"/>
    <w:rsid w:val="008339C7"/>
    <w:rsid w:val="00836367"/>
    <w:rsid w:val="00865C71"/>
    <w:rsid w:val="00873603"/>
    <w:rsid w:val="008A2C7D"/>
    <w:rsid w:val="008B6524"/>
    <w:rsid w:val="008C4B23"/>
    <w:rsid w:val="008E322B"/>
    <w:rsid w:val="008F6E2C"/>
    <w:rsid w:val="009303D9"/>
    <w:rsid w:val="00933C64"/>
    <w:rsid w:val="00972203"/>
    <w:rsid w:val="009F1D79"/>
    <w:rsid w:val="00A059B3"/>
    <w:rsid w:val="00A87F25"/>
    <w:rsid w:val="00AC2CC4"/>
    <w:rsid w:val="00AE3409"/>
    <w:rsid w:val="00B11A60"/>
    <w:rsid w:val="00B22613"/>
    <w:rsid w:val="00B25203"/>
    <w:rsid w:val="00B44A76"/>
    <w:rsid w:val="00B768D1"/>
    <w:rsid w:val="00BA1025"/>
    <w:rsid w:val="00BC3420"/>
    <w:rsid w:val="00BD670B"/>
    <w:rsid w:val="00BE7D3C"/>
    <w:rsid w:val="00BF5FF6"/>
    <w:rsid w:val="00C0207F"/>
    <w:rsid w:val="00C16117"/>
    <w:rsid w:val="00C3075A"/>
    <w:rsid w:val="00C67D71"/>
    <w:rsid w:val="00C856C6"/>
    <w:rsid w:val="00C919A4"/>
    <w:rsid w:val="00CA4392"/>
    <w:rsid w:val="00CC393F"/>
    <w:rsid w:val="00D2176E"/>
    <w:rsid w:val="00D632BE"/>
    <w:rsid w:val="00D72D06"/>
    <w:rsid w:val="00D748CC"/>
    <w:rsid w:val="00D7522C"/>
    <w:rsid w:val="00D7536F"/>
    <w:rsid w:val="00D76668"/>
    <w:rsid w:val="00D97157"/>
    <w:rsid w:val="00E07383"/>
    <w:rsid w:val="00E165BC"/>
    <w:rsid w:val="00E3642A"/>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480D2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5</Pages>
  <Words>2787</Words>
  <Characters>17308</Characters>
  <Application>Microsoft Office Word</Application>
  <DocSecurity>0</DocSecurity>
  <Lines>432</Lines>
  <Paragraphs>132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19963</CharactersWithSpaces>
  <SharedDoc>false</SharedDoc>
  <HyperlinksChanged>false</HyperlinksChanged>
  <AppVersion>16.0000</AppVersion>
</Properties>
</file>

<file path=docProps/app0.xml><?xml version="1.0" encoding="utf-8"?>
<Properties xmlns="http://purl.oclc.org/ooxml/officeDocument/extendedProperties" xmlns:vt="http://schemas.openxmlformats.org/officeDocument/2006/docPropsVTypes">
  <Template>Normal</Template>
  <TotalTime>12</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Koycho Georgiev</cp:lastModifiedBy>
  <cp:revision>2</cp:revision>
  <dcterms:created xsi:type="dcterms:W3CDTF">2026-02-09T18:29:00Z</dcterms:created>
  <dcterms:modified xsi:type="dcterms:W3CDTF">2026-02-09T18:29:00Z</dcterms:modified>
</cp:coreProperties>
</file>