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m="http://schemas.openxmlformats.org/officeDocument/2006/math" xmlns:ns1="http://schemas.openxmlformats.org/markup-compatibility/2006" xmlns:ns2="http://schemas.openxmlformats.org/officeDocument/2006/relationships" xmlns:ns4="http://schemas.openxmlformats.org/drawingml/2006/wordprocessingDrawing" xmlns:ns5="http://schemas.openxmlformats.org/drawingml/2006/main" xmlns:ns6="http://schemas.openxmlformats.org/drawingml/2006/picture" xmlns:w="http://schemas.openxmlformats.org/wordprocessingml/2006/main" ns1: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ns2:id="rId2"/>
          <w:footerReference w:type="default" ns2:id="rId3"/>
          <w:footerReference w:type="first" ns2: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indicate that LLMs, when constrained by formal causal validation, can recover useful causal structure and support counterfactual inference beyond purely correlational heuristics in our benchmark setting.</w:t>
      </w:r>
      <w:r>
        <w:rPr/>
        <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make four testable contributions: (1) a text-to-graph extraction module that outputs normalized variables and directed edges with self-consistency confidence; (2) an SCM induction stage that maps extracted graphs to executable structural equations; (3) an intervention-refinement loop that iteratively removes graph candidates inconsistent with intervention outcomes; and (4) a benchmark evaluation protocol on synthetic and real-text domains with fixed splits, fixed seeds, and explicit metrics (SHD, intervention accuracy, counterfactual consistency).</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rPr/>
        <w:tabs>
          <w:tab w:val="center" w:pos="4680"/>
          <w:tab w:val="right" w:pos="9360"/>
        </w:tabs>
      </w:pPr>
      <m:oMathPara>
        <m:oMath>
          <m:sSub>
            <m:e>
              <m:r>
                <m:t>X</m:t>
              </m:r>
            </m:e>
            <m:sub>
              <m:r>
                <m:t>i</m:t>
              </m:r>
            </m:sub>
          </m:sSub>
          <m:r>
            <m:t> = </m:t>
          </m:r>
          <m:sSub>
            <m:e>
              <m:r>
                <m:t>f</m:t>
              </m:r>
            </m:e>
            <m:sub>
              <m:r>
                <m:t>i</m:t>
              </m:r>
            </m:sub>
          </m:sSub>
          <m:r>
            <m:t>(</m:t>
          </m:r>
          <m:r>
            <m:t>Pa(</m:t>
          </m:r>
          <m:sSub>
            <m:e>
              <m:r>
                <m:t>X</m:t>
              </m:r>
            </m:e>
            <m:sub>
              <m:r>
                <m:t>i</m:t>
              </m:r>
            </m:sub>
          </m:sSub>
          <m:r>
            <m:t>), </m:t>
          </m:r>
          <m:sSub>
            <m:e>
              <m:r>
                <m:t>U</m:t>
              </m:r>
            </m:e>
            <m:sub>
              <m:r>
                <m:t>i</m:t>
              </m:r>
            </m:sub>
          </m:sSub>
          <m:r>
            <m:t>), </m:t>
          </m:r>
          <m:sSub>
            <m:e>
              <m:r>
                <m:t>U</m:t>
              </m:r>
            </m:e>
            <m:sub>
              <m:r>
                <m:t>i</m:t>
              </m:r>
            </m:sub>
          </m:sSub>
          <m:r>
            <m:t> ~ P(</m:t>
          </m:r>
          <m:sSub>
            <m:e>
              <m:r>
                <m:t>U</m:t>
              </m:r>
            </m:e>
            <m:sub>
              <m:r>
                <m:t>i</m:t>
              </m:r>
            </m:sub>
          </m:sSub>
          <m:r>
            <m:t>)</m:t>
          </m:r>
        </m:oMath>
      </m:oMathPara>
      <w:r>
        <w:tab/>
      </w:r>
      <w:r>
        <w:t>(1)</w:t>
      </w:r>
    </w:p>
    <w:p>
      <w:pPr>
        <w:pStyle w:val="BodyText"/>
        <w:rPr/>
      </w:pPr>
      <w:r>
        <w:rPr/>
        <w:t>where Pa(Xᵢ) denotes the parents of Xᵢ in G. We aim to learn M such that: (1) G reflects the causal relations implied by T; (2) M supports valid interventional queries:</w:t>
      </w:r>
    </w:p>
    <w:p>
      <w:pPr>
        <w:pStyle w:val="equation"/>
        <w:rPr/>
        <w:tabs>
          <w:tab w:val="center" w:pos="4680"/>
          <w:tab w:val="right" w:pos="9360"/>
        </w:tabs>
      </w:pPr>
      <m:oMathPara>
        <m:oMath>
          <m:r>
            <m:t>P(Y | do(X = x))</m:t>
          </m:r>
        </m:oMath>
      </m:oMathPara>
      <w:r>
        <w:tab/>
      </w:r>
      <w:r>
        <w:t>(2)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 1: (1) causal variable extraction from text, (2) candidate graph induction, (3) SCM construction, (4) LLM-driven intervention design, and (5) intervention-based validation and refinement.</w:t>
      </w:r>
    </w:p>
    <w:p>
      <w:pPr>
        <w:pStyle w:val="Normal"/>
        <w:rPr/>
      </w:pPr>
      <w:r>
        <w:rPr/>
        <w:drawing>
          <ns4:anchor behindDoc="0" distT="0" distB="0" distL="0" distR="0" simplePos="0" locked="0" layoutInCell="0" allowOverlap="1" relativeHeight="4">
            <ns4:simplePos x="0" y="0"/>
            <ns4:positionH relativeFrom="column">
              <ns4:align>center</ns4:align>
            </ns4:positionH>
            <ns4:positionV relativeFrom="paragraph">
              <ns4:posOffset>635</ns4:posOffset>
            </ns4:positionV>
            <ns4:extent cx="6426200" cy="1344930"/>
            <ns4:effectExtent l="0" t="0" r="0" b="0"/>
            <ns4:wrapSquare wrapText="largest"/>
            <ns4:docPr id="1" name="Image1" descr="" title=""/>
            <ns4:cNvGraphicFramePr>
              <ns5:graphicFrameLocks noChangeAspect="1"/>
            </ns4:cNvGraphicFramePr>
            <ns5:graphic>
              <ns5:graphicData uri="http://schemas.openxmlformats.org/drawingml/2006/picture">
                <ns6:pic>
                  <ns6:nvPicPr>
                    <ns6:cNvPr id="1" name="Image1" descr="" title=""/>
                    <ns6:cNvPicPr>
                      <ns5:picLocks noChangeAspect="1" noChangeArrowheads="1"/>
                    </ns6:cNvPicPr>
                  </ns6:nvPicPr>
                  <ns6:blipFill>
                    <ns5:blip ns2:embed="rId5"/>
                    <ns5:stretch>
                      <ns5:fillRect/>
                    </ns5:stretch>
                  </ns6:blipFill>
                  <ns6:spPr bwMode="auto">
                    <ns5:xfrm>
                      <ns5:off x="0" y="0"/>
                      <ns5:ext cx="6426200" cy="1344930"/>
                    </ns5:xfrm>
                    <ns5:prstGeom prst="rect">
                      <ns5:avLst/>
                    </ns5:prstGeom>
                    <ns5:noFill/>
                  </ns6:spPr>
                </ns6:pic>
              </ns5:graphicData>
            </ns5:graphic>
          </ns4:anchor>
        </w:drawing>
      </w:r>
    </w:p>
    <w:p>
      <w:pPr>
        <w:pStyle w:val="figurecaption"/>
        <w:numPr>
          <w:ilvl w:val="0"/>
          <w:numId w:val="3"/>
        </w:numPr>
        <w:ind w:hanging="0" w:start="0"/>
        <w:jc w:val="center"/>
        <w:rPr/>
      </w:pPr>
      <w:r>
        <w:rPr/>
        <w:t xml:space="preserve">Figure 1. Overview of the closed-loop causal discovery pipeline. The LLM drives extraction (Stage 1) and intervention design (Stage 4). The red arrow indicates the iterative refinement loop.</w:t>
      </w:r>
      <w:r>
        <w:rPr/>
        <w:t/>
      </w:r>
      <w:r>
        <w:rPr/>
        <w:t xml:space="preserve"/>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rPr/>
        <w:tabs>
          <w:tab w:val="center" w:pos="4680"/>
          <w:tab w:val="right" w:pos="9360"/>
        </w:tabs>
      </w:pPr>
      <m:oMathPara>
        <m:oMath>
          <m:sSub>
            <m:e>
              <m:r>
                <m:t>P</m:t>
              </m:r>
            </m:e>
            <m:sub>
              <m:r>
                <m:t>Mk</m:t>
              </m:r>
            </m:sub>
          </m:sSub>
          <m:r>
            <m:t>(Y | do(X = x))</m:t>
          </m:r>
        </m:oMath>
      </m:oMathPara>
      <w:r>
        <w:tab/>
      </w:r>
      <w:r>
        <w:t>(3)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rPr/>
        <w:tabs>
          <w:tab w:val="center" w:pos="4680"/>
          <w:tab w:val="right" w:pos="9360"/>
        </w:tabs>
      </w:pPr>
      <m:oMathPara>
        <m:oMath>
          <m:r>
            <m:t>Y_{x'}(u) = </m:t>
          </m:r>
          <m:sSub>
            <m:e>
              <m:r>
                <m:t>f</m:t>
              </m:r>
            </m:e>
            <m:sub>
              <m:r>
                <m:t>Y</m:t>
              </m:r>
            </m:sub>
          </m:sSub>
          <m:r>
            <m:t>(x', </m:t>
          </m:r>
          <m:sSub>
            <m:e>
              <m:r>
                <m:t>u</m:t>
              </m:r>
            </m:e>
            <m:sub>
              <m:r>
                <m:t>Y</m:t>
              </m:r>
            </m:sub>
          </m:sSub>
          <m:r>
            <m:t>)</m:t>
          </m:r>
        </m:oMath>
      </m:oMathPara>
      <w:r>
        <w:tab/>
      </w:r>
      <w:r>
        <w:t>(4)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ns4:inline distT="0" distB="0" distL="0" distR="0">
            <ns4:extent cx="3017520" cy="1205230"/>
            <ns4:effectExtent l="0" t="0" r="0" b="0"/>
            <ns4:docPr id="2" name="Picture 2" descr="" title=""/>
            <ns4:cNvGraphicFramePr>
              <ns5:graphicFrameLocks noChangeAspect="1"/>
            </ns4:cNvGraphicFramePr>
            <ns5:graphic>
              <ns5:graphicData uri="http://schemas.openxmlformats.org/drawingml/2006/picture">
                <ns6:pic>
                  <ns6:nvPicPr>
                    <ns6:cNvPr id="2" name="Picture 2" descr="" title=""/>
                    <ns6:cNvPicPr>
                      <ns5:picLocks noChangeAspect="1" noChangeArrowheads="1"/>
                    </ns6:cNvPicPr>
                  </ns6:nvPicPr>
                  <ns6:blipFill>
                    <ns5:blip ns2:embed="rId6"/>
                    <ns5:stretch>
                      <ns5:fillRect/>
                    </ns5:stretch>
                  </ns6:blipFill>
                  <ns6:spPr bwMode="auto">
                    <ns5:xfrm>
                      <ns5:off x="0" y="0"/>
                      <ns5:ext cx="3017520" cy="1205230"/>
                    </ns5:xfrm>
                    <ns5:prstGeom prst="rect">
                      <ns5:avLst/>
                    </ns5:prstGeom>
                    <ns5:noFill/>
                  </ns6:spPr>
                </ns6:pic>
              </ns5:graphicData>
            </ns5:graphic>
          </ns4:inline>
        </w:drawing>
      </w:r>
    </w:p>
    <w:p>
      <w:pPr>
        <w:pStyle w:val="figurecaption"/>
        <w:numPr>
          <w:ilvl w:val="0"/>
          <w:numId w:val="3"/>
        </w:numPr>
        <w:ind w:hanging="0" w:start="0"/>
        <w:jc w:val="center"/>
        <w:rPr/>
      </w:pPr>
      <w:r>
        <w:rPr/>
        <w:t>Figure 2. Three canonical causal structures used in synthetic benchmarks: (a) chain, (b) fork, and (c) collider.</w:t>
      </w:r>
    </w:p>
    <w:p>
      <w:pPr>
        <w:pStyle w:val="BodyText"/>
        <w:rPr/>
      </w:pPr>
      <w:r>
        <w:rPr/>
        <w:t>We evaluate with three metrics: Structural Hamming Distance (SHD), intervention accuracy (predicted P(Y|do(X=x)) matches ground truth within tolerance 0.05), and counterfactual consistency (predictions satisfy known algebraic identities).</w:t>
      </w:r>
    </w:p>
    <w:p>
      <w:r>
        <w:t>Metric details: SHD is computed as |E_pred Δ E_gold|. Intervention accuracy is the fraction of intervention queries where |P_pred(Y|do(X=x)) - P_gold(Y|do(X=x))| ≤ 0.05 after output normalization to [0,1]. Counterfactual consistency is the fraction of counterfactual evaluations that satisfy predefined identity checks under the same SCM and tolerance settings.</w:t>
      </w:r>
    </w:p>
    <w:p>
      <w:r>
        <w:t>Evaluation protocol: all methods are run on identical text inputs, identical train/test splits, fixed random seed (42), and identical scoring scripts. We report mean ± standard deviation across instances.</w:t>
      </w:r>
    </w:p>
    <w:p>
      <w:r>
        <w:t>Reproducibility details: experiments use deterministic decoding (temperature=0, do_sample=False where applicable), fixed random seed 42, and identical prompt templates across compared methods unless a method definition requires otherwise. Reported tables are generated by the same evaluation scripts used for score computation, and intermediate outputs are versioned in project results directories.</w:t>
      </w:r>
    </w:p>
    <w:p>
      <w:pPr>
        <w:pStyle w:val="tablehead"/>
        <w:numPr>
          <w:ilvl w:val="0"/>
          <w:numId w:val="6"/>
        </w:numPr>
        <w:rPr/>
      </w:pPr>
      <w:r>
        <w:rPr/>
        <w:t>Table 1. Comparison of methods on synthetic benchmarks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1701"/>
        <w:gridCol w:w="1019"/>
        <w:gridCol w:w="1021"/>
        <w:gridCol w:w="1019"/>
      </w:tblGrid>
      <w:tr>
        <w:trPr/>
        <w:tc>
          <w:tcPr>
            <w:tcW w:w="1701" w:type="dxa"/>
            <w:tcBorders>
              <w:top w:val="single" w:sz="2" w:space="0" w:color="000000"/>
              <w:start w:val="single" w:sz="2" w:space="0" w:color="000000"/>
              <w:bottom w:val="single" w:sz="2" w:space="0" w:color="000000"/>
              <w:end w:val="single" w:sz="2" w:space="0" w:color="000000"/>
            </w:tcBorders>
          </w:tcPr>
          <w:p>
            <w:pPr>
              <w:pStyle w:val="tablecolhead"/>
              <w:rPr/>
            </w:pPr>
            <w:r>
              <w:rPr/>
              <w:t>Method</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1021"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Correlation Baseline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14.77 ± 6.65</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0.61</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0.61</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Only</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2.94 ± 1.81</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0.87</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0.88</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 SCM (No Intervention)</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1.43 ± 1.23</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0.93</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0.93</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Full Pipeline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0.10 ± 0.32</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0.99</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0.99</w:t>
            </w:r>
          </w:p>
        </w:tc>
      </w:tr>
    </w:tbl>
    <w:p>
      <w:pPr>
        <w:pStyle w:val="BodyText"/>
        <w:rPr/>
      </w:pPr>
      <w:r>
        <w:rPr/>
        <w:t>As shown in Table 1, the full pipeline has the best synthetic-benchmark performance in this implementation (SHD 0.10 ± 0.32, intervention accuracy 0.99, counterfactual consistency 0.99), while no-intervention variants and correlation baselines are weaker. These results support the value of iterative intervention-based refinement under the current evaluation setup.</w:t>
      </w:r>
    </w:p>
    <w:p>
      <w:pPr>
        <w:pStyle w:val="Heading2"/>
        <w:rPr/>
      </w:pPr>
      <w:r>
        <w:rPr/>
        <w:t>Real-World Text Domains</w:t>
      </w:r>
    </w:p>
    <w:p>
      <w:pPr>
        <w:pStyle w:val="BodyText"/>
        <w:rPr/>
      </w:pPr>
      <w:r>
        <w:rPr/>
        <w:t>We evaluate on three real-text domains: medical abstracts (PubMed-style passages), economics reports (central-bank style passages), and policy documents (regulatory intervention descriptions). For this version, each domain uses 30 curated passages with reference causal edges produced by a structured annotation protocol (schema-constrained extraction followed by manual review and normalization). We treat these labels as benchmark reference annotations and report results with this caveat.</w:t>
      </w:r>
    </w:p>
    <w:p>
      <w:pPr>
        <w:pStyle w:val="tablehead"/>
        <w:numPr>
          <w:ilvl w:val="0"/>
          <w:numId w:val="6"/>
        </w:numPr>
        <w:rPr/>
      </w:pPr>
      <w:r>
        <w:rPr/>
        <w:t>Table 2. Results on real-world text domains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952"/>
        <w:gridCol w:w="952"/>
        <w:gridCol w:w="952"/>
        <w:gridCol w:w="952"/>
        <w:gridCol w:w="953"/>
      </w:tblGrid>
      <w:tr>
        <w:trPr/>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Domain</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c>
          <w:tcPr>
            <w:tcW w:w="953" w:type="dxa"/>
            <w:tcBorders>
              <w:top w:val="single" w:sz="2" w:space="0" w:color="000000"/>
              <w:start w:val="single" w:sz="2" w:space="0" w:color="000000"/>
              <w:bottom w:val="single" w:sz="2" w:space="0" w:color="000000"/>
              <w:end w:val="single" w:sz="2" w:space="0" w:color="000000"/>
            </w:tcBorders>
          </w:tcPr>
          <w:p>
            <w:pPr>
              <w:pStyle w:val="tablecolhead"/>
              <w:rPr/>
            </w:pPr>
            <w:r>
              <w:rPr/>
              <w:t>n</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Medical</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1.37 ± 0.60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0.64</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0.70</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Economics</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1.00 ± 0.00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0.51</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Policy</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1.13 ± 0.43</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0.56</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0.58</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bl>
    <w:p>
      <w:pPr>
        <w:pStyle w:val="BodyText"/>
        <w:rPr/>
      </w:pPr>
      <w:r>
        <w:rPr/>
        <w:t>Compared against simpler baselines, the full pipeline shows better average performance on this benchmark set, with the strongest results in medical passages and weaker results in economics where causal language is often indirect. We report these as benchmark-specific outcomes rather than universal gains.</w:t>
      </w:r>
    </w:p>
    <w:p>
      <w:pPr>
        <w:pStyle w:val="Heading2"/>
        <w:rPr/>
      </w:pPr>
      <w:r>
        <w:rPr/>
        <w:t>Ablation and Convergence Analysis</w:t>
      </w:r>
    </w:p>
    <w:p>
      <w:pPr>
        <w:pStyle w:val="BodyText"/>
        <w:rPr/>
      </w:pPr>
      <w:r>
        <w:rPr/>
        <w:t>Figure 3 presents convergence behavior and method comparison. The SHD convergence plot (Fig.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ns4:inline distT="0" distB="0" distL="0" distR="0">
            <ns4:extent cx="3017520" cy="1326515"/>
            <ns4:effectExtent l="0" t="0" r="0" b="0"/>
            <ns4:docPr id="3" name="Picture 3" descr="" title=""/>
            <ns4:cNvGraphicFramePr>
              <ns5:graphicFrameLocks noChangeAspect="1"/>
            </ns4:cNvGraphicFramePr>
            <ns5:graphic>
              <ns5:graphicData uri="http://schemas.openxmlformats.org/drawingml/2006/picture">
                <ns6:pic>
                  <ns6:nvPicPr>
                    <ns6:cNvPr id="3" name="Picture 3" descr="" title=""/>
                    <ns6:cNvPicPr>
                      <ns5:picLocks noChangeAspect="1" noChangeArrowheads="1"/>
                    </ns6:cNvPicPr>
                  </ns6:nvPicPr>
                  <ns6:blipFill>
                    <ns5:blip ns2:embed="rId7"/>
                    <ns5:stretch>
                      <ns5:fillRect/>
                    </ns5:stretch>
                  </ns6:blipFill>
                  <ns6:spPr bwMode="auto">
                    <ns5:xfrm>
                      <ns5:off x="0" y="0"/>
                      <ns5:ext cx="3017520" cy="1326515"/>
                    </ns5:xfrm>
                    <ns5:prstGeom prst="rect">
                      <ns5:avLst/>
                    </ns5:prstGeom>
                    <ns5:noFill/>
                  </ns6:spPr>
                </ns6:pic>
              </ns5:graphicData>
            </ns5:graphic>
          </ns4:inline>
        </w:drawing>
      </w:r>
    </w:p>
    <w:p>
      <w:pPr>
        <w:pStyle w:val="figurecaption"/>
        <w:numPr>
          <w:ilvl w:val="0"/>
          <w:numId w:val="3"/>
        </w:numPr>
        <w:ind w:hanging="0" w:start="0"/>
        <w:jc w:val="center"/>
        <w:rPr/>
      </w:pPr>
      <w:r>
        <w:rPr/>
        <w:t>Figure 3. (a) SHD convergence over intervention cycles for each structure type. (b) Counterfactual consistency comparison across methods.</w:t>
      </w:r>
    </w:p>
    <w:p>
      <w:pPr>
        <w:pStyle w:val="BodyText"/>
        <w:rPr/>
      </w:pPr>
      <w:r>
        <w:rPr/>
        <w:t>We conduct an ablation analysis to assess component contributions. The largest degradation appears when intervention feedback is removed, with clear drops in structural and counterfactual metrics relative to the full pipeline. Removing self-consistency and replacing domain-informed functional priors also reduces performance, indicating that intervention refinement, stable extraction, and informed SCM parameterization all contribute materially to final quality.</w:t>
      </w:r>
    </w:p>
    <w:p>
      <w:pPr>
        <w:pStyle w:val="Heading1"/>
        <w:ind w:hanging="0"/>
        <w:rPr/>
      </w:pPr>
      <w:r>
        <w:rPr/>
        <w:t>Discussion</w:t>
      </w:r>
    </w:p>
    <w:p>
      <w:pPr>
        <w:pStyle w:val="BodyText"/>
        <w:rPr/>
      </w:pPr>
      <w:r>
        <w:rPr/>
        <w:t>Our results support the thesis that LLMs are more reliable for causal tasks when coupled to formal structure and feedback. The closed-loop design—where hypotheses and interventions are validated against SCM behavior—reduces spurious causal claims relative to unconstrained extraction. Across our benchmark setup, the intervention loop functions as a core mechanism, not a cosmetic refinement.</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27</TotalTime>
  <Application>LibreOffice/25.2.7.2$Linux_X86_64 LibreOffice_project/520$Build-2</Application>
  <AppVersion>15.0000</AppVersion>
  <Pages>5</Pages>
  <Words>2800</Words>
  <Characters>17427</Characters>
  <CharactersWithSpaces>20087</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2026-02-24T09:22:41Z</dcterms:modified>
  <cp:revision>4</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