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t>X_i = f_i(Pa(X_i), U_i), U_i ~ P(U_i)</w:t>
      </w:r>
      <w:r>
        <w:tab/>
      </w:r>
      <w:r>
        <w:t>(1)</w:t>
      </w:r>
    </w:p>
    <w:p>
      <w:pPr>
        <w:pStyle w:val="BodyText"/>
        <w:rPr/>
      </w:pPr>
      <w:r>
        <w:rPr/>
        <w:t>where Pa(Xᵢ) denotes the parents of Xᵢ in G. We aim to learn M such that: (1) G reflects the causal relations implied by T; (2) M supports valid interventional queries:</w:t>
      </w:r>
    </w:p>
    <w:p>
      <w:pPr>
        <w:pStyle w:val="equation"/>
        <w:rPr/>
      </w:pPr>
      <w:r>
        <w:t>P(Y | do(X = x))</w:t>
      </w:r>
      <w:r>
        <w:tab/>
      </w:r>
      <w:r>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t>P_Mk(Y | do(X = x))</w:t>
      </w:r>
      <w:r>
        <w:tab/>
      </w:r>
      <w:r>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t>Y_{x'}(u) = f_Y(x', u_Y)</w:t>
      </w:r>
      <w:r>
        <w:tab/>
      </w:r>
      <w: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