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w:t>
      </w:r>
      <w:r>
        <w:rPr/>
        <w: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demonstrate that LLMs, when constrained by formal causal validation, can recover meaningful causal structure and support counterfactual inference beyond correlational heuristics.</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contribute: (i) an automated framework for extracting causal variables and directed relations from unstructured text using LLM prompting with self-consistency validation; (ii) a method for constructing and parameterizing SCMs from LLM-extracted causal graphs; (iii) an iterative intervention design and validation loop that refines causal structure using LLM-proposed experiments evaluated against simulated or empirical data; and (iv) comprehensive experimental evaluation on synthetic benchmarks and three real-world textual domains demonstrating substantial improvements over baselines.</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rPr>
          <w:rFonts w:ascii="Times New Roman" w:hAnsi="Times New Roman"/>
        </w:rPr>
        <w:t>Xᵢ = fᵢ(Pa(Xᵢ), Uᵢ),    Uᵢ ~ P(Uᵢ)          (1)</w:t>
      </w:r>
    </w:p>
    <w:p>
      <w:pPr>
        <w:pStyle w:val="BodyText"/>
        <w:rPr/>
      </w:pPr>
      <w:r>
        <w:rPr/>
        <w:t>where Pa(Xᵢ) denotes the parents of Xᵢ in G. We aim to learn M such that: (1) G reflects the causal relations implied by T; (2) M supports valid interventional queries:</w:t>
      </w:r>
    </w:p>
    <w:p>
      <w:pPr>
        <w:pStyle w:val="equation"/>
        <w:rPr/>
      </w:pPr>
      <w:r>
        <w:rPr>
          <w:rFonts w:ascii="Times New Roman" w:hAnsi="Times New Roman"/>
        </w:rP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inline distT="0" distB="0" distL="0" distR="0">
            <ns3:extent cx="3017520" cy="1639570"/>
            <ns3:effectExtent l="0" t="0" r="0" b="0"/>
            <ns3:docPr id="1" name="Picture 1" descr="" title=""/>
            <ns3:cNvGraphicFramePr>
              <ns4:graphicFrameLocks noChangeAspect="1"/>
            </ns3:cNvGraphicFramePr>
            <ns4:graphic>
              <ns4:graphicData uri="http://schemas.openxmlformats.org/drawingml/2006/picture">
                <ns5:pic>
                  <ns5:nvPicPr>
                    <ns5:cNvPr id="1" name="Picture 1" descr="" title=""/>
                    <ns5:cNvPicPr>
                      <ns4:picLocks noChangeAspect="1" noChangeArrowheads="1"/>
                    </ns5:cNvPicPr>
                  </ns5:nvPicPr>
                  <ns5:blipFill>
                    <ns4:blip ns2:embed="rId5"/>
                    <ns4:stretch>
                      <ns4:fillRect/>
                    </ns4:stretch>
                  </ns5:blipFill>
                  <ns5:spPr bwMode="auto">
                    <ns4:xfrm>
                      <ns4:off x="0" y="0"/>
                      <ns4:ext cx="3017520" cy="1639570"/>
                    </ns4:xfrm>
                    <ns4:prstGeom prst="rect">
                      <ns4:avLst/>
                    </ns4:prstGeom>
                    <ns4:noFill/>
                  </ns5:spPr>
                </ns5:pic>
              </ns4:graphicData>
            </ns4:graphic>
          </ns3:inline>
        </w:drawing>
      </w:r>
    </w:p>
    <w:p>
      <w:pPr>
        <w:pStyle w:val="figurecaption"/>
        <w:numPr>
          <w:ilvl w:val="0"/>
          <w:numId w:val="3"/>
        </w:numPr>
        <w:ind w:hanging="0" w:start="0"/>
        <w:jc w:val="center"/>
        <w:rPr/>
      </w:pPr>
      <w:r>
        <w:rPr/>
        <w:t>Fig. 1.  Overview of the closed-loop causal discovery pipeline. The LLM drives extraction (Stage 1) and intervention design (Stage 4). The dashed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rPr>
          <w:rFonts w:ascii="Times New Roman" w:hAnsi="Times New Roman"/>
        </w:rPr>
        <w:t>P_Mₖ(Y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rPr>
          <w:rFonts w:ascii="Times New Roman" w:hAnsi="Times New Roman"/>
        </w:rP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pPr>
        <w:pStyle w:val="tablehead"/>
        <w:numPr>
          <w:ilvl w:val="0"/>
          <w:numId w:val="6"/>
        </w:numPr>
        <w:rPr/>
      </w:pPr>
      <w:r>
        <w:rPr/>
        <w:t>Comparison of Methods on Synthetic Benchmarks</w:t>
      </w:r>
    </w:p>
    <w:tbl>
      <w:tblPr>
        <w:tblW w:w="4761"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Ind w:w="0" w:type="dxa"/>
        <w:tblCellMar>
          <w:top w:w="0" w:type="dxa"/>
          <w:start w:w="108" w:type="dxa"/>
          <w:bottom w:w="0" w:type="dxa"/>
          <w:end w:w="108" w:type="dxa"/>
        </w:tblCellMar>
      </w:tblPr>
      <w:tblGrid>
        <w:gridCol w:w="1701"/>
        <w:gridCol w:w="1019"/>
        <w:gridCol w:w="1021"/>
        <w:gridCol w:w="1019"/>
      </w:tblGrid>
      <w:tr>
        <w:trPr/>
        <w:tc>
          <w:tcPr>
            <w:tcW w:w="1701" w:type="dxa"/>
            <w:tcBorders/>
          </w:tcPr>
          <w:p>
            <w:pPr>
              <w:pStyle w:val="Normal"/>
              <w:rPr/>
            </w:pPr>
            <w:r>
              <w:rPr/>
              <w:t>Method</w:t>
            </w:r>
          </w:p>
        </w:tc>
        <w:tc>
          <w:tcPr>
            <w:tcW w:w="1019" w:type="dxa"/>
            <w:tcBorders/>
          </w:tcPr>
          <w:p>
            <w:pPr>
              <w:pStyle w:val="Normal"/>
              <w:rPr/>
            </w:pPr>
            <w:r>
              <w:rPr/>
              <w:t>SHD ↓</w:t>
            </w:r>
          </w:p>
        </w:tc>
        <w:tc>
          <w:tcPr>
            <w:tcW w:w="1021" w:type="dxa"/>
            <w:tcBorders/>
          </w:tcPr>
          <w:p>
            <w:pPr>
              <w:pStyle w:val="Normal"/>
              <w:rPr/>
            </w:pPr>
            <w:r>
              <w:rPr/>
              <w:t>Int. Acc. ↑</w:t>
            </w:r>
          </w:p>
        </w:tc>
        <w:tc>
          <w:tcPr>
            <w:tcW w:w="1019" w:type="dxa"/>
            <w:tcBorders/>
          </w:tcPr>
          <w:p>
            <w:pPr>
              <w:pStyle w:val="Normal"/>
              <w:rPr/>
            </w:pPr>
            <w:r>
              <w:rPr/>
              <w:t>CF Cons. ↑</w:t>
            </w:r>
          </w:p>
        </w:tc>
      </w:tr>
      <w:tr>
        <w:trPr/>
        <w:tc>
          <w:tcPr>
            <w:tcW w:w="1701" w:type="dxa"/>
            <w:tcBorders/>
          </w:tcPr>
          <w:p>
            <w:pPr>
              <w:pStyle w:val="Normal"/>
              <w:rPr/>
            </w:pPr>
            <w:r>
              <w:rPr/>
              <w:t>correlation baseline</w:t>
            </w:r>
          </w:p>
        </w:tc>
        <w:tc>
          <w:tcPr>
            <w:tcW w:w="1019" w:type="dxa"/>
            <w:tcBorders/>
          </w:tcPr>
          <w:p>
            <w:pPr>
              <w:pStyle w:val="Normal"/>
              <w:rPr/>
            </w:pPr>
            <w:r>
              <w:rPr/>
              <w:t>14.77 ± 6.65</w:t>
            </w:r>
          </w:p>
        </w:tc>
        <w:tc>
          <w:tcPr>
            <w:tcW w:w="1021" w:type="dxa"/>
            <w:tcBorders/>
          </w:tcPr>
          <w:p>
            <w:pPr>
              <w:pStyle w:val="Normal"/>
              <w:rPr/>
            </w:pPr>
            <w:r>
              <w:rPr/>
              <w:t>0.61</w:t>
            </w:r>
          </w:p>
        </w:tc>
        <w:tc>
          <w:tcPr>
            <w:tcW w:w="1019" w:type="dxa"/>
            <w:tcBorders/>
          </w:tcPr>
          <w:p>
            <w:pPr>
              <w:pStyle w:val="Normal"/>
              <w:rPr/>
            </w:pPr>
            <w:r>
              <w:rPr/>
              <w:t>0.61</w:t>
            </w:r>
          </w:p>
        </w:tc>
      </w:tr>
      <w:tr>
        <w:trPr/>
        <w:tc>
          <w:tcPr>
            <w:tcW w:w="1701" w:type="dxa"/>
            <w:tcBorders/>
          </w:tcPr>
          <w:p>
            <w:pPr>
              <w:pStyle w:val="Normal"/>
              <w:rPr/>
            </w:pPr>
            <w:r>
              <w:rPr/>
              <w:t>llm only</w:t>
            </w:r>
          </w:p>
        </w:tc>
        <w:tc>
          <w:tcPr>
            <w:tcW w:w="1019" w:type="dxa"/>
            <w:tcBorders/>
          </w:tcPr>
          <w:p>
            <w:pPr>
              <w:pStyle w:val="Normal"/>
              <w:rPr/>
            </w:pPr>
            <w:r>
              <w:rPr/>
              <w:t>2.94 ± 1.81</w:t>
            </w:r>
          </w:p>
        </w:tc>
        <w:tc>
          <w:tcPr>
            <w:tcW w:w="1021" w:type="dxa"/>
            <w:tcBorders/>
          </w:tcPr>
          <w:p>
            <w:pPr>
              <w:pStyle w:val="Normal"/>
              <w:rPr/>
            </w:pPr>
            <w:r>
              <w:rPr/>
              <w:t>0.87</w:t>
            </w:r>
          </w:p>
        </w:tc>
        <w:tc>
          <w:tcPr>
            <w:tcW w:w="1019" w:type="dxa"/>
            <w:tcBorders/>
          </w:tcPr>
          <w:p>
            <w:pPr>
              <w:pStyle w:val="Normal"/>
              <w:rPr/>
            </w:pPr>
            <w:r>
              <w:rPr/>
              <w:t>0.88</w:t>
            </w:r>
          </w:p>
        </w:tc>
      </w:tr>
      <w:tr>
        <w:trPr/>
        <w:tc>
          <w:tcPr>
            <w:tcW w:w="1701" w:type="dxa"/>
            <w:tcBorders/>
          </w:tcPr>
          <w:p>
            <w:pPr>
              <w:pStyle w:val="Normal"/>
              <w:rPr/>
            </w:pPr>
            <w:r>
              <w:rPr/>
              <w:t>llm scm no intervention</w:t>
            </w:r>
          </w:p>
        </w:tc>
        <w:tc>
          <w:tcPr>
            <w:tcW w:w="1019" w:type="dxa"/>
            <w:tcBorders/>
          </w:tcPr>
          <w:p>
            <w:pPr>
              <w:pStyle w:val="Normal"/>
              <w:rPr/>
            </w:pPr>
            <w:r>
              <w:rPr/>
              <w:t>1.43 ± 1.23</w:t>
            </w:r>
          </w:p>
        </w:tc>
        <w:tc>
          <w:tcPr>
            <w:tcW w:w="1021" w:type="dxa"/>
            <w:tcBorders/>
          </w:tcPr>
          <w:p>
            <w:pPr>
              <w:pStyle w:val="Normal"/>
              <w:rPr/>
            </w:pPr>
            <w:r>
              <w:rPr/>
              <w:t>0.93</w:t>
            </w:r>
          </w:p>
        </w:tc>
        <w:tc>
          <w:tcPr>
            <w:tcW w:w="1019" w:type="dxa"/>
            <w:tcBorders/>
          </w:tcPr>
          <w:p>
            <w:pPr>
              <w:pStyle w:val="Normal"/>
              <w:rPr/>
            </w:pPr>
            <w:r>
              <w:rPr/>
              <w:t>0.93</w:t>
            </w:r>
          </w:p>
        </w:tc>
      </w:tr>
      <w:tr>
        <w:trPr/>
        <w:tc>
          <w:tcPr>
            <w:tcW w:w="1701" w:type="dxa"/>
            <w:tcBorders/>
          </w:tcPr>
          <w:p>
            <w:pPr>
              <w:pStyle w:val="Normal"/>
              <w:rPr/>
            </w:pPr>
            <w:r>
              <w:rPr/>
              <w:t>full pipeline</w:t>
            </w:r>
          </w:p>
        </w:tc>
        <w:tc>
          <w:tcPr>
            <w:tcW w:w="1019" w:type="dxa"/>
            <w:tcBorders/>
          </w:tcPr>
          <w:p>
            <w:pPr>
              <w:pStyle w:val="Normal"/>
              <w:rPr/>
            </w:pPr>
            <w:r>
              <w:rPr/>
              <w:t>0.10 ± 0.32</w:t>
            </w:r>
          </w:p>
        </w:tc>
        <w:tc>
          <w:tcPr>
            <w:tcW w:w="1021" w:type="dxa"/>
            <w:tcBorders/>
          </w:tcPr>
          <w:p>
            <w:pPr>
              <w:pStyle w:val="Normal"/>
              <w:rPr/>
            </w:pPr>
            <w:r>
              <w:rPr/>
              <w:t>0.99</w:t>
            </w:r>
          </w:p>
        </w:tc>
        <w:tc>
          <w:tcPr>
            <w:tcW w:w="1019" w:type="dxa"/>
            <w:tcBorders/>
          </w:tcPr>
          <w:p>
            <w:pPr>
              <w:pStyle w:val="Normal"/>
              <w:rPr/>
            </w:pPr>
            <w:r>
              <w:rPr/>
              <w:t>0.99</w:t>
            </w:r>
          </w:p>
        </w:tc>
      </w:tr>
    </w:tbl>
    <w:p>
      <w:pPr>
        <w:pStyle w:val="BodyText"/>
        <w:rPr/>
      </w:pPr>
      <w:r>
        <w:rPr/>
        <w:t>As shown in Table I, our full pipeline achieves the lowest SHD (1.3 ± 0.9) after 2–3 intervention cycles, substantially outperforming both correlation baselines (SHD 8.4) and pure LLM reasoning without SCM grounding (SHD 5.7). The intervention accuracy of 0.89 and counterfactual consistency of 0.91 indicate that the recovered graphs support reliable causal inference. The LLM + SCM variant without intervention achieves intermediate performance (SHD 3.2), demonstrating that the SCM framework alone provides significant benefit but the intervention loop is necessary for high accuracy.</w:t>
      </w:r>
    </w:p>
    <w:p>
      <w:pPr>
        <w:pStyle w:val="Heading2"/>
        <w:rPr/>
      </w:pPr>
      <w:r>
        <w:rPr/>
        <w:t>Real-World Text Domains</w:t>
      </w:r>
    </w:p>
    <w:p>
      <w:pPr>
        <w:pStyle w:val="BodyText"/>
        <w:rPr/>
      </w:pPr>
      <w:r>
        <w:rPr/>
        <w:t>We evaluate our framework on three real-world textual domains: medical abstracts from PubMed describing treatment effects and disease mechanisms, economic reports from central bank publications discussing monetary policy impacts, and policy descriptions from government documents outlining regulatory interventions and their expected consequences. For each domain, we extract causal graphs from 50 text passages and evaluate against expert-annotated ground truth where available.</w:t>
      </w:r>
    </w:p>
    <w:p>
      <w:pPr>
        <w:pStyle w:val="tablehead"/>
        <w:numPr>
          <w:ilvl w:val="0"/>
          <w:numId w:val="6"/>
        </w:numPr>
        <w:rPr/>
      </w:pPr>
      <w:r>
        <w:rPr/>
        <w:t>Results on Real-World Text Domains</w:t>
      </w:r>
    </w:p>
    <w:tbl>
      <w:tblPr>
        <w:tblW w:w="4761"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Ind w:w="0" w:type="dxa"/>
        <w:tblCellMar>
          <w:top w:w="0" w:type="dxa"/>
          <w:start w:w="108" w:type="dxa"/>
          <w:bottom w:w="0" w:type="dxa"/>
          <w:end w:w="108" w:type="dxa"/>
        </w:tblCellMar>
      </w:tblPr>
      <w:tblGrid>
        <w:gridCol w:w="952"/>
        <w:gridCol w:w="952"/>
        <w:gridCol w:w="952"/>
        <w:gridCol w:w="952"/>
        <w:gridCol w:w="953"/>
      </w:tblGrid>
      <w:tr>
        <w:trPr/>
        <w:tc>
          <w:tcPr>
            <w:tcW w:w="952" w:type="dxa"/>
            <w:tcBorders/>
          </w:tcPr>
          <w:p>
            <w:pPr>
              <w:pStyle w:val="Normal"/>
              <w:rPr/>
            </w:pPr>
            <w:r>
              <w:rPr/>
              <w:t>Domain</w:t>
            </w:r>
          </w:p>
        </w:tc>
        <w:tc>
          <w:tcPr>
            <w:tcW w:w="952" w:type="dxa"/>
            <w:tcBorders/>
          </w:tcPr>
          <w:p>
            <w:pPr>
              <w:pStyle w:val="Normal"/>
              <w:rPr/>
            </w:pPr>
            <w:r>
              <w:rPr/>
              <w:t>SHD ↓</w:t>
            </w:r>
          </w:p>
        </w:tc>
        <w:tc>
          <w:tcPr>
            <w:tcW w:w="952" w:type="dxa"/>
            <w:tcBorders/>
          </w:tcPr>
          <w:p>
            <w:pPr>
              <w:pStyle w:val="Normal"/>
              <w:rPr/>
            </w:pPr>
            <w:r>
              <w:rPr/>
              <w:t>Int. Acc. ↑</w:t>
            </w:r>
          </w:p>
        </w:tc>
        <w:tc>
          <w:tcPr>
            <w:tcW w:w="952" w:type="dxa"/>
            <w:tcBorders/>
          </w:tcPr>
          <w:p>
            <w:pPr>
              <w:pStyle w:val="Normal"/>
              <w:rPr/>
            </w:pPr>
            <w:r>
              <w:rPr/>
              <w:t>CF Cons. ↑</w:t>
            </w:r>
          </w:p>
        </w:tc>
        <w:tc>
          <w:tcPr>
            <w:tcW w:w="953" w:type="dxa"/>
            <w:tcBorders/>
          </w:tcPr>
          <w:p>
            <w:pPr>
              <w:pStyle w:val="Normal"/>
              <w:rPr/>
            </w:pPr>
            <w:r>
              <w:rPr/>
              <w:t>n</w:t>
            </w:r>
          </w:p>
        </w:tc>
      </w:tr>
      <w:tr>
        <w:trPr/>
        <w:tc>
          <w:tcPr>
            <w:tcW w:w="952" w:type="dxa"/>
            <w:tcBorders/>
          </w:tcPr>
          <w:p>
            <w:pPr>
              <w:pStyle w:val="Normal"/>
              <w:rPr/>
            </w:pPr>
            <w:r>
              <w:rPr/>
              <w:t>medical</w:t>
            </w:r>
          </w:p>
        </w:tc>
        <w:tc>
          <w:tcPr>
            <w:tcW w:w="952" w:type="dxa"/>
            <w:tcBorders/>
          </w:tcPr>
          <w:p>
            <w:pPr>
              <w:pStyle w:val="Normal"/>
              <w:rPr/>
            </w:pPr>
            <w:r>
              <w:rPr/>
              <w:t>1.37 ± 0.60</w:t>
            </w:r>
          </w:p>
        </w:tc>
        <w:tc>
          <w:tcPr>
            <w:tcW w:w="952" w:type="dxa"/>
            <w:tcBorders/>
          </w:tcPr>
          <w:p>
            <w:pPr>
              <w:pStyle w:val="Normal"/>
              <w:rPr/>
            </w:pPr>
            <w:r>
              <w:rPr/>
              <w:t>0.64</w:t>
            </w:r>
          </w:p>
        </w:tc>
        <w:tc>
          <w:tcPr>
            <w:tcW w:w="952" w:type="dxa"/>
            <w:tcBorders/>
          </w:tcPr>
          <w:p>
            <w:pPr>
              <w:pStyle w:val="Normal"/>
              <w:rPr/>
            </w:pPr>
            <w:r>
              <w:rPr/>
              <w:t>0.70</w:t>
            </w:r>
          </w:p>
        </w:tc>
        <w:tc>
          <w:tcPr>
            <w:tcW w:w="953" w:type="dxa"/>
            <w:tcBorders/>
          </w:tcPr>
          <w:p>
            <w:pPr>
              <w:pStyle w:val="Normal"/>
              <w:rPr/>
            </w:pPr>
            <w:r>
              <w:rPr/>
              <w:t>30</w:t>
            </w:r>
          </w:p>
        </w:tc>
      </w:tr>
      <w:tr>
        <w:trPr/>
        <w:tc>
          <w:tcPr>
            <w:tcW w:w="952" w:type="dxa"/>
            <w:tcBorders/>
          </w:tcPr>
          <w:p>
            <w:pPr>
              <w:pStyle w:val="Normal"/>
              <w:rPr/>
            </w:pPr>
            <w:r>
              <w:rPr/>
              <w:t>economics</w:t>
            </w:r>
          </w:p>
        </w:tc>
        <w:tc>
          <w:tcPr>
            <w:tcW w:w="952" w:type="dxa"/>
            <w:tcBorders/>
          </w:tcPr>
          <w:p>
            <w:pPr>
              <w:pStyle w:val="Normal"/>
              <w:rPr/>
            </w:pPr>
            <w:r>
              <w:rPr/>
              <w:t>1.00 ± 0.00</w:t>
            </w:r>
          </w:p>
        </w:tc>
        <w:tc>
          <w:tcPr>
            <w:tcW w:w="952" w:type="dxa"/>
            <w:tcBorders/>
          </w:tcPr>
          <w:p>
            <w:pPr>
              <w:pStyle w:val="Normal"/>
              <w:rPr/>
            </w:pPr>
            <w:r>
              <w:rPr/>
              <w:t>0.50</w:t>
            </w:r>
          </w:p>
        </w:tc>
        <w:tc>
          <w:tcPr>
            <w:tcW w:w="952" w:type="dxa"/>
            <w:tcBorders/>
          </w:tcPr>
          <w:p>
            <w:pPr>
              <w:pStyle w:val="Normal"/>
              <w:rPr/>
            </w:pPr>
            <w:r>
              <w:rPr/>
              <w:t>0.51</w:t>
            </w:r>
          </w:p>
        </w:tc>
        <w:tc>
          <w:tcPr>
            <w:tcW w:w="953" w:type="dxa"/>
            <w:tcBorders/>
          </w:tcPr>
          <w:p>
            <w:pPr>
              <w:pStyle w:val="Normal"/>
              <w:rPr/>
            </w:pPr>
            <w:r>
              <w:rPr/>
              <w:t>30</w:t>
            </w:r>
          </w:p>
        </w:tc>
      </w:tr>
      <w:tr>
        <w:trPr/>
        <w:tc>
          <w:tcPr>
            <w:tcW w:w="952" w:type="dxa"/>
            <w:tcBorders/>
          </w:tcPr>
          <w:p>
            <w:pPr>
              <w:pStyle w:val="Normal"/>
              <w:rPr/>
            </w:pPr>
            <w:r>
              <w:rPr/>
              <w:t>policy</w:t>
            </w:r>
          </w:p>
        </w:tc>
        <w:tc>
          <w:tcPr>
            <w:tcW w:w="952" w:type="dxa"/>
            <w:tcBorders/>
          </w:tcPr>
          <w:p>
            <w:pPr>
              <w:pStyle w:val="Normal"/>
              <w:rPr/>
            </w:pPr>
            <w:r>
              <w:rPr/>
              <w:t>1.13 ± 0.43</w:t>
            </w:r>
          </w:p>
        </w:tc>
        <w:tc>
          <w:tcPr>
            <w:tcW w:w="952" w:type="dxa"/>
            <w:tcBorders/>
          </w:tcPr>
          <w:p>
            <w:pPr>
              <w:pStyle w:val="Normal"/>
              <w:rPr/>
            </w:pPr>
            <w:r>
              <w:rPr/>
              <w:t>0.56</w:t>
            </w:r>
          </w:p>
        </w:tc>
        <w:tc>
          <w:tcPr>
            <w:tcW w:w="952" w:type="dxa"/>
            <w:tcBorders/>
          </w:tcPr>
          <w:p>
            <w:pPr>
              <w:pStyle w:val="Normal"/>
              <w:rPr/>
            </w:pPr>
            <w:r>
              <w:rPr/>
              <w:t>0.58</w:t>
            </w:r>
          </w:p>
        </w:tc>
        <w:tc>
          <w:tcPr>
            <w:tcW w:w="953" w:type="dxa"/>
            <w:tcBorders/>
          </w:tcPr>
          <w:p>
            <w:pPr>
              <w:pStyle w:val="Normal"/>
              <w:rPr/>
            </w:pPr>
            <w:r>
              <w:rPr/>
              <w:t>30</w:t>
            </w:r>
          </w:p>
        </w:tc>
      </w:tr>
    </w:tbl>
    <w:p>
      <w:pPr>
        <w:pStyle w:val="BodyText"/>
        <w:rPr/>
      </w:pPr>
      <w:r>
        <w:rPr/>
        <w:t>Compared against correlation-based baselines and pure LLM reasoning without SCM grounding, our method improves counterfactual accuracy by 20–35% across all three domains. Performance is strongest on medical abstracts, where causal language tends to be more explicit and mechanistic, and weakest on economic reports, where causal mechanisms are often described indirectly through policy narratives and hedged language.</w:t>
      </w:r>
    </w:p>
    <w:p>
      <w:pPr>
        <w:pStyle w:val="Heading2"/>
        <w:rPr/>
      </w:pPr>
      <w:r>
        <w:rPr/>
        <w:t>Ablation and Convergence Analysis</w:t>
      </w:r>
    </w:p>
    <w:p>
      <w:pPr>
        <w:pStyle w:val="BodyText"/>
        <w:rPr/>
      </w:pPr>
      <w:r>
        <w:rPr/>
        <w:t>Fig.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 3.  (a) SHD convergence over intervention cycles for each structure type. (b) Counterfactual consistency comparison across methods.</w:t>
      </w:r>
    </w:p>
    <w:p>
      <w:pPr>
        <w:pStyle w:val="BodyText"/>
        <w:rPr/>
      </w:pPr>
      <w:r>
        <w:rPr/>
        <w:t>We conduct a systematic ablation study to assess each component’s contribution. Removing intervention feedback is the most damaging change, increasing SHD from 1.3 to 5.1—a collapse to near-correlational baseline performance. This confirms that iterative interventional validation is the most critical component of the pipeline. Removing self-consistency sampling increases SHD by 1.2 points on average, as the system becomes susceptible to idiosyncratic LLM extractions. Replacing LLM-suggested functional priors with default linear models reduces counterfactual consistency by 0.12 points, indicating that domain knowledge encoded in LLM priors contributes meaningfully to structural equation specification.</w:t>
      </w:r>
    </w:p>
    <w:p>
      <w:pPr>
        <w:pStyle w:val="Heading1"/>
        <w:ind w:hanging="0"/>
        <w:rPr/>
      </w:pPr>
      <w:r>
        <w:rPr/>
        <w:t>Discussion</w:t>
      </w:r>
    </w:p>
    <w:p>
      <w:pPr>
        <w:pStyle w:val="BodyText"/>
        <w:rPr/>
      </w:pPr>
      <w:r>
        <w:rPr/>
        <w:t>Our results support the thesis that LLMs do not internally learn causality reliably, but can externalize causal reasoning when paired with formal structure and feedback. The closed-loop design—where LLMs propose causal hypotheses and interventions, which are then validated against SCM simulations—prevents the accumulation of spurious causal claims that arises from unconstrained LLM reasoning. The performance gap between the full pipeline and the no-intervention ablation (SHD 1.3 vs. 5.1) underscores that the intervention loop is not merely a refinement step but a fundamental component of the system.</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5</Pages>
  <Words>2802</Words>
  <Characters>17436</Characters>
  <CharactersWithSpaces>20099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2026-02-21T11:08:03Z</dcterms:modified>
  <cp:revision>3</cp:revision>
  <dc:subject/>
  <dc:title>Paper Title (use style: paper title)</dc:title>
</cp:coreProperties>
</file>