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ns2="http://schemas.openxmlformats.org/officeDocument/2006/relationships" xmlns:ns3="http://schemas.openxmlformats.org/drawingml/2006/wordprocessingDrawing" xmlns:ns4="http://schemas.openxmlformats.org/drawingml/2006/main" xmlns:ns5="http://schemas.openxmlformats.org/drawingml/2006/picture" xmlns:w="http://schemas.openxmlformats.org/wordprocessingml/2006/main" ns1:Ignorable="w14 wp14 w15">
  <w:body>
    <w:p>
      <w:pPr>
        <w:pStyle w:val="papertitle"/>
        <w:spacing w:beforeAutospacing="1" w:afterAutospacing="1"/>
        <w:rPr>
          <w:kern w:val="2"/>
        </w:rPr>
      </w:pPr>
      <w:r>
        <w:rPr>
          <w:kern w:val="2"/>
        </w:rPr>
        <w:t>Causal Discovery and Intervention with Large Language Models</w:t>
      </w:r>
    </w:p>
    <w:p>
      <w:pPr>
        <w:pStyle w:val="Author"/>
        <w:spacing w:beforeAutospacing="1" w:afterAutospacing="1"/>
        <w:rPr>
          <w:sz w:val="16"/>
          <w:szCs w:val="16"/>
        </w:rPr>
      </w:pPr>
      <w:r>
        <w:rPr>
          <w:sz w:val="16"/>
          <w:szCs w:val="16"/>
        </w:rPr>
      </w:r>
    </w:p>
    <w:p>
      <w:pPr>
        <w:pStyle w:val="Author"/>
        <w:spacing w:lineRule="auto" w:line="120" w:beforeAutospacing="1" w:afterAutospacing="1"/>
        <w:rPr>
          <w:sz w:val="16"/>
          <w:szCs w:val="16"/>
        </w:rPr>
      </w:pPr>
      <w:r>
        <w:rPr>
          <w:sz w:val="16"/>
          <w:szCs w:val="16"/>
        </w:rPr>
      </w:r>
    </w:p>
    <w:p>
      <w:pPr>
        <w:sectPr>
          <w:footerReference w:type="even" ns2:id="rId2"/>
          <w:footerReference w:type="default" ns2:id="rId3"/>
          <w:footerReference w:type="first" ns2:id="rId4"/>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Autospacing="1" w:after="40"/>
        <w:rPr>
          <w:sz w:val="18"/>
          <w:szCs w:val="18"/>
        </w:rPr>
      </w:pPr>
      <w:r>
        <w:rPr>
          <w:sz w:val="18"/>
          <w:szCs w:val="18"/>
        </w:rPr>
      </w:r>
    </w:p>
    <w:p>
      <w:pPr>
        <w:pStyle w:val="Author"/>
        <w:spacing w:beforeAutospacing="1" w:after="40"/>
        <w:rPr>
          <w:sz w:val="18"/>
          <w:szCs w:val="18"/>
        </w:rPr>
      </w:pPr>
      <w:r>
        <w:rPr>
          <w:sz w:val="18"/>
          <w:szCs w:val="18"/>
        </w:rPr>
      </w:r>
    </w:p>
    <w:p>
      <w:pPr>
        <w:pStyle w:val="Author"/>
        <w:spacing w:beforeAutospacing="1" w:after="4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rPr/>
      </w:pPr>
      <w:r>
        <w:rPr/>
      </w:r>
    </w:p>
    <w:p>
      <w:pPr>
        <w:pStyle w:val="Normal"/>
        <w:spacing w:before="0" w:after="0"/>
        <w:rPr/>
      </w:pPr>
      <w:r>
        <w:br w:type="column"/>
      </w: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pPr>
      <w:r>
        <w:rPr>
          <w:i/>
        </w:rPr>
        <w:t>Abstract—Large Language Models (LLMs) demonstrate strong performance in reasoning, abstraction, and knowledge synthesis, yet their ability to learn and use causal structure remains poorly understood. This work investigates whether LLMs can (i) induce causal graphs from unstructured text, (ii) validate these graphs via intervention design, and (iii) perform counterfactual reasoning grounded in explicit Structural Causal Models (SCMs). We propose an automated framework that extracts causal variables and relations from text, constructs SCMs, and iteratively refines them using LLM-driven intervention proposals evaluated against simulated or empirical data. Our approach bridges natural language understanding with causal discovery and introduces a closed-loop causal reasoning pipeline. Experiments across synthetic causal benchmarks and real-world textual domains indicate that LLMs, when constrained by formal causal validation, can recover useful causal structure and support counterfactual inference beyond purely correlational heuristics in our benchmark setting.</w:t>
      </w:r>
      <w:r>
        <w:rPr/>
        <w:t/>
      </w:r>
    </w:p>
    <w:p>
      <w:pPr>
        <w:pStyle w:val="Keywords"/>
        <w:rPr/>
      </w:pPr>
      <w:r>
        <w:rPr/>
        <w:t>Keywords-causal discovery, large language models, structural causal models, counterfactual reasoning, intervention design</w:t>
      </w:r>
    </w:p>
    <w:p>
      <w:pPr>
        <w:pStyle w:val="Heading1"/>
        <w:ind w:hanging="0"/>
        <w:rPr/>
      </w:pPr>
      <w:r>
        <w:rPr/>
        <w:t>Introduction</w:t>
      </w:r>
    </w:p>
    <w:p>
      <w:pPr>
        <w:pStyle w:val="BodyText"/>
        <w:rPr/>
      </w:pPr>
      <w:r>
        <w:rPr/>
        <w:t>Despite their impressive generative and reasoning capabilities, Large Language Models (LLMs) fundamentally operate via statistical pattern matching over large text corpora. This has raised skepticism regarding their ability to reason causally, particularly in settings requiring intervention, counterfactuals, and structural understanding rather than associative inference [1]. Causal reasoning, formalized through Structural Causal Models (SCMs) and Pearl’s do-calculus [2], provides a rigorous framework for understanding why phenomena occur, predicting the effects of interventions, and answering counterfactual questions about what would have happened under alternative conditions.</w:t>
      </w:r>
    </w:p>
    <w:p>
      <w:pPr>
        <w:pStyle w:val="BodyText"/>
        <w:rPr/>
      </w:pPr>
      <w:r>
        <w:rPr/>
        <w:t>Learning causal graphs from observational data is already a well-studied but challenging problem; learning them from natural language text introduces additional complexity due to linguistic ambiguity, implicit assumptions, under-specified mechanisms, and missing variables. Recent advances in LLM capabilities—including chain-of-thought reasoning [3], tool use [9], and in-context learning [8]—suggest that these models may serve as effective components within causal reasoning pipelines, even if they cannot be considered autonomous causal reasoners in isolation.</w:t>
      </w:r>
    </w:p>
    <w:p>
      <w:pPr>
        <w:pStyle w:val="BodyText"/>
        <w:rPr/>
      </w:pPr>
      <w:r>
        <w:rPr/>
        <w:t>The central question of this paper is: Can LLMs learn causal graphs from text and use them for intervention-based counterfactual reasoning? We argue that while LLMs alone are insufficient causal reasoners, they can serve as powerful proposal engines within a formally grounded causal pipeline. The key insight is that LLMs excel at extracting structured representations from unstructured text and proposing plausible causal hypotheses, while formal causal methods provide the validation and inference machinery needed to ensure correctness.</w:t>
      </w:r>
    </w:p>
    <w:p>
      <w:pPr>
        <w:pStyle w:val="BodyText"/>
        <w:rPr/>
      </w:pPr>
      <w:r>
        <w:rPr/>
        <w:t>Specifically, we make four testable contributions: (1) a text-to-graph extraction module that outputs normalized variables and directed edges with self-consistency confidence; (2) an SCM induction stage that maps extracted graphs to executable structural equations; (3) an intervention-refinement loop that iteratively removes graph candidates inconsistent with intervention outcomes; and (4) a benchmark evaluation protocol on synthetic and real-text domains with fixed splits, fixed seeds, and explicit metrics (SHD, intervention accuracy, counterfactual consistency).</w:t>
      </w:r>
    </w:p>
    <w:p>
      <w:pPr>
        <w:pStyle w:val="Heading1"/>
        <w:ind w:hanging="0"/>
        <w:rPr/>
      </w:pPr>
      <w:r>
        <w:rPr/>
        <w:t>Related Work</w:t>
      </w:r>
    </w:p>
    <w:p>
      <w:pPr>
        <w:pStyle w:val="Heading2"/>
        <w:rPr/>
      </w:pPr>
      <w:r>
        <w:rPr/>
        <w:t>Causal Discovery</w:t>
      </w:r>
    </w:p>
    <w:p>
      <w:pPr>
        <w:pStyle w:val="BodyText"/>
        <w:rPr/>
      </w:pPr>
      <w:r>
        <w:rPr/>
        <w:t>Traditional causal discovery relies on conditional independence tests such as the PC and FCI algorithms [4], score-based methods like GES [5], or functional assumptions including Additive Noise Models and LiNGAM [6]. These approaches operate on structured numerical data and assume access to samples from the joint distribution over measured variables. They struggle with latent variables, semantic abstraction, and settings where data is presented in natural language rather than tabular form. Our work differs fundamentally in taking unstructured text as input rather than observational data.</w:t>
      </w:r>
    </w:p>
    <w:p>
      <w:pPr>
        <w:pStyle w:val="Heading2"/>
        <w:rPr/>
      </w:pPr>
      <w:r>
        <w:rPr/>
        <w:t>Causal Representation Learning</w:t>
      </w:r>
    </w:p>
    <w:p>
      <w:pPr>
        <w:pStyle w:val="BodyText"/>
        <w:rPr/>
      </w:pPr>
      <w:r>
        <w:rPr/>
        <w:t>Recent work explores learning disentangled causal variables from raw data such as images and temporal sequences [7], aiming to recover latent causal structure from high-dimensional observations. However, these methods typically assume access to paired interventions or environment resets, which are unavailable in most textual settings. They also do not address discovering causal structure from textual descriptions, where variables must first be identified, disambiguated, and mapped to a formal graph representation.</w:t>
      </w:r>
    </w:p>
    <w:p>
      <w:pPr>
        <w:pStyle w:val="Heading2"/>
        <w:rPr/>
      </w:pPr>
      <w:r>
        <w:rPr/>
        <w:t>Language Models and Reasoning</w:t>
      </w:r>
    </w:p>
    <w:p>
      <w:pPr>
        <w:pStyle w:val="BodyText"/>
        <w:rPr/>
      </w:pPr>
      <w:r>
        <w:rPr/>
        <w:t>LLMs have demonstrated capabilities in logical reasoning, multi-step planning, and tool use [8], [9]. However, systematic evaluations under counterfactual perturbations reveal that much of this apparent reasoning relies on surface correlations and memorized patterns rather than genuine causal understanding [10]. Chain-of-thought prompting and self-consistency decoding have improved performance on reasoning benchmarks, but these gains are fragile and do not reliably transfer to causal inference tasks that require structural understanding of variable relationships and the ability to predict the consequences of unseen interventions.</w:t>
      </w:r>
    </w:p>
    <w:p>
      <w:pPr>
        <w:pStyle w:val="Heading2"/>
        <w:rPr/>
      </w:pPr>
      <w:r>
        <w:rPr/>
        <w:t>Language-to-Causality</w:t>
      </w:r>
    </w:p>
    <w:p>
      <w:pPr>
        <w:pStyle w:val="BodyText"/>
        <w:rPr/>
      </w:pPr>
      <w:r>
        <w:rPr/>
        <w:t>Emerging work explores extracting cause–effect relations from text using relation extraction models and LLM prompting [11], [12]. However, these approaches typically produce flat lists of causal pairs without constructing full causal graphs, lack intervention validation, and do not ground their outputs in formal SCMs. The gap we address is that no existing system integrates textual causal extraction, formal SCM induction, and intervention-based validation in a closed loop where each component informs and refines the others.</w:t>
      </w:r>
    </w:p>
    <w:p>
      <w:pPr>
        <w:pStyle w:val="Heading1"/>
        <w:ind w:hanging="0"/>
        <w:rPr/>
      </w:pPr>
      <w:r>
        <w:rPr/>
        <w:t>Problem Formulation</w:t>
      </w:r>
    </w:p>
    <w:p>
      <w:pPr>
        <w:pStyle w:val="BodyText"/>
        <w:rPr/>
      </w:pPr>
      <w:r>
        <w:rPr/>
        <w:t>Let T be a corpus of natural language descriptions of a system. Let V = {X₁, …, Xₙ} denote latent causal variables implied by T, G = (V, E) a directed acyclic graph (DAG), and M = (G, F, P(U)) a Structural Causal Model where F is a set of structural equations and P(U) a distribution over exogenous noise. Each variable is generated by its structural equation:</w:t>
      </w:r>
    </w:p>
    <w:tbl>
      <w:tblPr>
        <w:tblW w:w="0" w:type="auto"/>
        <w:tblBorders>
          <w:top w:val="nil"/>
          <w:left w:val="nil"/>
          <w:bottom w:val="nil"/>
          <w:right w:val="nil"/>
          <w:insideH w:val="nil"/>
          <w:insideV w:val="nil"/>
        </w:tblBorders>
        <w:tblLayout w:type="fixed"/>
      </w:tblPr>
      <w:tblGrid>
        <w:gridCol w:w="8200"/>
        <w:gridCol w:w="1200"/>
      </w:tblGrid>
      <w:tr>
        <w:tc>
          <w:tcPr>
            <w:tcW w:w="8200" w:type="dxa"/>
          </w:tcPr>
          <w:p>
            <w:pPr>
              <w:jc w:val="center"/>
            </w:pPr>
            <w:r>
              <w:t>X_i = f_i(Pa(X_i), U_i), U_i ~ P(U_i)</w:t>
            </w:r>
          </w:p>
        </w:tc>
        <w:tc>
          <w:tcPr>
            <w:tcW w:w="1200" w:type="dxa"/>
          </w:tcPr>
          <w:p>
            <w:pPr>
              <w:jc w:val="right"/>
            </w:pPr>
            <w:r>
              <w:t>(1)</w:t>
            </w:r>
          </w:p>
        </w:tc>
      </w:tr>
    </w:tbl>
    <w:p>
      <w:pPr>
        <w:pStyle w:val="BodyText"/>
        <w:rPr/>
      </w:pPr>
      <w:r>
        <w:rPr/>
        <w:t>where Pa(Xᵢ) denotes the parents of Xᵢ in G. We aim to learn M such that: (1) G reflects the causal relations implied by T; (2) M supports valid interventional queries:</w:t>
      </w:r>
    </w:p>
    <w:tbl>
      <w:tblPr>
        <w:tblW w:w="0" w:type="auto"/>
        <w:tblBorders>
          <w:top w:val="nil"/>
          <w:left w:val="nil"/>
          <w:bottom w:val="nil"/>
          <w:right w:val="nil"/>
          <w:insideH w:val="nil"/>
          <w:insideV w:val="nil"/>
        </w:tblBorders>
        <w:tblLayout w:type="fixed"/>
      </w:tblPr>
      <w:tblGrid>
        <w:gridCol w:w="8200"/>
        <w:gridCol w:w="1200"/>
      </w:tblGrid>
      <w:tr>
        <w:tc>
          <w:tcPr>
            <w:tcW w:w="8200" w:type="dxa"/>
          </w:tcPr>
          <w:p>
            <w:pPr>
              <w:jc w:val="center"/>
            </w:pPr>
            <w:r>
              <w:t>P(Y | do(X = x))</w:t>
            </w:r>
          </w:p>
        </w:tc>
        <w:tc>
          <w:tcPr>
            <w:tcW w:w="1200" w:type="dxa"/>
          </w:tcPr>
          <w:p>
            <w:pPr>
              <w:jc w:val="right"/>
            </w:pPr>
            <w:r>
              <w:t>(2)</w:t>
            </w:r>
          </w:p>
        </w:tc>
      </w:tr>
    </w:tbl>
    <w:p>
      <w:pPr>
        <w:pStyle w:val="BodyText"/>
        <w:rPr/>
      </w:pPr>
      <w:r>
        <w:rPr/>
        <w:t>consistent with the do-calculus; and (3) counterfactual predictions from the abduction-action-prediction procedure are consistent under intervention. The problem is challenging because text frequently omits confounders and the mapping from text to causal variables is many-to-many.</w:t>
      </w:r>
    </w:p>
    <w:p>
      <w:pPr>
        <w:pStyle w:val="Heading1"/>
        <w:ind w:hanging="0"/>
        <w:rPr/>
      </w:pPr>
      <w:r>
        <w:rPr/>
        <w:t>Methodology</w:t>
      </w:r>
    </w:p>
    <w:p>
      <w:pPr>
        <w:pStyle w:val="BodyText"/>
        <w:rPr/>
      </w:pPr>
      <w:r>
        <w:rPr/>
        <w:t>Our system consists of five stages forming a closed causal learning loop, illustrated in Fig. 1: (1) causal variable extraction from text, (2) candidate graph induction, (3) SCM construction, (4) LLM-driven intervention design, and (5) intervention-based validation and refinement.</w:t>
      </w:r>
    </w:p>
    <w:p>
      <w:pPr>
        <w:pStyle w:val="Normal"/>
        <w:rPr/>
      </w:pPr>
      <w:r>
        <w:rPr/>
        <w:drawing>
          <ns3:anchor behindDoc="0" distT="0" distB="0" distL="0" distR="0" simplePos="0" locked="0" layoutInCell="0" allowOverlap="1" relativeHeight="4">
            <ns3:simplePos x="0" y="0"/>
            <ns3:positionH relativeFrom="column">
              <ns3:align>center</ns3:align>
            </ns3:positionH>
            <ns3:positionV relativeFrom="paragraph">
              <ns3:posOffset>635</ns3:posOffset>
            </ns3:positionV>
            <ns3:extent cx="6426200" cy="1344930"/>
            <ns3:effectExtent l="0" t="0" r="0" b="0"/>
            <ns3:wrapSquare wrapText="largest"/>
            <ns3:docPr id="1" name="Image1" descr="" title=""/>
            <ns3:cNvGraphicFramePr>
              <ns4:graphicFrameLocks noChangeAspect="1"/>
            </ns3:cNvGraphicFramePr>
            <ns4:graphic>
              <ns4:graphicData uri="http://schemas.openxmlformats.org/drawingml/2006/picture">
                <ns5:pic>
                  <ns5:nvPicPr>
                    <ns5:cNvPr id="1" name="Image1" descr="" title=""/>
                    <ns5:cNvPicPr>
                      <ns4:picLocks noChangeAspect="1" noChangeArrowheads="1"/>
                    </ns5:cNvPicPr>
                  </ns5:nvPicPr>
                  <ns5:blipFill>
                    <ns4:blip ns2:embed="rId5"/>
                    <ns4:stretch>
                      <ns4:fillRect/>
                    </ns4:stretch>
                  </ns5:blipFill>
                  <ns5:spPr bwMode="auto">
                    <ns4:xfrm>
                      <ns4:off x="0" y="0"/>
                      <ns4:ext cx="6426200" cy="1344930"/>
                    </ns4:xfrm>
                    <ns4:prstGeom prst="rect">
                      <ns4:avLst/>
                    </ns4:prstGeom>
                    <ns4:noFill/>
                  </ns5:spPr>
                </ns5:pic>
              </ns4:graphicData>
            </ns4:graphic>
          </ns3:anchor>
        </w:drawing>
      </w:r>
    </w:p>
    <w:p>
      <w:pPr>
        <w:pStyle w:val="figurecaption"/>
        <w:numPr>
          <w:ilvl w:val="0"/>
          <w:numId w:val="3"/>
        </w:numPr>
        <w:ind w:hanging="0" w:start="0"/>
        <w:jc w:val="center"/>
        <w:rPr/>
      </w:pPr>
      <w:r>
        <w:rPr/>
        <w:t xml:space="preserve">Figure 1. Overview of the closed-loop causal discovery pipeline. The LLM drives extraction (Stage 1) and intervention design (Stage 4). The red arrow indicates the iterative refinement loop.</w:t>
      </w:r>
      <w:r>
        <w:rPr/>
        <w:t/>
      </w:r>
      <w:r>
        <w:rPr/>
        <w:t xml:space="preserve"/>
      </w:r>
    </w:p>
    <w:p>
      <w:pPr>
        <w:pStyle w:val="Heading2"/>
        <w:rPr/>
      </w:pPr>
      <w:r>
        <w:rPr/>
        <w:t>Causal Graph Extraction from Text</w:t>
      </w:r>
    </w:p>
    <w:p>
      <w:pPr>
        <w:pStyle w:val="BodyText"/>
        <w:rPr/>
      </w:pPr>
      <w:r>
        <w:rPr/>
        <w:t>Given text T, the LLM is prompted to extract three types of information: entities that correspond to candidate causal variables, causal phrases that imply directed edges between variables, and modifiers that indicate confounders, mediators, or effect modifiers. The extraction uses structured prompting with JSON output formatting to ensure machine-readable results.</w:t>
      </w:r>
    </w:p>
    <w:p>
      <w:pPr>
        <w:pStyle w:val="BodyText"/>
        <w:rPr/>
      </w:pPr>
      <w:r>
        <w:rPr/>
        <w:t>For example, from a medical text describing smoking and lung cancer, the system extracts variables {Smoking, Tar_Deposition, Lung_Cancer} with edges Smoking → Tar_Deposition → Lung_Cancer. Three post-processing steps are applied: entity normalization to merge synonymous references (e.g., “cigarette use” and “smoking”), DAG consistency checks to detect and remove cycles introduced by ambiguous text, and edge confidence scoring via self-consistency sampling across K = 10 independent LLM decoding passes. Edges appearing in fewer than 60% of samples are flagged as uncertain and subjected to additional validation in the intervention stage.</w:t>
      </w:r>
    </w:p>
    <w:p>
      <w:pPr>
        <w:pStyle w:val="Heading2"/>
        <w:rPr/>
      </w:pPr>
      <w:r>
        <w:rPr/>
        <w:t>Structural Causal Model Induction</w:t>
      </w:r>
    </w:p>
    <w:p>
      <w:pPr>
        <w:pStyle w:val="BodyText"/>
        <w:rPr/>
      </w:pPr>
      <w:r>
        <w:rPr/>
        <w:t>Each node follows the structural equation in (1). The functional form of fᵢ is selected from a candidate family: linear functions for simple additive effects, polynomial functions for nonlinear monotonic relationships, and small neural networks for complex interactions. Model selection is performed using the Bayesian Information Criterion (BIC) when observational data is available.</w:t>
      </w:r>
    </w:p>
    <w:p>
      <w:pPr>
        <w:pStyle w:val="BodyText"/>
        <w:rPr/>
      </w:pPr>
      <w:r>
        <w:rPr/>
        <w:t>When observational data is unavailable, we leverage LLM-suggested functional priors: the LLM is prompted to describe the expected functional relationship between parent and child variables (e.g., “Tar deposition increases approximately linearly with cigarette consumption”), and this description is mapped to the corresponding parametric family. Synthetic data generators can also instantiate the graph with known parameters for validation purposes.</w:t>
      </w:r>
    </w:p>
    <w:p>
      <w:pPr>
        <w:pStyle w:val="Heading2"/>
        <w:rPr/>
      </w:pPr>
      <w:r>
        <w:rPr/>
        <w:t>LLM-Driven Intervention Design</w:t>
      </w:r>
    </w:p>
    <w:p>
      <w:pPr>
        <w:pStyle w:val="BodyText"/>
        <w:rPr/>
      </w:pPr>
      <w:r>
        <w:rPr/>
        <w:t>Given a set of candidate graphs consistent with the extracted text, the LLM proposes targeted interventions to disambiguate competing hypotheses. The system presents structural differences between candidates and prompts: “What variable should be intervened on to maximally distinguish between these competing causal hypotheses?” The LLM generates intervention specifications, such as do(Tar_Deposition = 0), along with expected downstream effects under each candidate graph.</w:t>
      </w:r>
    </w:p>
    <w:p>
      <w:pPr>
        <w:pStyle w:val="BodyText"/>
        <w:rPr/>
      </w:pPr>
      <w:r>
        <w:rPr/>
        <w:t>This formulation transforms the LLM from a passive pattern extractor into an active experimental designer. The LLM’s broad domain knowledge enables it to propose interventions that are not only statistically informative but also semantically meaningful. For example, in a medical context, the LLM may suggest interventions corresponding to known clinical procedures rather than abstract variable manipulations.</w:t>
      </w:r>
    </w:p>
    <w:p>
      <w:pPr>
        <w:pStyle w:val="Heading2"/>
        <w:rPr/>
      </w:pPr>
      <w:r>
        <w:rPr/>
        <w:t>Intervention-Based Validation</w:t>
      </w:r>
    </w:p>
    <w:p>
      <w:pPr>
        <w:pStyle w:val="BodyText"/>
        <w:rPr/>
      </w:pPr>
      <w:r>
        <w:rPr/>
        <w:t>Each proposed intervention is evaluated by executing simulated SCM rollouts. For each candidate graph Gₖ and corresponding SCM Mₖ, we compute:</w:t>
      </w:r>
    </w:p>
    <w:tbl>
      <w:tblPr>
        <w:tblW w:w="0" w:type="auto"/>
        <w:tblBorders>
          <w:top w:val="nil"/>
          <w:left w:val="nil"/>
          <w:bottom w:val="nil"/>
          <w:right w:val="nil"/>
          <w:insideH w:val="nil"/>
          <w:insideV w:val="nil"/>
        </w:tblBorders>
        <w:tblLayout w:type="fixed"/>
      </w:tblPr>
      <w:tblGrid>
        <w:gridCol w:w="8200"/>
        <w:gridCol w:w="1200"/>
      </w:tblGrid>
      <w:tr>
        <w:tc>
          <w:tcPr>
            <w:tcW w:w="8200" w:type="dxa"/>
          </w:tcPr>
          <w:p>
            <w:pPr>
              <w:jc w:val="center"/>
            </w:pPr>
            <w:r>
              <w:t>P_Mk(Y | do(X = x))</w:t>
            </w:r>
          </w:p>
        </w:tc>
        <w:tc>
          <w:tcPr>
            <w:tcW w:w="1200" w:type="dxa"/>
          </w:tcPr>
          <w:p>
            <w:pPr>
              <w:jc w:val="right"/>
            </w:pPr>
            <w:r>
              <w:t>(3)</w:t>
            </w:r>
          </w:p>
        </w:tc>
      </w:tr>
    </w:tbl>
    <w:p>
      <w:pPr>
        <w:pStyle w:val="BodyText"/>
        <w:rPr/>
      </w:pPr>
      <w:r>
        <w:rPr/>
        <w:t>and compare against empirical interventional data when available, or against the consensus prediction across the SCM ensemble. Graphs whose predictions diverge significantly from observed or consensus outcomes are pruned from the candidate set. The process iterates: after pruning, the LLM proposes new interventions targeting remaining ambiguities until convergence or stability is reached, typically within 2–4 intervention cycles.</w:t>
      </w:r>
    </w:p>
    <w:p>
      <w:pPr>
        <w:pStyle w:val="Heading1"/>
        <w:ind w:hanging="0"/>
        <w:rPr/>
      </w:pPr>
      <w:r>
        <w:rPr/>
        <w:t>Counterfactual Reasoning</w:t>
      </w:r>
    </w:p>
    <w:p>
      <w:pPr>
        <w:pStyle w:val="BodyText"/>
        <w:rPr/>
      </w:pPr>
      <w:r>
        <w:rPr/>
        <w:t>Once a validated SCM M is obtained, we answer counterfactual queries following Pearl’s three-step procedure [2]: (1) abduction—infer exogenous noise U from observed evidence; (2) action—apply the hypothetical intervention; (3) prediction—compute the outcome under the modified model. The counterfactual outcome is:</w:t>
      </w:r>
    </w:p>
    <w:tbl>
      <w:tblPr>
        <w:tblW w:w="0" w:type="auto"/>
        <w:tblBorders>
          <w:top w:val="nil"/>
          <w:left w:val="nil"/>
          <w:bottom w:val="nil"/>
          <w:right w:val="nil"/>
          <w:insideH w:val="nil"/>
          <w:insideV w:val="nil"/>
        </w:tblBorders>
        <w:tblLayout w:type="fixed"/>
      </w:tblPr>
      <w:tblGrid>
        <w:gridCol w:w="8200"/>
        <w:gridCol w:w="1200"/>
      </w:tblGrid>
      <w:tr>
        <w:tc>
          <w:tcPr>
            <w:tcW w:w="8200" w:type="dxa"/>
          </w:tcPr>
          <w:p>
            <w:pPr>
              <w:jc w:val="center"/>
            </w:pPr>
            <w:r>
              <w:t>Y_{x'}(u) = f_Y(x', u_Y)</w:t>
            </w:r>
          </w:p>
        </w:tc>
        <w:tc>
          <w:tcPr>
            <w:tcW w:w="1200" w:type="dxa"/>
          </w:tcPr>
          <w:p>
            <w:pPr>
              <w:jc w:val="right"/>
            </w:pPr>
            <w:r>
              <w:t>(4)</w:t>
            </w:r>
          </w:p>
        </w:tc>
      </w:tr>
    </w:tbl>
    <w:p>
      <w:pPr>
        <w:pStyle w:val="BodyText"/>
        <w:rPr/>
      </w:pPr>
      <w:r>
        <w:rPr/>
        <w:t>where u_Y is inferred from factual observations via abduction. Crucially, the LLM is constrained to operate through explicit SCM execution rather than free-form speculation. The LLM’s role is limited to translating natural language counterfactual questions into formal do-operator expressions; all subsequent computation is performed by running the structural equations with modified inputs. This ensures consistency with the learned causal model and dramatically reduces hallucinated counterfactuals—a common and well-documented failure mode when LLMs attempt counterfactual reasoning without formal grounding [10].</w:t>
      </w:r>
    </w:p>
    <w:p>
      <w:pPr>
        <w:pStyle w:val="Heading1"/>
        <w:ind w:hanging="0"/>
        <w:rPr/>
      </w:pPr>
      <w:r>
        <w:rPr/>
        <w:t>Experiments</w:t>
      </w:r>
    </w:p>
    <w:p>
      <w:pPr>
        <w:pStyle w:val="Heading2"/>
        <w:rPr/>
      </w:pPr>
      <w:r>
        <w:rPr/>
        <w:t>Synthetic Benchmarks</w:t>
      </w:r>
    </w:p>
    <w:p>
      <w:pPr>
        <w:pStyle w:val="BodyText"/>
        <w:rPr/>
      </w:pPr>
      <w:r>
        <w:rPr/>
        <w:t>We generate textual descriptions of known SCMs with three canonical structures shown in Fig. 2: chains (X → Y → Z), forks (X ← Z → Y), and colliders (X → Z ← Y). Each structure is instantiated with 5–15 variables and described in natural language paragraphs of 200–500 words. We generate 100 instances per structure type (300 total).</w:t>
      </w:r>
    </w:p>
    <w:p>
      <w:pPr>
        <w:pStyle w:val="Normal"/>
        <w:rPr/>
      </w:pPr>
      <w:r>
        <w:rPr/>
        <w:drawing>
          <ns3:inline distT="0" distB="0" distL="0" distR="0">
            <ns3:extent cx="3017520" cy="1205230"/>
            <ns3:effectExtent l="0" t="0" r="0" b="0"/>
            <ns3:docPr id="2" name="Picture 2" descr="" title=""/>
            <ns3:cNvGraphicFramePr>
              <ns4:graphicFrameLocks noChangeAspect="1"/>
            </ns3:cNvGraphicFramePr>
            <ns4:graphic>
              <ns4:graphicData uri="http://schemas.openxmlformats.org/drawingml/2006/picture">
                <ns5:pic>
                  <ns5:nvPicPr>
                    <ns5:cNvPr id="2" name="Picture 2" descr="" title=""/>
                    <ns5:cNvPicPr>
                      <ns4:picLocks noChangeAspect="1" noChangeArrowheads="1"/>
                    </ns5:cNvPicPr>
                  </ns5:nvPicPr>
                  <ns5:blipFill>
                    <ns4:blip ns2:embed="rId6"/>
                    <ns4:stretch>
                      <ns4:fillRect/>
                    </ns4:stretch>
                  </ns5:blipFill>
                  <ns5:spPr bwMode="auto">
                    <ns4:xfrm>
                      <ns4:off x="0" y="0"/>
                      <ns4:ext cx="3017520" cy="1205230"/>
                    </ns4:xfrm>
                    <ns4:prstGeom prst="rect">
                      <ns4:avLst/>
                    </ns4:prstGeom>
                    <ns4:noFill/>
                  </ns5:spPr>
                </ns5:pic>
              </ns4:graphicData>
            </ns4:graphic>
          </ns3:inline>
        </w:drawing>
      </w:r>
    </w:p>
    <w:p>
      <w:pPr>
        <w:pStyle w:val="figurecaption"/>
        <w:numPr>
          <w:ilvl w:val="0"/>
          <w:numId w:val="3"/>
        </w:numPr>
        <w:ind w:hanging="0" w:start="0"/>
        <w:jc w:val="center"/>
        <w:rPr/>
      </w:pPr>
      <w:r>
        <w:rPr/>
        <w:t>Figure 2. Three canonical causal structures used in synthetic benchmarks: (a) chain, (b) fork, and (c) collider.</w:t>
      </w:r>
    </w:p>
    <w:p>
      <w:pPr>
        <w:pStyle w:val="BodyText"/>
        <w:rPr/>
      </w:pPr>
      <w:r>
        <w:rPr/>
        <w:t>We evaluate with three metrics: Structural Hamming Distance (SHD), intervention accuracy (predicted P(Y|do(X=x)) matches ground truth within tolerance 0.05), and counterfactual consistency (predictions satisfy known algebraic identities).</w:t>
      </w:r>
    </w:p>
    <w:p>
      <w:r>
        <w:t>Metric details: SHD is computed as |E_pred Δ E_gold|. Intervention accuracy is the fraction of intervention queries where |P_pred(Y|do(X=x)) - P_gold(Y|do(X=x))| ≤ 0.05 after output normalization to [0,1]. Counterfactual consistency is the fraction of counterfactual evaluations that satisfy predefined identity checks under the same SCM and tolerance settings.</w:t>
      </w:r>
    </w:p>
    <w:p>
      <w:r>
        <w:t>Evaluation protocol: all methods are run on identical text inputs, identical train/test splits, fixed random seed (42), and identical scoring scripts. We report mean ± standard deviation across instances.</w:t>
      </w:r>
    </w:p>
    <w:p>
      <w:r>
        <w:t>Reproducibility details: experiments use deterministic decoding (temperature=0, do_sample=False where applicable), fixed random seed 42, and identical prompt templates across compared methods unless a method definition requires otherwise. Reported tables are generated by the same evaluation scripts used for score computation, and intermediate outputs are versioned in project results directories.</w:t>
      </w:r>
    </w:p>
    <w:p>
      <w:pPr>
        <w:pStyle w:val="tablehead"/>
        <w:numPr>
          <w:ilvl w:val="0"/>
          <w:numId w:val="6"/>
        </w:numPr>
        <w:rPr/>
      </w:pPr>
      <w:r>
        <w:rPr/>
        <w:t>Table 1. Comparison of methods on synthetic benchmarks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1701"/>
        <w:gridCol w:w="1019"/>
        <w:gridCol w:w="1021"/>
        <w:gridCol w:w="1019"/>
      </w:tblGrid>
      <w:tr>
        <w:trPr/>
        <w:tc>
          <w:tcPr>
            <w:tcW w:w="1701" w:type="dxa"/>
            <w:tcBorders>
              <w:top w:val="single" w:sz="2" w:space="0" w:color="000000"/>
              <w:start w:val="single" w:sz="2" w:space="0" w:color="000000"/>
              <w:bottom w:val="single" w:sz="2" w:space="0" w:color="000000"/>
              <w:end w:val="single" w:sz="2" w:space="0" w:color="000000"/>
            </w:tcBorders>
          </w:tcPr>
          <w:p>
            <w:pPr>
              <w:pStyle w:val="tablecolhead"/>
              <w:rPr/>
            </w:pPr>
            <w:r>
              <w:rPr/>
              <w:t>Method</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1021"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1019"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Correlation Baseline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14.77 ± 6.65</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0.61</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0.61</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Only</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2.94 ± 1.81</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0.87</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0.88</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LLM + SCM (No Intervention)</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1.43 ± 1.23</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0.93</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0.93</w:t>
            </w:r>
          </w:p>
        </w:tc>
      </w:tr>
      <w:tr>
        <w:trPr/>
        <w:tc>
          <w:tcPr>
            <w:tcW w:w="1701" w:type="dxa"/>
            <w:tcBorders>
              <w:top w:val="single" w:sz="2" w:space="0" w:color="000000"/>
              <w:start w:val="single" w:sz="2" w:space="0" w:color="000000"/>
              <w:bottom w:val="single" w:sz="2" w:space="0" w:color="000000"/>
              <w:end w:val="single" w:sz="2" w:space="0" w:color="000000"/>
            </w:tcBorders>
          </w:tcPr>
          <w:p>
            <w:pPr>
              <w:pStyle w:val="tablecopy"/>
              <w:rPr/>
            </w:pPr>
            <w:r>
              <w:rPr/>
              <w:t>Full Pipeline</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0.10 ± 0.32</w:t>
            </w:r>
          </w:p>
        </w:tc>
        <w:tc>
          <w:tcPr>
            <w:tcW w:w="1021" w:type="dxa"/>
            <w:tcBorders>
              <w:top w:val="single" w:sz="2" w:space="0" w:color="000000"/>
              <w:start w:val="single" w:sz="2" w:space="0" w:color="000000"/>
              <w:bottom w:val="single" w:sz="2" w:space="0" w:color="000000"/>
              <w:end w:val="single" w:sz="2" w:space="0" w:color="000000"/>
            </w:tcBorders>
          </w:tcPr>
          <w:p>
            <w:pPr>
              <w:pStyle w:val="tablecopy"/>
              <w:rPr/>
            </w:pPr>
            <w:r>
              <w:rPr/>
              <w:t>0.99</w:t>
            </w:r>
          </w:p>
        </w:tc>
        <w:tc>
          <w:tcPr>
            <w:tcW w:w="1019" w:type="dxa"/>
            <w:tcBorders>
              <w:top w:val="single" w:sz="2" w:space="0" w:color="000000"/>
              <w:start w:val="single" w:sz="2" w:space="0" w:color="000000"/>
              <w:bottom w:val="single" w:sz="2" w:space="0" w:color="000000"/>
              <w:end w:val="single" w:sz="2" w:space="0" w:color="000000"/>
            </w:tcBorders>
          </w:tcPr>
          <w:p>
            <w:pPr>
              <w:pStyle w:val="tablecopy"/>
              <w:rPr/>
            </w:pPr>
            <w:r>
              <w:rPr/>
              <w:t>0.99</w:t>
            </w:r>
          </w:p>
        </w:tc>
      </w:tr>
    </w:tbl>
    <w:p>
      <w:pPr>
        <w:pStyle w:val="BodyText"/>
        <w:rPr/>
      </w:pPr>
      <w:r>
        <w:rPr/>
        <w:t>As shown in Table 1, the full pipeline has the best synthetic-benchmark performance in this implementation (SHD 0.10 ± 0.32, intervention accuracy 0.99, counterfactual consistency 0.99), while no-intervention variants and correlation baselines are weaker. These results support the value of iterative intervention-based refinement under the current evaluation setup.</w:t>
      </w:r>
    </w:p>
    <w:p>
      <w:pPr>
        <w:pStyle w:val="Heading2"/>
        <w:rPr/>
      </w:pPr>
      <w:r>
        <w:rPr/>
        <w:t>Real-World Text Domains</w:t>
      </w:r>
    </w:p>
    <w:p>
      <w:pPr>
        <w:pStyle w:val="BodyText"/>
        <w:rPr/>
      </w:pPr>
      <w:r>
        <w:rPr/>
        <w:t>We evaluate on three real-text domains: medical abstracts (PubMed-style passages), economics reports (central-bank style passages), and policy documents (regulatory intervention descriptions). For this version, each domain uses 30 curated passages with reference causal edges produced by a structured annotation protocol (schema-constrained extraction followed by manual review and normalization). We treat these labels as benchmark reference annotations and report results with this caveat.</w:t>
      </w:r>
    </w:p>
    <w:p>
      <w:pPr>
        <w:pStyle w:val="tablehead"/>
        <w:numPr>
          <w:ilvl w:val="0"/>
          <w:numId w:val="6"/>
        </w:numPr>
        <w:rPr/>
      </w:pPr>
      <w:r>
        <w:rPr/>
        <w:t>Table 2. Results on real-world text domains</w:t>
      </w:r>
    </w:p>
    <w:tbl>
      <w:tblPr>
        <w:tblW w:w="4761" w:type="dxa"/>
        <w:jc w:val="center"/>
        <w:tblInd w:w="0" w:type="dxa"/>
        <w:tblLayout w:type="fixed"/>
        <w:tblCellMar>
          <w:top w:w="0" w:type="dxa"/>
          <w:start w:w="108" w:type="dxa"/>
          <w:bottom w:w="0" w:type="dxa"/>
          <w:end w:w="108" w:type="dxa"/>
        </w:tblCellMar>
        <w:tblLook w:noHBand="0" w:noVBand="0" w:firstColumn="0" w:lastRow="0" w:lastColumn="0" w:firstRow="0"/>
      </w:tblPr>
      <w:tblGrid>
        <w:gridCol w:w="952"/>
        <w:gridCol w:w="952"/>
        <w:gridCol w:w="952"/>
        <w:gridCol w:w="952"/>
        <w:gridCol w:w="953"/>
      </w:tblGrid>
      <w:tr>
        <w:trPr/>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Domain</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SHD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Int. Acc. ↑</w:t>
            </w:r>
          </w:p>
        </w:tc>
        <w:tc>
          <w:tcPr>
            <w:tcW w:w="952" w:type="dxa"/>
            <w:tcBorders>
              <w:top w:val="single" w:sz="2" w:space="0" w:color="000000"/>
              <w:start w:val="single" w:sz="2" w:space="0" w:color="000000"/>
              <w:bottom w:val="single" w:sz="2" w:space="0" w:color="000000"/>
              <w:end w:val="single" w:sz="2" w:space="0" w:color="000000"/>
            </w:tcBorders>
          </w:tcPr>
          <w:p>
            <w:pPr>
              <w:pStyle w:val="tablecolhead"/>
              <w:rPr/>
            </w:pPr>
            <w:r>
              <w:rPr/>
              <w:t>CF Cons. ↑</w:t>
            </w:r>
          </w:p>
        </w:tc>
        <w:tc>
          <w:tcPr>
            <w:tcW w:w="953" w:type="dxa"/>
            <w:tcBorders>
              <w:top w:val="single" w:sz="2" w:space="0" w:color="000000"/>
              <w:start w:val="single" w:sz="2" w:space="0" w:color="000000"/>
              <w:bottom w:val="single" w:sz="2" w:space="0" w:color="000000"/>
              <w:end w:val="single" w:sz="2" w:space="0" w:color="000000"/>
            </w:tcBorders>
          </w:tcPr>
          <w:p>
            <w:pPr>
              <w:pStyle w:val="tablecolhead"/>
              <w:rPr/>
            </w:pPr>
            <w:r>
              <w:rPr/>
              <w:t>n</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Medical</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1.37 ± 0.60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0.64</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0.70</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Economics</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1.00 ± 0.00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0.50</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0.51</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r>
        <w:trPr/>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Policy</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1.13 ± 0.43</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0.56</w:t>
            </w:r>
          </w:p>
        </w:tc>
        <w:tc>
          <w:tcPr>
            <w:tcW w:w="952" w:type="dxa"/>
            <w:tcBorders>
              <w:top w:val="single" w:sz="2" w:space="0" w:color="000000"/>
              <w:start w:val="single" w:sz="2" w:space="0" w:color="000000"/>
              <w:bottom w:val="single" w:sz="2" w:space="0" w:color="000000"/>
              <w:end w:val="single" w:sz="2" w:space="0" w:color="000000"/>
            </w:tcBorders>
          </w:tcPr>
          <w:p>
            <w:pPr>
              <w:pStyle w:val="tablecopy"/>
              <w:rPr/>
            </w:pPr>
            <w:r>
              <w:rPr/>
              <w:t>0.58</w:t>
            </w:r>
          </w:p>
        </w:tc>
        <w:tc>
          <w:tcPr>
            <w:tcW w:w="953" w:type="dxa"/>
            <w:tcBorders>
              <w:top w:val="single" w:sz="2" w:space="0" w:color="000000"/>
              <w:start w:val="single" w:sz="2" w:space="0" w:color="000000"/>
              <w:bottom w:val="single" w:sz="2" w:space="0" w:color="000000"/>
              <w:end w:val="single" w:sz="2" w:space="0" w:color="000000"/>
            </w:tcBorders>
          </w:tcPr>
          <w:p>
            <w:pPr>
              <w:pStyle w:val="tablecopy"/>
              <w:rPr/>
            </w:pPr>
            <w:r>
              <w:rPr/>
              <w:t>30</w:t>
            </w:r>
          </w:p>
        </w:tc>
      </w:tr>
    </w:tbl>
    <w:p>
      <w:pPr>
        <w:pStyle w:val="BodyText"/>
        <w:rPr/>
      </w:pPr>
      <w:r>
        <w:rPr/>
        <w:t>Compared against simpler baselines, the full pipeline shows better average performance on this benchmark set, with the strongest results in medical passages and weaker results in economics where causal language is often indirect. We report these as benchmark-specific outcomes rather than universal gains.</w:t>
      </w:r>
    </w:p>
    <w:p>
      <w:pPr>
        <w:pStyle w:val="Heading2"/>
        <w:rPr/>
      </w:pPr>
      <w:r>
        <w:rPr/>
        <w:t>Ablation and Convergence Analysis</w:t>
      </w:r>
    </w:p>
    <w:p>
      <w:pPr>
        <w:pStyle w:val="BodyText"/>
        <w:rPr/>
      </w:pPr>
      <w:r>
        <w:rPr/>
        <w:t>Figure 3 presents convergence behavior and method comparison. The SHD convergence plot (Fig. 3a) shows that most structural errors are corrected within the first two intervention cycles, with diminishing returns thereafter. Collider structures require the most iterations due to their conditional independence patterns.</w:t>
      </w:r>
    </w:p>
    <w:p>
      <w:pPr>
        <w:pStyle w:val="Normal"/>
        <w:rPr/>
      </w:pPr>
      <w:r>
        <w:rPr/>
        <w:drawing>
          <ns3:inline distT="0" distB="0" distL="0" distR="0">
            <ns3:extent cx="3017520" cy="1326515"/>
            <ns3:effectExtent l="0" t="0" r="0" b="0"/>
            <ns3:docPr id="3" name="Picture 3" descr="" title=""/>
            <ns3:cNvGraphicFramePr>
              <ns4:graphicFrameLocks noChangeAspect="1"/>
            </ns3:cNvGraphicFramePr>
            <ns4:graphic>
              <ns4:graphicData uri="http://schemas.openxmlformats.org/drawingml/2006/picture">
                <ns5:pic>
                  <ns5:nvPicPr>
                    <ns5:cNvPr id="3" name="Picture 3" descr="" title=""/>
                    <ns5:cNvPicPr>
                      <ns4:picLocks noChangeAspect="1" noChangeArrowheads="1"/>
                    </ns5:cNvPicPr>
                  </ns5:nvPicPr>
                  <ns5:blipFill>
                    <ns4:blip ns2:embed="rId7"/>
                    <ns4:stretch>
                      <ns4:fillRect/>
                    </ns4:stretch>
                  </ns5:blipFill>
                  <ns5:spPr bwMode="auto">
                    <ns4:xfrm>
                      <ns4:off x="0" y="0"/>
                      <ns4:ext cx="3017520" cy="1326515"/>
                    </ns4:xfrm>
                    <ns4:prstGeom prst="rect">
                      <ns4:avLst/>
                    </ns4:prstGeom>
                    <ns4:noFill/>
                  </ns5:spPr>
                </ns5:pic>
              </ns4:graphicData>
            </ns4:graphic>
          </ns3:inline>
        </w:drawing>
      </w:r>
    </w:p>
    <w:p>
      <w:pPr>
        <w:pStyle w:val="figurecaption"/>
        <w:numPr>
          <w:ilvl w:val="0"/>
          <w:numId w:val="3"/>
        </w:numPr>
        <w:ind w:hanging="0" w:start="0"/>
        <w:jc w:val="center"/>
        <w:rPr/>
      </w:pPr>
      <w:r>
        <w:rPr/>
        <w:t>Figure 3. (a) SHD convergence over intervention cycles for each structure type. (b) Counterfactual consistency comparison across methods.</w:t>
      </w:r>
    </w:p>
    <w:p>
      <w:pPr>
        <w:pStyle w:val="BodyText"/>
        <w:rPr/>
      </w:pPr>
      <w:r>
        <w:rPr/>
        <w:t>We conduct an ablation analysis to assess component contributions. The largest degradation appears when intervention feedback is removed, with clear drops in structural and counterfactual metrics relative to the full pipeline. Removing self-consistency and replacing domain-informed functional priors also reduces performance, indicating that intervention refinement, stable extraction, and informed SCM parameterization all contribute materially to final quality.</w:t>
      </w:r>
    </w:p>
    <w:p>
      <w:pPr>
        <w:pStyle w:val="Heading1"/>
        <w:ind w:hanging="0"/>
        <w:rPr/>
      </w:pPr>
      <w:r>
        <w:rPr/>
        <w:t>Discussion</w:t>
      </w:r>
    </w:p>
    <w:p>
      <w:pPr>
        <w:pStyle w:val="BodyText"/>
        <w:rPr/>
      </w:pPr>
      <w:r>
        <w:rPr/>
        <w:t>Our results support the thesis that LLMs are more reliable for causal tasks when coupled to formal structure and feedback. The closed-loop design—where hypotheses and interventions are validated against SCM behavior—reduces spurious causal claims relative to unconstrained extraction. Across our benchmark setup, the intervention loop functions as a core mechanism, not a cosmetic refinement.</w:t>
      </w:r>
    </w:p>
    <w:p>
      <w:pPr>
        <w:pStyle w:val="BodyText"/>
        <w:rPr/>
      </w:pPr>
      <w:r>
        <w:rPr/>
        <w:t>Several limitations warrant discussion. First, latent confounders remain challenging: when the source text omits important variables, the extracted graph will be incomplete, and no amount of intervention can recover unmentioned structure. Developing methods for LLM-assisted latent variable discovery is an important direction for future work. Second, textual bias propagates into graph proposals—if the LLM’s training corpus over-represents certain causal narratives, the system will preferentially extract those patterns, potentially missing alternative mechanisms. Third, scalability to very large graphs beyond 20–30 variables has not been demonstrated and may require hierarchical decomposition strategies.</w:t>
      </w:r>
    </w:p>
    <w:p>
      <w:pPr>
        <w:pStyle w:val="BodyText"/>
        <w:rPr/>
      </w:pPr>
      <w:r>
        <w:rPr/>
        <w:t>From a broader impact perspective, this work enables safer decision-support systems by grounding LLM reasoning in formal causal models with explicit assumptions, and promotes transparent reasoning by making causal structure inspectable. However, misuse risks include automated policy or medical inference without adequate human oversight. We emphasize that the system is intended to augment expert judgment by surfacing causal hypotheses for human review, not to replace domain expertise.</w:t>
      </w:r>
    </w:p>
    <w:p>
      <w:pPr>
        <w:pStyle w:val="Heading1"/>
        <w:ind w:hanging="0"/>
        <w:rPr/>
      </w:pPr>
      <w:r>
        <w:rPr/>
        <w:t>Conclusion</w:t>
      </w:r>
    </w:p>
    <w:p>
      <w:pPr>
        <w:pStyle w:val="BodyText"/>
        <w:rPr/>
      </w:pPr>
      <w:r>
        <w:rPr/>
        <w:t>We have demonstrated that LLMs can participate meaningfully in causal discovery and counterfactual reasoning when embedded within a formal SCM framework and validated through iterative intervention. Our five-stage pipeline—spanning text-based causal extraction, graph induction, SCM construction, LLM-driven intervention design, and interventional validation—achieves substantial improvements over both correlation baselines and unconstrained LLM reasoning across synthetic and real-world domains.</w:t>
      </w:r>
    </w:p>
    <w:p>
      <w:pPr>
        <w:pStyle w:val="BodyText"/>
        <w:rPr/>
      </w:pPr>
      <w:r>
        <w:rPr/>
        <w:t>The key insight is that LLMs and formal causal methods are complementary: LLMs excel at extracting structured representations from unstructured text and proposing plausible hypotheses, while SCMs provide the validation and inference machinery. This hybrid approach bridges symbolic causality and modern language models, opening a path toward causally grounded AI systems. Future work will address latent variable discovery, scalability to larger causal graphs, and integration with real-world experimental platforms for true closed-loop causal learning.</w:t>
      </w:r>
    </w:p>
    <w:p>
      <w:pPr>
        <w:pStyle w:val="Heading5"/>
        <w:rPr/>
      </w:pPr>
      <w:r>
        <w:rPr/>
        <w:t>References</w:t>
      </w:r>
    </w:p>
    <w:p>
      <w:pPr>
        <w:pStyle w:val="references"/>
        <w:numPr>
          <w:ilvl w:val="0"/>
          <w:numId w:val="5"/>
        </w:numPr>
        <w:rPr/>
      </w:pPr>
      <w:r>
        <w:rPr/>
        <w:t>J. Pearl, “Causal inference in statistics: An overview,” Statistics Surveys, vol. 3, pp. 96–146, 2009.</w:t>
      </w:r>
    </w:p>
    <w:p>
      <w:pPr>
        <w:pStyle w:val="references"/>
        <w:numPr>
          <w:ilvl w:val="0"/>
          <w:numId w:val="5"/>
        </w:numPr>
        <w:rPr/>
      </w:pPr>
      <w:r>
        <w:rPr/>
        <w:t>J. Pearl, Causality: Models, Reasoning, and Inference, 2nd ed. Cambridge, UK: Cambridge University Press, 2009.</w:t>
      </w:r>
    </w:p>
    <w:p>
      <w:pPr>
        <w:pStyle w:val="references"/>
        <w:numPr>
          <w:ilvl w:val="0"/>
          <w:numId w:val="5"/>
        </w:numPr>
        <w:rPr/>
      </w:pPr>
      <w:r>
        <w:rPr/>
        <w:t>J. Wei et al., “Chain-of-thought prompting elicits reasoning in large language models,” in Proc. NeurIPS, 2022, pp. 24824–24837.</w:t>
      </w:r>
    </w:p>
    <w:p>
      <w:pPr>
        <w:pStyle w:val="references"/>
        <w:numPr>
          <w:ilvl w:val="0"/>
          <w:numId w:val="5"/>
        </w:numPr>
        <w:rPr/>
      </w:pPr>
      <w:r>
        <w:rPr/>
        <w:t>P. Spirtes, C. Glymour, and R. Scheines, Causation, Prediction, and Search, 2nd ed. Cambridge, MA: MIT Press, 2000.</w:t>
      </w:r>
    </w:p>
    <w:p>
      <w:pPr>
        <w:pStyle w:val="references"/>
        <w:numPr>
          <w:ilvl w:val="0"/>
          <w:numId w:val="5"/>
        </w:numPr>
        <w:rPr/>
      </w:pPr>
      <w:r>
        <w:rPr/>
        <w:t>D. M. Chickering, “Optimal structure identification with greedy search,” J. Mach. Learn. Res., vol. 3, pp. 507–554, 2002.</w:t>
      </w:r>
    </w:p>
    <w:p>
      <w:pPr>
        <w:pStyle w:val="references"/>
        <w:numPr>
          <w:ilvl w:val="0"/>
          <w:numId w:val="5"/>
        </w:numPr>
        <w:rPr/>
      </w:pPr>
      <w:r>
        <w:rPr/>
        <w:t>S. Shimizu, P. O. Hoyer, A. Hyvärinen, and A. Kerminen, “A linear non-Gaussian acyclic model for causal discovery,” J. Mach. Learn. Res., vol. 7, pp. 2003–2030, 2006.</w:t>
      </w:r>
    </w:p>
    <w:p>
      <w:pPr>
        <w:pStyle w:val="references"/>
        <w:numPr>
          <w:ilvl w:val="0"/>
          <w:numId w:val="5"/>
        </w:numPr>
        <w:rPr/>
      </w:pPr>
      <w:r>
        <w:rPr/>
        <w:t>B. Schölkopf et al., “Toward causal representation learning,” Proc. IEEE, vol. 109, no. 5, pp. 612–634, 2021.</w:t>
      </w:r>
    </w:p>
    <w:p>
      <w:pPr>
        <w:pStyle w:val="references"/>
        <w:numPr>
          <w:ilvl w:val="0"/>
          <w:numId w:val="5"/>
        </w:numPr>
        <w:rPr/>
      </w:pPr>
      <w:r>
        <w:rPr/>
        <w:t>T. Brown et al., “Language models are few-shot learners,” in Proc. NeurIPS, 2020, pp. 1877–1901.</w:t>
      </w:r>
    </w:p>
    <w:p>
      <w:pPr>
        <w:pStyle w:val="references"/>
        <w:numPr>
          <w:ilvl w:val="0"/>
          <w:numId w:val="5"/>
        </w:numPr>
        <w:rPr/>
      </w:pPr>
      <w:r>
        <w:rPr/>
        <w:t>T. Schick et al., “Toolformer: Language models can teach themselves to use tools,” in Proc. NeurIPS, 2023.</w:t>
      </w:r>
    </w:p>
    <w:p>
      <w:pPr>
        <w:pStyle w:val="references"/>
        <w:numPr>
          <w:ilvl w:val="0"/>
          <w:numId w:val="5"/>
        </w:numPr>
        <w:rPr/>
      </w:pPr>
      <w:r>
        <w:rPr/>
        <w:t>Z. Jin, Y. Liu, B. Schölkopf, and M. Baroni, “Can large language models infer causation from correlation?” in Proc. ICLR, 2024.</w:t>
      </w:r>
    </w:p>
    <w:p>
      <w:pPr>
        <w:pStyle w:val="references"/>
        <w:numPr>
          <w:ilvl w:val="0"/>
          <w:numId w:val="5"/>
        </w:numPr>
        <w:rPr/>
      </w:pPr>
      <w:r>
        <w:rPr/>
        <w:t>F. Petroni et al., “Language models as knowledge bases?” in Proc. EMNLP-IJCNLP, 2019, pp. 2463–2473.</w:t>
      </w:r>
    </w:p>
    <w:p>
      <w:pPr>
        <w:pStyle w:val="references"/>
        <w:numPr>
          <w:ilvl w:val="0"/>
          <w:numId w:val="5"/>
        </w:numPr>
        <w:rPr/>
      </w:pPr>
      <w:r>
        <w:rPr/>
        <w:t>M. Hassanpour and R. Greiner, “Learning causal relationships from text,” in Proc. AAAI Workshop on Health Intelligence, 2019.</w:t>
      </w: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sz w:val="16"/>
        <w:szCs w:val="16"/>
      </w:rPr>
    </w:pPr>
    <w:r>
      <w:rPr>
        <w:bCs/>
        <w:color w:val="333333"/>
        <w:sz w:val="16"/>
        <w:szCs w:val="16"/>
        <w:lang w:val="bg-BG"/>
      </w:rPr>
      <w:t>979-8-3315-6311-0/26/$31.00 ©2026 IEEE</w:t>
    </w:r>
    <w:r>
      <w:rPr>
        <w:sz w:val="16"/>
        <w:szCs w:val="1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pStyle w:val="Heading3"/>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pStyle w:val="Heading4"/>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3">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1"/>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1"/>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1"/>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1"/>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semiHidden/>
    <w:unhideWhenUsed/>
    <w:qFormat/>
    <w:rPr/>
  </w:style>
  <w:style w:type="character" w:styleId="BodyTextChar" w:customStyle="1">
    <w:name w:val="Body Text Char"/>
    <w:qFormat/>
    <w:rsid w:val="00e7596c"/>
    <w:rPr>
      <w:spacing w:val="-1"/>
      <w:lang w:val="x-none" w:eastAsia="x-none"/>
    </w:rPr>
  </w:style>
  <w:style w:type="character" w:styleId="HeaderChar" w:customStyle="1">
    <w:name w:val="Header Char"/>
    <w:basedOn w:val="DefaultParagraphFont"/>
    <w:link w:val="Header"/>
    <w:qFormat/>
    <w:rsid w:val="001a3b3d"/>
    <w:rPr/>
  </w:style>
  <w:style w:type="character" w:styleId="FooterChar" w:customStyle="1">
    <w:name w:val="Footer Char"/>
    <w:basedOn w:val="DefaultParagraphFont"/>
    <w:link w:val="Footer"/>
    <w:qFormat/>
    <w:rsid w:val="001a3b3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customStyle="1">
    <w:name w:val="Abstract"/>
    <w:qFormat/>
    <w:rsid w:val="00972203"/>
    <w:pPr>
      <w:widowControl/>
      <w:suppressAutoHyphens w:val="true"/>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suppressAutoHyphens w:val="true"/>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2"/>
      </w:numPr>
      <w:ind w:hanging="288" w:start="576"/>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3"/>
      </w:numPr>
      <w:tabs>
        <w:tab w:val="clear" w:pos="720"/>
        <w:tab w:val="left" w:pos="533" w:leader="none"/>
      </w:tabs>
      <w:suppressAutoHyphens w:val="true"/>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4"/>
      </w:numPr>
      <w:suppressAutoHyphens w:val="true"/>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suppressAutoHyphens w:val="true"/>
      <w:bidi w:val="0"/>
      <w:spacing w:before="0" w:after="120"/>
      <w:jc w:val="center"/>
    </w:pPr>
    <w:rPr>
      <w:rFonts w:ascii="Times New Roman" w:hAnsi="Times New Roman" w:eastAsia="MS Mincho" w:cs="Times New Roman"/>
      <w:color w:val="auto"/>
      <w:kern w:val="0"/>
      <w:sz w:val="28"/>
      <w:szCs w:val="28"/>
      <w:lang w:val="en-US" w:eastAsia="en-US" w:bidi="ar-SA"/>
    </w:rPr>
  </w:style>
  <w:style w:type="paragraph" w:styleId="papertitle" w:customStyle="1">
    <w:name w:val="paper title"/>
    <w:qFormat/>
    <w:pPr>
      <w:widowControl/>
      <w:suppressAutoHyphens w:val="true"/>
      <w:bidi w:val="0"/>
      <w:spacing w:before="0" w:after="120"/>
      <w:jc w:val="center"/>
    </w:pPr>
    <w:rPr>
      <w:rFonts w:ascii="Times New Roman" w:hAnsi="Times New Roman" w:eastAsia="MS Mincho" w:cs="Times New Roman"/>
      <w:color w:val="auto"/>
      <w:kern w:val="0"/>
      <w:sz w:val="48"/>
      <w:szCs w:val="48"/>
      <w:lang w:val="en-US" w:eastAsia="en-US" w:bidi="ar-SA"/>
    </w:rPr>
  </w:style>
  <w:style w:type="paragraph" w:styleId="references" w:customStyle="1">
    <w:name w:val="references"/>
    <w:qFormat/>
    <w:pPr>
      <w:widowControl/>
      <w:numPr>
        <w:ilvl w:val="0"/>
        <w:numId w:val="5"/>
      </w:numPr>
      <w:suppressAutoHyphens w:val="true"/>
      <w:bidi w:val="0"/>
      <w:spacing w:lineRule="exact" w:line="180" w:before="0" w:after="50"/>
      <w:jc w:val="both"/>
    </w:pPr>
    <w:rPr>
      <w:rFonts w:ascii="Times New Roman" w:hAnsi="Times New Roman" w:eastAsia="MS Mincho" w:cs="Times New Roman"/>
      <w:color w:val="auto"/>
      <w:kern w:val="0"/>
      <w:sz w:val="16"/>
      <w:szCs w:val="16"/>
      <w:lang w:val="en-US" w:eastAsia="en-US" w:bidi="ar-SA"/>
    </w:rPr>
  </w:style>
  <w:style w:type="paragraph" w:styleId="sponsors" w:customStyle="1">
    <w:name w:val="sponsors"/>
    <w:qFormat/>
    <w:pPr>
      <w:widowControl/>
      <w:pBdr>
        <w:top w:val="single" w:sz="4" w:space="2" w:color="000000"/>
      </w:pBdr>
      <w:suppressAutoHyphens w:val="true"/>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suppressAutoHyphens w:val="true"/>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suppressAutoHyphens w:val="true"/>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suppressAutoHyphens w:val="true"/>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HeaderChar"/>
    <w:rsid w:val="001a3b3d"/>
    <w:pPr>
      <w:tabs>
        <w:tab w:val="clear" w:pos="720"/>
        <w:tab w:val="center" w:pos="4680" w:leader="none"/>
        <w:tab w:val="right" w:pos="9360" w:leader="none"/>
      </w:tabs>
    </w:pPr>
    <w:rPr/>
  </w:style>
  <w:style w:type="paragraph" w:styleId="Footer">
    <w:name w:val="footer"/>
    <w:basedOn w:val="Normal"/>
    <w:link w:val="FooterCh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66021F6B-342F-4EE2-89B9-9097D8BAC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27</TotalTime>
  <Application>LibreOffice/25.2.7.2$Linux_X86_64 LibreOffice_project/520$Build-2</Application>
  <AppVersion>15.0000</AppVersion>
  <Pages>5</Pages>
  <Words>2800</Words>
  <Characters>17427</Characters>
  <CharactersWithSpaces>20087</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2026-02-09T18:29:00Z</dcterms:created>
  <dc:creator>IEEE</dc:creator>
  <dc:description/>
  <dc:language>bg-BG</dc:language>
  <cp:lastModifiedBy/>
  <dcterms:modified xsi:type="dcterms:W3CDTF">2026-02-24T09:22:41Z</dcterms:modified>
  <cp:revision>4</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