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ns1="http://schemas.openxmlformats.org/markup-compatibility/2006" xmlns:ns3="http://schemas.openxmlformats.org/officeDocument/2006/math" xmlns:ns6="http://schemas.openxmlformats.org/drawingml/2006/picture" xmlns:r="http://schemas.openxmlformats.org/officeDocument/2006/relationships" xmlns:w="http://schemas.openxmlformats.org/wordprocessingml/2006/main" xmlns:wp="http://schemas.openxmlformats.org/drawingml/2006/wordprocessingDrawing" ns1:Ignorable="w14 wp14 w15">
  <w:body>
    <w:p>
      <w:pPr>
        <w:pStyle w:val="papertitle"/>
        <w:spacing w:beforeAutospacing="1" w:afterAutospacing="1"/>
        <w:rPr>
          <w:kern w:val="2"/>
        </w:rPr>
      </w:pPr>
      <w:r>
        <w:rPr>
          <w:kern w:val="2"/>
        </w:rPr>
        <w:t>Causal Discovery and Intervention with Large Language Models</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i/>
        </w:rPr>
        <w:t>Abstract—Large Language Models (LLMs) demonstrate strong performance in reasoning, abstraction, and knowledge synthesis, yet their ability to learn and use causal structure remains poorly understood. This work investigates whether LLMs can (i)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LLM-driven intervention proposals evaluated against simulated or empirical data. Our approach bridges natural language understanding with causal discovery and introduces a closed-loop causal reasoning pipeline. Experiments across synthetic causal benchmarks and real-world textual domains indicate that LLMs, when constrained by formal causal validation, can recover useful causal structure and support counterfactual inference beyond purely correlational heuristics in our benchmark setting.</w:t>
      </w:r>
    </w:p>
    <w:p>
      <w:pPr>
        <w:pStyle w:val="Keywords"/>
        <w:rPr/>
      </w:pPr>
      <w:r>
        <w:rPr/>
        <w:t>Keywords-causal discovery, large language models, structural causal models, counterfactual reasoning, intervention design</w:t>
      </w:r>
    </w:p>
    <w:p>
      <w:pPr>
        <w:pStyle w:val="Heading1"/>
        <w:ind w:hanging="0"/>
        <w:rPr/>
      </w:pPr>
      <w:r>
        <w:rPr/>
        <w:t>Introduction</w:t>
      </w:r>
    </w:p>
    <w:p>
      <w:pPr>
        <w:pStyle w:val="BodyText"/>
        <w:rPr/>
      </w:pPr>
      <w:r>
        <w:rP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do-calculus [2], provides a rigorous framework for understanding why phenomena occur, predicting the effects of interventions, and answering counterfactual questions about what would have happened under alternative conditions.</w:t>
      </w:r>
    </w:p>
    <w:p>
      <w:pPr>
        <w:pStyle w:val="BodyText"/>
        <w:rPr/>
      </w:pPr>
      <w:r>
        <w:rPr/>
        <w:t>Learning causal graphs from observational data is already a well-studied but challenging problem; learning them from natural language text introduces additional complexity due to linguistic ambiguity, implicit assumptions, under-specified mechanisms, and missing variables. Recent advances in LLM capabilities—including chain-of-thought reasoning [3], tool use [9], and in-context learning [8]—suggest that these models may serve as effective components within causal reasoning pipelines, even if they cannot be considered autonomous causal reasoners in isolation.</w:t>
      </w:r>
    </w:p>
    <w:p>
      <w:pPr>
        <w:pStyle w:val="BodyText"/>
        <w:rPr/>
      </w:pPr>
      <w:r>
        <w:rPr/>
        <w:t>The central question of this paper is: Can LLMs learn causal graphs from text and use them for intervention-based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pPr>
        <w:pStyle w:val="BodyText"/>
        <w:rPr/>
      </w:pPr>
      <w:r>
        <w:rPr/>
        <w:t>Specifically, we make four testable contributions: (1) a text-to-graph extraction module that outputs normalized variables and directed edges with self-consistency confidence; (2) an SCM induction stage that maps extracted graphs to executable structural equations; (3) an intervention-refinement loop that iteratively removes graph candidates inconsistent with intervention outcomes; and (4) a benchmark evaluation protocol on synthetic and real-text domains with fixed splits, fixed seeds, and explicit metrics (SHD, intervention accuracy, counterfactual consistency).</w:t>
      </w:r>
    </w:p>
    <w:p>
      <w:pPr>
        <w:pStyle w:val="Heading1"/>
        <w:ind w:hanging="0"/>
        <w:rPr/>
      </w:pPr>
      <w:r>
        <w:rPr/>
        <w:t>Related Work</w:t>
      </w:r>
    </w:p>
    <w:p>
      <w:pPr>
        <w:pStyle w:val="Heading2"/>
        <w:rPr/>
      </w:pPr>
      <w:r>
        <w:rPr/>
        <w:t>Causal Discovery</w:t>
      </w:r>
    </w:p>
    <w:p>
      <w:pPr>
        <w:pStyle w:val="BodyText"/>
        <w:rPr/>
      </w:pPr>
      <w:r>
        <w:rPr/>
        <w:t>Traditional causal discovery relies on conditional independence tests such as the PC and FCI algorithms [4], score-based methods like GES [5], or functional assumptions including Additive Noise Models and LiNGAM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pPr>
        <w:pStyle w:val="Heading2"/>
        <w:rPr/>
      </w:pPr>
      <w:r>
        <w:rPr/>
        <w:t>Causal Representation Learning</w:t>
      </w:r>
    </w:p>
    <w:p>
      <w:pPr>
        <w:pStyle w:val="BodyText"/>
        <w:rPr/>
      </w:pPr>
      <w:r>
        <w:rPr/>
        <w:t>Recent work explores learning disentangled causal variables from raw data such as images and temporal sequences [7], aiming to recover latent causal structure from high-dimensional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pPr>
        <w:pStyle w:val="Heading2"/>
        <w:rPr/>
      </w:pPr>
      <w:r>
        <w:rPr/>
        <w:t>Language Models and Reasoning</w:t>
      </w:r>
    </w:p>
    <w:p>
      <w:pPr>
        <w:pStyle w:val="BodyText"/>
        <w:rPr/>
      </w:pPr>
      <w:r>
        <w:rPr/>
        <w:t>LLMs have demonstrated capabilities in logical reasoning, multi-step planning, and tool use [8], [9]. However, systematic evaluations under counterfactual perturbations reveal that much of this apparent reasoning relies on surface correlations and memorized patterns rather than genuine causal understanding [10]. Chain-of-thought prompting and self-consistency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pPr>
        <w:pStyle w:val="Heading2"/>
        <w:rPr/>
      </w:pPr>
      <w:r>
        <w:rPr/>
        <w:t>Language-to-Causality</w:t>
      </w:r>
    </w:p>
    <w:p>
      <w:pPr>
        <w:pStyle w:val="BodyText"/>
        <w:rPr/>
      </w:pPr>
      <w:r>
        <w:rP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intervention-based validation in a closed loop where each component informs and refines the others.</w:t>
      </w:r>
    </w:p>
    <w:p>
      <w:pPr>
        <w:pStyle w:val="Heading1"/>
        <w:ind w:hanging="0"/>
        <w:rPr/>
      </w:pPr>
      <w:r>
        <w:rPr/>
        <w:t>Problem Formulation</w:t>
      </w:r>
    </w:p>
    <w:p>
      <w:pPr>
        <w:pStyle w:val="BodyText"/>
        <w:rPr/>
      </w:pPr>
      <w:r>
        <w:rPr/>
        <w:t>Let T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p>
      <w:pPr>
        <w:pStyle w:val="equation"/>
        <w:tabs>
          <w:tab w:val="center" w:pos="2520" w:leader="none"/>
          <w:tab w:val="center" w:pos="4680" w:leader="none"/>
          <w:tab w:val="right" w:pos="5040" w:leader="none"/>
          <w:tab w:val="right" w:pos="9360" w:leader="none"/>
        </w:tabs>
        <w:jc w:val="center"/>
        <w:rPr/>
      </w:pPr>
      <w:r>
        <w:rPr/>
      </w:r>
      <ns3:oMath>
        <ns3:sSub>
          <ns3:e>
            <ns3:r>
              <ns3:t xml:space="preserve">X</ns3:t>
            </ns3:r>
          </ns3:e>
          <ns3:sub>
            <ns3:r>
              <ns3:t xml:space="preserve">i</ns3:t>
            </ns3:r>
          </ns3:sub>
        </ns3:sSub>
        <ns3:r>
          <ns3:rPr>
            <ns3:lit/>
            <ns3:nor/>
          </ns3:rPr>
          <ns3:t xml:space="preserve">=</ns3:t>
        </ns3:r>
        <ns3:sSub>
          <ns3:e>
            <ns3:r>
              <ns3:t xml:space="preserve">f</ns3:t>
            </ns3:r>
          </ns3:e>
          <ns3:sub>
            <ns3:r>
              <ns3:t xml:space="preserve">i</ns3:t>
            </ns3:r>
          </ns3:sub>
        </ns3:sSub>
        <ns3:r>
          <ns3:t xml:space="preserve">(</ns3:t>
        </ns3:r>
        <ns3:r>
          <ns3:t xml:space="preserve">Pa</ns3:t>
        </ns3:r>
        <ns3:r>
          <ns3:t xml:space="preserve">(</ns3:t>
        </ns3:r>
        <ns3:sSub>
          <ns3:e>
            <ns3:r>
              <ns3:t xml:space="preserve">X</ns3:t>
            </ns3:r>
          </ns3:e>
          <ns3:sub>
            <ns3:r>
              <ns3:t xml:space="preserve">i</ns3:t>
            </ns3:r>
          </ns3:sub>
        </ns3:sSub>
        <ns3:r>
          <ns3:t xml:space="preserve">)</ns3:t>
        </ns3:r>
        <ns3:r>
          <ns3:t xml:space="preserve">,</ns3:t>
        </ns3:r>
        <ns3:sSub>
          <ns3:e>
            <ns3:r>
              <ns3:t xml:space="preserve">U</ns3:t>
            </ns3:r>
          </ns3:e>
          <ns3:sub>
            <ns3:r>
              <ns3:t xml:space="preserve">i</ns3:t>
            </ns3:r>
          </ns3:sub>
        </ns3:sSub>
        <ns3:r>
          <ns3:t xml:space="preserve">)</ns3:t>
        </ns3:r>
        <ns3:r>
          <ns3:t xml:space="preserve">,</ns3:t>
        </ns3:r>
        <ns3:sSub>
          <ns3:e>
            <ns3:r>
              <ns3:t xml:space="preserve">U</ns3:t>
            </ns3:r>
          </ns3:e>
          <ns3:sub>
            <ns3:r>
              <ns3:t xml:space="preserve">i</ns3:t>
            </ns3:r>
          </ns3:sub>
        </ns3:sSub>
        <ns3:r>
          <ns3:rPr>
            <ns3:lit/>
            <ns3:nor/>
          </ns3:rPr>
          <ns3:t xml:space="preserve"> </ns3:t>
        </ns3:r>
        <ns3:r>
          <ns3:t xml:space="preserve">P</ns3:t>
        </ns3:r>
        <ns3:r>
          <ns3:t xml:space="preserve">(</ns3:t>
        </ns3:r>
        <ns3:sSub>
          <ns3:e>
            <ns3:r>
              <ns3:t xml:space="preserve">U</ns3:t>
            </ns3:r>
          </ns3:e>
          <ns3:sub>
            <ns3:r>
              <ns3:t xml:space="preserve">i</ns3:t>
            </ns3:r>
          </ns3:sub>
        </ns3:sSub>
        <ns3:r>
          <ns3:t xml:space="preserve">)</ns3:t>
        </ns3:r>
      </ns3:oMath>
      <w:r>
        <w:rPr/>
        <w:tab/>
        <w:t>(1)</w:t>
      </w:r>
    </w:p>
    <w:p>
      <w:pPr>
        <w:pStyle w:val="BodyText"/>
        <w:rPr/>
      </w:pPr>
      <w:r>
        <w:rPr/>
        <w:t>where Pa(Xᵢ) denotes the parents of Xᵢ in G. We aim to learn M such that: (1) G reflects the causal relations implied by T; (2) M supports valid interventional queries:</w:t>
      </w:r>
    </w:p>
    <w:p>
      <w:pPr>
        <w:pStyle w:val="equation"/>
        <w:tabs>
          <w:tab w:val="center" w:pos="2520" w:leader="none"/>
          <w:tab w:val="center" w:pos="4680" w:leader="none"/>
          <w:tab w:val="right" w:pos="5040" w:leader="none"/>
          <w:tab w:val="right" w:pos="9360" w:leader="none"/>
        </w:tabs>
        <w:jc w:val="center"/>
        <w:rPr/>
      </w:pPr>
      <w:r>
        <w:rPr/>
      </w:r>
      <ns3:oMath>
        <ns3:r>
          <ns3:t xml:space="preserve">P</ns3:t>
        </ns3:r>
        <ns3:r>
          <ns3:t xml:space="preserve">(</ns3:t>
        </ns3:r>
        <ns3:r>
          <ns3:t xml:space="preserve">Y</ns3:t>
        </ns3:r>
        <ns3:r>
          <ns3:t xml:space="preserve">∨</ns3:t>
        </ns3:r>
        <ns3:r>
          <ns3:t xml:space="preserve">do</ns3:t>
        </ns3:r>
        <ns3:r>
          <ns3:t xml:space="preserve">(</ns3:t>
        </ns3:r>
        <ns3:r>
          <ns3:t xml:space="preserve">X</ns3:t>
        </ns3:r>
        <ns3:r>
          <ns3:rPr>
            <ns3:lit/>
            <ns3:nor/>
          </ns3:rPr>
          <ns3:t xml:space="preserve">=</ns3:t>
        </ns3:r>
        <ns3:r>
          <ns3:t xml:space="preserve">x</ns3:t>
        </ns3:r>
        <ns3:r>
          <ns3:t xml:space="preserve">)</ns3:t>
        </ns3:r>
        <ns3:r>
          <ns3:t xml:space="preserve">)</ns3:t>
        </ns3:r>
      </ns3:oMath>
      <w:r>
        <w:rPr/>
        <w:tab/>
        <w:t>(2)</w:t>
      </w:r>
    </w:p>
    <w:p>
      <w:pPr>
        <w:pStyle w:val="BodyText"/>
        <w:rPr/>
      </w:pPr>
      <w:r>
        <w:rPr/>
        <w:t>consistent with the do-calculus; and (3) counterfactual predictions from the abduction-action-prediction procedure are consistent under intervention. The problem is challenging because text frequently omits confounders and the mapping from text to causal variables is many-to-many.</w:t>
      </w:r>
    </w:p>
    <w:p>
      <w:pPr>
        <w:pStyle w:val="Heading1"/>
        <w:ind w:hanging="0"/>
        <w:rPr/>
      </w:pPr>
      <w:r>
        <w:rPr/>
        <w:t>Methodology</w:t>
      </w:r>
    </w:p>
    <w:p>
      <w:pPr>
        <w:pStyle w:val="BodyText"/>
        <w:rPr/>
      </w:pPr>
      <w:r>
        <w:rPr/>
        <w:t>Our system consists of five stages forming a closed causal learning loop, illustrated in Figure 1: (1) causal variable extraction from text, (2) candidate graph induction, (3) SCM construction, (4) LLM-driven intervention design, and (5) intervention-based validation and refinement.</w:t>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426200" cy="1344930"/>
            <wp:effectExtent l="0" t="0" r="0" b="0"/>
            <wp:wrapSquare wrapText="largest"/>
            <wp:docPr id="1" name="Image1"/>
            <wp:cNvGraphicFramePr>
              <a:graphicFrameLocks noChangeAspect="1"/>
            </wp:cNvGraphicFramePr>
            <a:graphic>
              <a:graphicData uri="http://schemas.openxmlformats.org/drawingml/2006/picture">
                <ns6:pic>
                  <ns6:nvPicPr>
                    <ns6:cNvPr id="1" name="Image1"/>
                    <ns6:cNvPicPr>
                      <a:picLocks noChangeAspect="1" noChangeArrowheads="1"/>
                    </ns6:cNvPicPr>
                  </ns6:nvPicPr>
                  <ns6:blipFill>
                    <a:blip r:embed="rId5"/>
                    <a:stretch>
                      <a:fillRect/>
                    </a:stretch>
                  </ns6:blipFill>
                  <ns6:spPr bwMode="auto">
                    <a:xfrm>
                      <a:off x="0" y="0"/>
                      <a:ext cx="6426200" cy="1344930"/>
                    </a:xfrm>
                    <a:prstGeom prst="rect">
                      <a:avLst/>
                    </a:prstGeom>
                    <a:noFill/>
                  </ns6:spPr>
                </ns6:pic>
              </a:graphicData>
            </a:graphic>
          </wp:anchor>
        </w:drawing>
      </w:r>
    </w:p>
    <w:p>
      <w:pPr>
        <w:pStyle w:val="figurecaption"/>
        <w:numPr>
          <w:ilvl w:val="0"/>
          <w:numId w:val="3"/>
        </w:numPr>
        <w:ind w:hanging="0" w:start="0"/>
        <w:jc w:val="center"/>
        <w:rPr/>
      </w:pPr>
      <w:r>
        <w:rPr/>
        <w:t>Figure 1. Overview of the closed-loop causal discovery pipeline. The LLM drives extraction (Stage 1) and intervention design (Stage 4). The red arrow indicates the iterative refinement loop.</w:t>
      </w:r>
    </w:p>
    <w:p>
      <w:pPr>
        <w:pStyle w:val="Heading2"/>
        <w:rPr/>
      </w:pPr>
      <w:r>
        <w:rPr/>
        <w:t>Causal Graph Extraction from Text</w:t>
      </w:r>
    </w:p>
    <w:p>
      <w:pPr>
        <w:pStyle w:val="BodyText"/>
        <w:rPr/>
      </w:pPr>
      <w:r>
        <w:rP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machine-readable results.</w:t>
      </w:r>
    </w:p>
    <w:p>
      <w:pPr>
        <w:pStyle w:val="BodyText"/>
        <w:rPr/>
      </w:pPr>
      <w:r>
        <w:rPr/>
        <w:t>For example, from a medical text describing smoking and lung cancer, the system extracts variables {Smoking, Tar_Deposition, Lung_Cancer} with edges Smoking → Tar_Deposition → Lung_Cancer. Three post-processing steps are applied: entity normalization to merge synonymous references (e.g., “cigarette use” and “smoking”), DAG consistency checks to detect and remove cycles introduced by ambiguous text, and edge confidence scoring via self-consistency sampling across K = 10 independent LLM decoding passes. Edges appearing in fewer than 60% of samples are flagged as uncertain and subjected to additional validation in the intervention stage.</w:t>
      </w:r>
    </w:p>
    <w:p>
      <w:pPr>
        <w:pStyle w:val="Heading2"/>
        <w:rPr/>
      </w:pPr>
      <w:r>
        <w:rPr/>
        <w:t>Structural Causal Model Induction</w:t>
      </w:r>
    </w:p>
    <w:p>
      <w:pPr>
        <w:pStyle w:val="BodyText"/>
        <w:rPr/>
      </w:pPr>
      <w:r>
        <w:rP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pPr>
        <w:pStyle w:val="BodyText"/>
        <w:rPr/>
      </w:pPr>
      <w:r>
        <w:rPr/>
        <w:t>When observational data is unavailable, we leverage LLM-suggested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pPr>
        <w:pStyle w:val="Heading2"/>
        <w:rPr/>
      </w:pPr>
      <w:r>
        <w:rPr/>
        <w:t>LLM-Driven Intervention Design</w:t>
      </w:r>
    </w:p>
    <w:p>
      <w:pPr>
        <w:pStyle w:val="BodyText"/>
        <w:rPr/>
      </w:pPr>
      <w:r>
        <w:rP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do(Tar_Deposition = 0), along with expected downstream effects under each candidate graph.</w:t>
      </w:r>
    </w:p>
    <w:p>
      <w:pPr>
        <w:pStyle w:val="BodyText"/>
        <w:rPr/>
      </w:pPr>
      <w:r>
        <w:rP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pPr>
        <w:pStyle w:val="Heading2"/>
        <w:rPr/>
      </w:pPr>
      <w:r>
        <w:rPr/>
        <w:t>Intervention-Based Validation</w:t>
      </w:r>
    </w:p>
    <w:p>
      <w:pPr>
        <w:pStyle w:val="BodyText"/>
        <w:rPr/>
      </w:pPr>
      <w:r>
        <w:rPr/>
        <w:t>Each proposed intervention is evaluated by executing simulated SCM rollouts. For each candidate graph Gₖ and corresponding SCM Mₖ, we compute:</w:t>
      </w:r>
    </w:p>
    <w:p>
      <w:pPr>
        <w:pStyle w:val="equation"/>
        <w:tabs>
          <w:tab w:val="center" w:pos="2520" w:leader="none"/>
          <w:tab w:val="center" w:pos="4680" w:leader="none"/>
          <w:tab w:val="right" w:pos="5040" w:leader="none"/>
          <w:tab w:val="right" w:pos="9360" w:leader="none"/>
        </w:tabs>
        <w:jc w:val="center"/>
        <w:rPr/>
      </w:pPr>
      <w:r>
        <w:rPr/>
      </w:r>
      <ns3:oMath>
        <ns3:sSub>
          <ns3:e>
            <ns3:r>
              <ns3:t xml:space="preserve">P</ns3:t>
            </ns3:r>
          </ns3:e>
          <ns3:sub>
            <ns3:r>
              <ns3:t xml:space="preserve">Mk</ns3:t>
            </ns3:r>
          </ns3:sub>
        </ns3:sSub>
        <ns3:r>
          <ns3:t xml:space="preserve">(</ns3:t>
        </ns3:r>
        <ns3:r>
          <ns3:t xml:space="preserve">Y</ns3:t>
        </ns3:r>
        <ns3:r>
          <ns3:t xml:space="preserve">∨</ns3:t>
        </ns3:r>
        <ns3:r>
          <ns3:t xml:space="preserve">do</ns3:t>
        </ns3:r>
        <ns3:r>
          <ns3:t xml:space="preserve">(</ns3:t>
        </ns3:r>
        <ns3:r>
          <ns3:t xml:space="preserve">X</ns3:t>
        </ns3:r>
        <ns3:r>
          <ns3:rPr>
            <ns3:lit/>
            <ns3:nor/>
          </ns3:rPr>
          <ns3:t xml:space="preserve">=</ns3:t>
        </ns3:r>
        <ns3:r>
          <ns3:t xml:space="preserve">x</ns3:t>
        </ns3:r>
        <ns3:r>
          <ns3:t xml:space="preserve">)</ns3:t>
        </ns3:r>
        <ns3:r>
          <ns3:t xml:space="preserve">)</ns3:t>
        </ns3:r>
      </ns3:oMath>
      <w:r>
        <w:rPr/>
        <w:tab/>
        <w:t>(3)</w:t>
      </w:r>
    </w:p>
    <w:p>
      <w:pPr>
        <w:pStyle w:val="BodyText"/>
        <w:rPr/>
      </w:pPr>
      <w:r>
        <w:rP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pPr>
        <w:pStyle w:val="Heading1"/>
        <w:ind w:hanging="0"/>
        <w:rPr/>
      </w:pPr>
      <w:r>
        <w:rPr/>
        <w:t>Counterfactual Reasoning</w:t>
      </w:r>
    </w:p>
    <w:p>
      <w:pPr>
        <w:pStyle w:val="BodyText"/>
        <w:rPr/>
      </w:pPr>
      <w:r>
        <w:rPr/>
        <w:t>Once a validated SCM M is obtained, we answer counterfactual queries following Pearl’s three-step procedure [2]: (1) abduction—infer exogenous noise U from observed evidence; (2) action—apply the hypothetical intervention; (3) prediction—compute the outcome under the modified model. The counterfactual outcome is:</w:t>
      </w:r>
    </w:p>
    <w:p>
      <w:pPr>
        <w:pStyle w:val="equation"/>
        <w:tabs>
          <w:tab w:val="center" w:pos="2520" w:leader="none"/>
          <w:tab w:val="center" w:pos="4680" w:leader="none"/>
          <w:tab w:val="right" w:pos="5040" w:leader="none"/>
          <w:tab w:val="right" w:pos="9360" w:leader="none"/>
        </w:tabs>
        <w:jc w:val="center"/>
        <w:rPr/>
      </w:pPr>
      <w:r>
        <w:rPr/>
        <w:tab/>
      </w:r>
      <w:r>
        <w:rPr/>
      </w:r>
      <ns3:oMath>
        <ns3:sSub>
          <ns3:e>
            <ns3:r>
              <ns3:t xml:space="preserve">Y</ns3:t>
            </ns3:r>
          </ns3:e>
          <ns3:sub>
            <ns3:r>
              <ns3:t xml:space="preserve">x</ns3:t>
            </ns3:r>
            <ns3:r>
              <ns3:t xml:space="preserve">′</ns3:t>
            </ns3:r>
          </ns3:sub>
        </ns3:sSub>
        <ns3:r>
          <ns3:t xml:space="preserve">(</ns3:t>
        </ns3:r>
        <ns3:r>
          <ns3:t xml:space="preserve">u</ns3:t>
        </ns3:r>
        <ns3:r>
          <ns3:t xml:space="preserve">)</ns3:t>
        </ns3:r>
        <ns3:r>
          <ns3:rPr>
            <ns3:lit/>
            <ns3:nor/>
          </ns3:rPr>
          <ns3:t xml:space="preserve">=</ns3:t>
        </ns3:r>
        <ns3:sSub>
          <ns3:e>
            <ns3:r>
              <ns3:t xml:space="preserve">f</ns3:t>
            </ns3:r>
          </ns3:e>
          <ns3:sub>
            <ns3:r>
              <ns3:t xml:space="preserve">Y</ns3:t>
            </ns3:r>
          </ns3:sub>
        </ns3:sSub>
        <ns3:r>
          <ns3:t xml:space="preserve">(</ns3:t>
        </ns3:r>
        <ns3:r>
          <ns3:t xml:space="preserve">x</ns3:t>
        </ns3:r>
        <ns3:r>
          <ns3:t xml:space="preserve">′</ns3:t>
        </ns3:r>
        <ns3:r>
          <ns3:t xml:space="preserve">,</ns3:t>
        </ns3:r>
        <ns3:sSub>
          <ns3:e>
            <ns3:r>
              <ns3:t xml:space="preserve">u</ns3:t>
            </ns3:r>
          </ns3:e>
          <ns3:sub>
            <ns3:r>
              <ns3:t xml:space="preserve">Y</ns3:t>
            </ns3:r>
          </ns3:sub>
        </ns3:sSub>
        <ns3:r>
          <ns3:t xml:space="preserve">)</ns3:t>
        </ns3:r>
      </ns3:oMath>
      <w:r>
        <w:rPr/>
        <w:t>(4)</w:t>
      </w:r>
    </w:p>
    <w:p>
      <w:pPr>
        <w:pStyle w:val="BodyText"/>
        <w:rPr/>
      </w:pPr>
      <w:r>
        <w:rPr/>
        <w:t>where u_Y is inferred from factual observations via abduction. Crucially, the LLM is constrained to operate through explicit SCM execution rather than free-form speculation. The LLM’s role is limited to translating natural language counterfactual questions into formal do-operator expressions; all subsequent computation is performed by running the structural equations with modified inputs. This ensures consistency with the learned causal model and dramatically reduces hallucinated counterfactuals—a common and well-documented failure mode when LLMs attempt counterfactual reasoning without formal grounding [10].</w:t>
      </w:r>
    </w:p>
    <w:p>
      <w:pPr>
        <w:pStyle w:val="Heading1"/>
        <w:ind w:hanging="0"/>
        <w:rPr/>
      </w:pPr>
      <w:r>
        <w:rPr/>
        <w:t>Experiments</w:t>
      </w:r>
    </w:p>
    <w:p>
      <w:pPr>
        <w:pStyle w:val="Heading2"/>
        <w:rPr/>
      </w:pPr>
      <w:r>
        <w:rPr/>
        <w:t>Synthetic Benchmarks</w:t>
      </w:r>
    </w:p>
    <w:p>
      <w:pPr>
        <w:pStyle w:val="BodyText"/>
        <w:rPr/>
      </w:pPr>
      <w:r>
        <w:rPr/>
        <w:t>We generate textual descriptions of known SCMs with three canonical structures shown in Figure 2: chains (X → Y → Z), forks (X ← Z → Y), and colliders (X → Z ← Y). Each structure is instantiated with 5–15 variables and described in natural language paragraphs of 200–500 words. We generate 100 instances per structure type (300 total).</w:t>
      </w:r>
    </w:p>
    <w:p>
      <w:pPr>
        <w:pStyle w:val="Normal"/>
        <w:rPr/>
      </w:pPr>
      <w:r>
        <w:rPr/>
        <w:drawing>
          <wp:inline distT="0" distB="0" distL="0" distR="0">
            <wp:extent cx="3017520" cy="1205230"/>
            <wp:effectExtent l="0" t="0" r="0" b="0"/>
            <wp:docPr id="2" name="Picture 2"/>
            <wp:cNvGraphicFramePr>
              <a:graphicFrameLocks noChangeAspect="1"/>
            </wp:cNvGraphicFramePr>
            <a:graphic>
              <a:graphicData uri="http://schemas.openxmlformats.org/drawingml/2006/picture">
                <ns6:pic>
                  <ns6:nvPicPr>
                    <ns6:cNvPr id="2" name="Picture 2"/>
                    <ns6:cNvPicPr>
                      <a:picLocks noChangeAspect="1" noChangeArrowheads="1"/>
                    </ns6:cNvPicPr>
                  </ns6:nvPicPr>
                  <ns6:blipFill>
                    <a:blip r:embed="rId6"/>
                    <a:stretch>
                      <a:fillRect/>
                    </a:stretch>
                  </ns6:blipFill>
                  <ns6:spPr bwMode="auto">
                    <a:xfrm>
                      <a:off x="0" y="0"/>
                      <a:ext cx="3017520" cy="1205230"/>
                    </a:xfrm>
                    <a:prstGeom prst="rect">
                      <a:avLst/>
                    </a:prstGeom>
                    <a:noFill/>
                  </ns6:spPr>
                </ns6:pic>
              </a:graphicData>
            </a:graphic>
          </wp:inline>
        </w:drawing>
      </w:r>
    </w:p>
    <w:p>
      <w:pPr>
        <w:pStyle w:val="figurecaption"/>
        <w:numPr>
          <w:ilvl w:val="0"/>
          <w:numId w:val="3"/>
        </w:numPr>
        <w:ind w:hanging="0" w:start="0"/>
        <w:jc w:val="center"/>
        <w:rPr/>
      </w:pPr>
      <w:r>
        <w:rPr/>
        <w:t>Figure 2. Three canonical causal structures used in synthetic benchmarks: (a) chain, (b) fork, and (c) collider.</w:t>
      </w:r>
    </w:p>
    <w:p>
      <w:pPr>
        <w:pStyle w:val="BodyText"/>
        <w:rPr/>
      </w:pPr>
      <w:r>
        <w:rPr/>
        <w:t>We evaluate with three metrics: Structural Hamming Distance (SHD), intervention accuracy (fraction of intervention queries where absolute probability error is at most 0.05), and counterfactual consistency (fraction of counterfactual checks that satisfy the predefined identity constraints).</w:t>
      </w:r>
    </w:p>
    <w:p>
      <w:pPr>
        <w:pStyle w:val="Normal"/>
        <w:rPr/>
      </w:pPr>
      <w:r>
        <w:rPr/>
        <w:t>Metric details are defined as follows.</w:t>
      </w:r>
    </w:p>
    <w:p>
      <w:pPr>
        <w:pStyle w:val="equation"/>
        <w:jc w:val="center"/>
        <w:rPr/>
      </w:pPr>
      <w:r>
        <w:rPr/>
      </w:r>
      <ns3:oMath>
        <ns3:r>
          <ns3:t xml:space="preserve">SHD</ns3:t>
        </ns3:r>
        <ns3:r>
          <ns3:rPr>
            <ns3:lit/>
            <ns3:nor/>
          </ns3:rPr>
          <ns3:t xml:space="preserve">=</ns3:t>
        </ns3:r>
        <ns3:d>
          <ns3:dPr>
            <ns3:begChr ns3:val="|"/>
            <ns3:endChr ns3:val="|"/>
          </ns3:dPr>
          <ns3:e>
            <ns3:sSub>
              <ns3:e>
                <ns3:r>
                  <ns3:t xml:space="preserve">E</ns3:t>
                </ns3:r>
              </ns3:e>
              <ns3:sub>
                <ns3:r>
                  <ns3:t xml:space="preserve">pred</ns3:t>
                </ns3:r>
              </ns3:sub>
            </ns3:sSub>
            <ns3:r>
              <ns3:t xml:space="preserve">Δ</ns3:t>
            </ns3:r>
            <ns3:sSub>
              <ns3:e>
                <ns3:r>
                  <ns3:t xml:space="preserve">E</ns3:t>
                </ns3:r>
              </ns3:e>
              <ns3:sub>
                <ns3:r>
                  <ns3:t xml:space="preserve">gold</ns3:t>
                </ns3:r>
              </ns3:sub>
            </ns3:sSub>
          </ns3:e>
        </ns3:d>
      </ns3:oMath>
      <w:r>
        <w:rPr/>
        <w:t xml:space="preserve"> </w:t>
      </w:r>
      <w:r>
        <w:rPr/>
        <w:t>(5)</w:t>
      </w:r>
    </w:p>
    <w:p>
      <w:pPr>
        <w:pStyle w:val="equation"/>
        <w:jc w:val="center"/>
        <w:rPr/>
      </w:pPr>
      <w:r>
        <w:rPr/>
      </w:r>
      <ns3:oMath>
        <ns3:sSub>
          <ns3:e>
            <ns3:r>
              <ns3:t xml:space="preserve">Acc</ns3:t>
            </ns3:r>
          </ns3:e>
          <ns3:sub>
            <ns3:nary>
              <ns3:naryPr>
                <ns3:chr ns3:val="∫"/>
                <ns3:subHide ns3:val="1"/>
                <ns3:supHide ns3:val="1"/>
              </ns3:naryPr>
              <ns3:sub/>
              <ns3:sup/>
              <ns3:e/>
            </ns3:nary>
          </ns3:sub>
        </ns3:sSub>
        <ns3:r>
          <ns3:t xml:space="preserve">(</ns3:t>
        </ns3:r>
        <ns3:f>
          <ns3:fPr>
            <ns3:type ns3:val="lin"/>
          </ns3:fPr>
          <ns3:num>
            <ns3:r>
              <ns3:t xml:space="preserve">1</ns3:t>
            </ns3:r>
          </ns3:num>
          <ns3:den>
            <ns3:r>
              <ns3:t xml:space="preserve">N</ns3:t>
            </ns3:r>
          </ns3:den>
        </ns3:f>
        <ns3:r>
          <ns3:t xml:space="preserve">)</ns3:t>
        </ns3:r>
        <ns3:r>
          <ns3:t xml:space="preserve">Σ</ns3:t>
        </ns3:r>
        <ns3:r>
          <ns3:t xml:space="preserve">I</ns3:t>
        </ns3:r>
        <ns3:r>
          <ns3:t xml:space="preserve">(</ns3:t>
        </ns3:r>
        <ns3:r>
          <ns3:t xml:space="preserve">∨</ns3:t>
        </ns3:r>
        <ns3:sSub>
          <ns3:e>
            <ns3:r>
              <ns3:t xml:space="preserve">P</ns3:t>
            </ns3:r>
          </ns3:e>
          <ns3:sub>
            <ns3:r>
              <ns3:t xml:space="preserve">pred</ns3:t>
            </ns3:r>
          </ns3:sub>
        </ns3:sSub>
        <ns3:r>
          <ns3:t xml:space="preserve">(</ns3:t>
        </ns3:r>
        <ns3:r>
          <ns3:t xml:space="preserve">Y</ns3:t>
        </ns3:r>
        <ns3:r>
          <ns3:t xml:space="preserve">∨</ns3:t>
        </ns3:r>
        <ns3:r>
          <ns3:t xml:space="preserve">do</ns3:t>
        </ns3:r>
        <ns3:r>
          <ns3:t xml:space="preserve">(</ns3:t>
        </ns3:r>
        <ns3:r>
          <ns3:t xml:space="preserve">X</ns3:t>
        </ns3:r>
        <ns3:r>
          <ns3:rPr>
            <ns3:lit/>
            <ns3:nor/>
          </ns3:rPr>
          <ns3:t xml:space="preserve">=</ns3:t>
        </ns3:r>
        <ns3:r>
          <ns3:t xml:space="preserve">x</ns3:t>
        </ns3:r>
        <ns3:r>
          <ns3:t xml:space="preserve">)</ns3:t>
        </ns3:r>
        <ns3:r>
          <ns3:t xml:space="preserve">)</ns3:t>
        </ns3:r>
        <ns3:r>
          <ns3:t xml:space="preserve">−</ns3:t>
        </ns3:r>
        <ns3:sSub>
          <ns3:e>
            <ns3:r>
              <ns3:t xml:space="preserve">P</ns3:t>
            </ns3:r>
          </ns3:e>
          <ns3:sub>
            <ns3:r>
              <ns3:t xml:space="preserve">gold</ns3:t>
            </ns3:r>
          </ns3:sub>
        </ns3:sSub>
        <ns3:r>
          <ns3:t xml:space="preserve">(</ns3:t>
        </ns3:r>
        <ns3:r>
          <ns3:t xml:space="preserve">Y</ns3:t>
        </ns3:r>
        <ns3:r>
          <ns3:t xml:space="preserve">∨</ns3:t>
        </ns3:r>
        <ns3:r>
          <ns3:t xml:space="preserve">do</ns3:t>
        </ns3:r>
        <ns3:r>
          <ns3:t xml:space="preserve">(</ns3:t>
        </ns3:r>
        <ns3:r>
          <ns3:t xml:space="preserve">X</ns3:t>
        </ns3:r>
        <ns3:r>
          <ns3:rPr>
            <ns3:lit/>
            <ns3:nor/>
          </ns3:rPr>
          <ns3:t xml:space="preserve">=</ns3:t>
        </ns3:r>
        <ns3:r>
          <ns3:t xml:space="preserve">x</ns3:t>
        </ns3:r>
        <ns3:r>
          <ns3:t xml:space="preserve">)</ns3:t>
        </ns3:r>
        <ns3:r>
          <ns3:t xml:space="preserve">)</ns3:t>
        </ns3:r>
        <ns3:r>
          <ns3:t xml:space="preserve">∨</ns3:t>
        </ns3:r>
        <ns3:r>
          <ns3:t xml:space="preserve">≤</ns3:t>
        </ns3:r>
        <ns3:r>
          <ns3:t xml:space="preserve">0.05</ns3:t>
        </ns3:r>
        <ns3:r>
          <ns3:t xml:space="preserve">)</ns3:t>
        </ns3:r>
      </ns3:oMath>
      <w:r>
        <w:rPr/>
        <w:t xml:space="preserve"> </w:t>
      </w:r>
      <w:r>
        <w:rPr/>
        <w:t>(6)</w:t>
      </w:r>
    </w:p>
    <w:p>
      <w:pPr>
        <w:pStyle w:val="equation"/>
        <w:jc w:val="center"/>
        <w:rPr/>
      </w:pPr>
      <w:r>
        <w:rPr/>
      </w:r>
      <ns3:oMath>
        <ns3:sSub>
          <ns3:e>
            <ns3:r>
              <ns3:t xml:space="preserve">Cons</ns3:t>
            </ns3:r>
          </ns3:e>
          <ns3:sub>
            <ns3:r>
              <ns3:t xml:space="preserve">cf</ns3:t>
            </ns3:r>
          </ns3:sub>
        </ns3:sSub>
        <ns3:r>
          <ns3:rPr>
            <ns3:lit/>
            <ns3:nor/>
          </ns3:rPr>
          <ns3:t xml:space="preserve">=</ns3:t>
        </ns3:r>
        <ns3:f>
          <ns3:num>
            <ns3:r>
              <ns3:t xml:space="preserve">1</ns3:t>
            </ns3:r>
          </ns3:num>
          <ns3:den>
            <ns3:r>
              <ns3:t xml:space="preserve">M</ns3:t>
            </ns3:r>
          </ns3:den>
        </ns3:f>
        <ns3:nary>
          <ns3:naryPr>
            <ns3:chr ns3:val="∑"/>
          </ns3:naryPr>
          <ns3:sub>
            <ns3:r>
              <ns3:t xml:space="preserve">j</ns3:t>
            </ns3:r>
            <ns3:r>
              <ns3:rPr>
                <ns3:lit/>
                <ns3:nor/>
              </ns3:rPr>
              <ns3:t xml:space="preserve">=</ns3:t>
            </ns3:r>
            <ns3:r>
              <ns3:t xml:space="preserve">1</ns3:t>
            </ns3:r>
          </ns3:sub>
          <ns3:sup>
            <ns3:r>
              <ns3:t xml:space="preserve">M</ns3:t>
            </ns3:r>
          </ns3:sup>
          <ns3:e>
            <ns3:r>
              <ns3:t xml:space="preserve">I</ns3:t>
            </ns3:r>
          </ns3:e>
        </ns3:nary>
        <ns3:d>
          <ns3:dPr>
            <ns3:begChr ns3:val="("/>
            <ns3:endChr ns3:val=")"/>
          </ns3:dPr>
          <ns3:e>
            <ns3:sSub>
              <ns3:e>
                <ns3:r>
                  <ns3:t xml:space="preserve">c</ns3:t>
                </ns3:r>
              </ns3:e>
              <ns3:sub>
                <ns3:r>
                  <ns3:t xml:space="preserve">j</ns3:t>
                </ns3:r>
              </ns3:sub>
            </ns3:sSub>
            <ns3:r>
              <ns3:rPr>
                <ns3:lit/>
                <ns3:nor/>
              </ns3:rPr>
              <ns3:t xml:space="preserve">=</ns3:t>
            </ns3:r>
            <ns3:r>
              <ns3:t xml:space="preserve">1</ns3:t>
            </ns3:r>
          </ns3:e>
        </ns3:d>
      </ns3:oMath>
      <w:r>
        <w:rPr/>
        <w:t xml:space="preserve"> </w:t>
      </w:r>
      <w:r>
        <w:rPr/>
        <w:t>(7)</w:t>
      </w:r>
    </w:p>
    <w:p>
      <w:pPr>
        <w:pStyle w:val="Normal"/>
        <w:rPr/>
      </w:pPr>
      <w:r>
        <w:rPr/>
        <w:t>Intervention probabilities are normalized to [0,1], and consistency checks are evaluated under identical SCM assumptions across methods.</w:t>
      </w:r>
    </w:p>
    <w:p>
      <w:pPr>
        <w:pStyle w:val="Normal"/>
        <w:rPr/>
      </w:pPr>
      <w:r>
        <w:rPr/>
        <w:t>Evaluation protocol: all methods are run on identical text inputs, identical train/test splits, fixed random seed (42), and identical scoring scripts. We report mean ± standard deviation across instances.</w:t>
      </w:r>
    </w:p>
    <w:p>
      <w:pPr>
        <w:pStyle w:val="Normal"/>
        <w:rPr/>
      </w:pPr>
      <w:r>
        <w:rPr/>
        <w:t>Reproducibility details: experiments use deterministic decoding (temperature=0, do_sample=False where applicable), fixed random seed 42, and identical prompt templates across compared methods unless a method definition requires otherwise. Reported tables are generated by the same evaluation scripts used for score computation, and intermediate outputs are versioned in project results directories.</w:t>
      </w:r>
    </w:p>
    <w:p>
      <w:pPr>
        <w:pStyle w:val="Normal"/>
        <w:rPr/>
      </w:pPr>
      <w:r>
        <w:rPr/>
        <w:t>Baseline parity protocol: all compared methods use the same input documents, split definitions, random seed, decoding configuration, and scoring scripts. Methods that do not include SCM execution or intervention refinement are constrained to equivalent information access except for their defining component differences.</w:t>
      </w:r>
    </w:p>
    <w:p>
      <w:pPr>
        <w:pStyle w:val="tablehead"/>
        <w:numPr>
          <w:ilvl w:val="0"/>
          <w:numId w:val="6"/>
        </w:numPr>
        <w:rPr/>
      </w:pPr>
      <w:r>
        <w:rPr/>
        <w:t>Table 1. Comparison of methods on synthetic benchmarks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1701"/>
        <w:gridCol w:w="1019"/>
        <w:gridCol w:w="1021"/>
        <w:gridCol w:w="1020"/>
      </w:tblGrid>
      <w:tr>
        <w:trPr/>
        <w:tc>
          <w:tcPr>
            <w:tcW w:w="1701" w:type="dxa"/>
            <w:tcBorders>
              <w:top w:val="single" w:sz="2" w:space="0" w:color="000000"/>
              <w:start w:val="single" w:sz="2" w:space="0" w:color="000000"/>
              <w:bottom w:val="single" w:sz="2" w:space="0" w:color="000000"/>
              <w:end w:val="single" w:sz="2" w:space="0" w:color="000000"/>
            </w:tcBorders>
          </w:tcPr>
          <w:p>
            <w:pPr>
              <w:pStyle w:val="tablecolhead"/>
              <w:rPr/>
            </w:pPr>
            <w:r>
              <w:rPr/>
              <w:t>Method</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1021"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1020"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Correlation Baseline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14.77 ± 6.65</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0.61</w:t>
            </w:r>
          </w:p>
        </w:tc>
        <w:tc>
          <w:tcPr>
            <w:tcW w:w="1020" w:type="dxa"/>
            <w:tcBorders>
              <w:top w:val="single" w:sz="2" w:space="0" w:color="000000"/>
              <w:start w:val="single" w:sz="2" w:space="0" w:color="000000"/>
              <w:bottom w:val="single" w:sz="2" w:space="0" w:color="000000"/>
              <w:end w:val="single" w:sz="2" w:space="0" w:color="000000"/>
            </w:tcBorders>
          </w:tcPr>
          <w:p>
            <w:pPr>
              <w:pStyle w:val="tablecopy"/>
              <w:rPr/>
            </w:pPr>
            <w:r>
              <w:rPr/>
              <w:t>0.61</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Only</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2.94 ± 1.81</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0.87</w:t>
            </w:r>
          </w:p>
        </w:tc>
        <w:tc>
          <w:tcPr>
            <w:tcW w:w="1020" w:type="dxa"/>
            <w:tcBorders>
              <w:top w:val="single" w:sz="2" w:space="0" w:color="000000"/>
              <w:start w:val="single" w:sz="2" w:space="0" w:color="000000"/>
              <w:bottom w:val="single" w:sz="2" w:space="0" w:color="000000"/>
              <w:end w:val="single" w:sz="2" w:space="0" w:color="000000"/>
            </w:tcBorders>
          </w:tcPr>
          <w:p>
            <w:pPr>
              <w:pStyle w:val="tablecopy"/>
              <w:rPr/>
            </w:pPr>
            <w:r>
              <w:rPr/>
              <w:t>0.88</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 SCM (No Intervention)</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1.43 ± 1.23</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0.93</w:t>
            </w:r>
          </w:p>
        </w:tc>
        <w:tc>
          <w:tcPr>
            <w:tcW w:w="1020" w:type="dxa"/>
            <w:tcBorders>
              <w:top w:val="single" w:sz="2" w:space="0" w:color="000000"/>
              <w:start w:val="single" w:sz="2" w:space="0" w:color="000000"/>
              <w:bottom w:val="single" w:sz="2" w:space="0" w:color="000000"/>
              <w:end w:val="single" w:sz="2" w:space="0" w:color="000000"/>
            </w:tcBorders>
          </w:tcPr>
          <w:p>
            <w:pPr>
              <w:pStyle w:val="tablecopy"/>
              <w:rPr/>
            </w:pPr>
            <w:r>
              <w:rPr/>
              <w:t>0.93</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Full Pipeline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0.10 ± 0.32</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0.99</w:t>
            </w:r>
          </w:p>
        </w:tc>
        <w:tc>
          <w:tcPr>
            <w:tcW w:w="1020" w:type="dxa"/>
            <w:tcBorders>
              <w:top w:val="single" w:sz="2" w:space="0" w:color="000000"/>
              <w:start w:val="single" w:sz="2" w:space="0" w:color="000000"/>
              <w:bottom w:val="single" w:sz="2" w:space="0" w:color="000000"/>
              <w:end w:val="single" w:sz="2" w:space="0" w:color="000000"/>
            </w:tcBorders>
          </w:tcPr>
          <w:p>
            <w:pPr>
              <w:pStyle w:val="tablecopy"/>
              <w:rPr/>
            </w:pPr>
            <w:r>
              <w:rPr/>
              <w:t>0.99</w:t>
            </w:r>
          </w:p>
        </w:tc>
      </w:tr>
    </w:tbl>
    <w:p>
      <w:pPr>
        <w:pStyle w:val="BodyText"/>
        <w:rPr/>
      </w:pPr>
      <w:r>
        <w:rPr/>
        <w:t>As shown in Table 1, the full pipeline has the best synthetic-benchmark performance in this implementation (SHD 0.10 ± 0.32, intervention accuracy 0.99, counterfactual consistency 0.99), while no-intervention variants and correlation baselines are weaker. These results support the value of iterative intervention-based refinement under the current evaluation setup.</w:t>
      </w:r>
    </w:p>
    <w:p>
      <w:pPr>
        <w:pStyle w:val="Heading2"/>
        <w:rPr/>
      </w:pPr>
      <w:r>
        <w:rPr/>
        <w:t>Real-World Text Domains</w:t>
      </w:r>
    </w:p>
    <w:p>
      <w:pPr>
        <w:pStyle w:val="BodyText"/>
        <w:rPr/>
      </w:pPr>
      <w:r>
        <w:rPr/>
        <w:t>We evaluate on three real-text domains: medical abstracts (PubMed-style passages), economics reports (central-bank style passages), and policy documents (regulatory intervention descriptions). For this version, each domain uses 30 curated passages with reference causal edges produced by a structured annotation protocol (schema-constrained extraction followed by manual review and normalization). We treat these labels as benchmark reference annotations and report results with this caveat.</w:t>
      </w:r>
    </w:p>
    <w:p>
      <w:pPr>
        <w:pStyle w:val="tablehead"/>
        <w:numPr>
          <w:ilvl w:val="0"/>
          <w:numId w:val="6"/>
        </w:numPr>
        <w:rPr/>
      </w:pPr>
      <w:r>
        <w:rPr/>
        <w:t>Table 2. Results on real-world text domains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952"/>
        <w:gridCol w:w="952"/>
        <w:gridCol w:w="952"/>
        <w:gridCol w:w="952"/>
        <w:gridCol w:w="953"/>
      </w:tblGrid>
      <w:tr>
        <w:trPr/>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Domain</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c>
          <w:tcPr>
            <w:tcW w:w="953" w:type="dxa"/>
            <w:tcBorders>
              <w:top w:val="single" w:sz="2" w:space="0" w:color="000000"/>
              <w:start w:val="single" w:sz="2" w:space="0" w:color="000000"/>
              <w:bottom w:val="single" w:sz="2" w:space="0" w:color="000000"/>
              <w:end w:val="single" w:sz="2" w:space="0" w:color="000000"/>
            </w:tcBorders>
          </w:tcPr>
          <w:p>
            <w:pPr>
              <w:pStyle w:val="tablecolhead"/>
              <w:rPr/>
            </w:pPr>
            <w:r>
              <w:rPr/>
              <w:t>n</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Medical</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1.37 ± 0.60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0.64</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0.70</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Economics</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1.00 ± 0.00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0.51</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Policy</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1.13 ± 0.43</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0.56</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0.58</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bl>
    <w:p>
      <w:pPr>
        <w:pStyle w:val="BodyText"/>
        <w:rPr/>
      </w:pPr>
      <w:r>
        <w:rPr/>
        <w:t>Compared against simpler baselines, the full pipeline shows better average performance on this benchmark set, with the strongest results in medical passages and weaker results in economics where causal language is often indirect. We report these as benchmark-specific outcomes rather than universal gains.</w:t>
      </w:r>
    </w:p>
    <w:p>
      <w:pPr>
        <w:pStyle w:val="Heading2"/>
        <w:rPr/>
      </w:pPr>
      <w:r>
        <w:rPr/>
        <w:t>Ablation and Convergence Analysis</w:t>
      </w:r>
    </w:p>
    <w:p>
      <w:pPr>
        <w:pStyle w:val="BodyText"/>
        <w:rPr/>
      </w:pPr>
      <w:r>
        <w:rPr/>
        <w:t>Figure 3 presents convergence behavior and method comparison. The SHD convergence plot (Figure 3a) shows that most structural errors are corrected within the first two intervention cycles, with diminishing returns thereafter. Collider structures require the most iterations due to their conditional independence patterns.</w:t>
      </w:r>
    </w:p>
    <w:p>
      <w:pPr>
        <w:pStyle w:val="Normal"/>
        <w:rPr/>
      </w:pPr>
      <w:r>
        <w:rPr/>
        <w:drawing>
          <wp:inline distT="0" distB="0" distL="0" distR="0">
            <wp:extent cx="3017520" cy="1326515"/>
            <wp:effectExtent l="0" t="0" r="0" b="0"/>
            <wp:docPr id="3" name="Picture 3"/>
            <wp:cNvGraphicFramePr>
              <a:graphicFrameLocks noChangeAspect="1"/>
            </wp:cNvGraphicFramePr>
            <a:graphic>
              <a:graphicData uri="http://schemas.openxmlformats.org/drawingml/2006/picture">
                <ns6:pic>
                  <ns6:nvPicPr>
                    <ns6:cNvPr id="3" name="Picture 3"/>
                    <ns6:cNvPicPr>
                      <a:picLocks noChangeAspect="1" noChangeArrowheads="1"/>
                    </ns6:cNvPicPr>
                  </ns6:nvPicPr>
                  <ns6:blipFill>
                    <a:blip r:embed="rId7"/>
                    <a:stretch>
                      <a:fillRect/>
                    </a:stretch>
                  </ns6:blipFill>
                  <ns6:spPr bwMode="auto">
                    <a:xfrm>
                      <a:off x="0" y="0"/>
                      <a:ext cx="3017520" cy="1326515"/>
                    </a:xfrm>
                    <a:prstGeom prst="rect">
                      <a:avLst/>
                    </a:prstGeom>
                    <a:noFill/>
                  </ns6:spPr>
                </ns6:pic>
              </a:graphicData>
            </a:graphic>
          </wp:inline>
        </w:drawing>
      </w:r>
    </w:p>
    <w:p>
      <w:pPr>
        <w:pStyle w:val="figurecaption"/>
        <w:numPr>
          <w:ilvl w:val="0"/>
          <w:numId w:val="3"/>
        </w:numPr>
        <w:ind w:hanging="0" w:start="0"/>
        <w:jc w:val="center"/>
        <w:rPr/>
      </w:pPr>
      <w:r>
        <w:rPr/>
        <w:t>Figure 3. (a) SHD convergence over intervention cycles for each structure type. (b) Counterfactual consistency comparison across methods.</w:t>
      </w:r>
    </w:p>
    <w:p>
      <w:r>
        <w:t>To diagnose structural failure modes, we decompose SHD into missing-edge and extra-edge components. Figure 4 shows that correlation baselines over-generate edges and miss many true links, while the full pipeline suppresses both error types.</w:t>
      </w:r>
    </w:p>
    <w:p>
      <w:pPr>
        <w:pStyle w:val="Normal"/>
        <w:rPr/>
      </w:pPr>
      <w:r>
        <w:rPr/>
        <w:drawing>
          <wp:inline distT="0" distB="0" distL="0" distR="0">
            <wp:extent cx="3017520" cy="1326515"/>
            <wp:effectExtent l="0" t="0" r="0" b="0"/>
            <wp:docPr id="4" name="Figure 4" descr="Error decomposition by method"/>
            <wp:cNvGraphicFramePr>
              <a:graphicFrameLocks noChangeAspect="1"/>
            </wp:cNvGraphicFramePr>
            <a:graphic>
              <a:graphicData uri="http://schemas.openxmlformats.org/drawingml/2006/picture">
                <ns6:pic>
                  <ns6:nvPicPr>
                    <ns6:cNvPr id="3" name="Picture 3"/>
                    <ns6:cNvPicPr>
                      <a:picLocks noChangeAspect="1" noChangeArrowheads="1"/>
                    </ns6:cNvPicPr>
                  </ns6:nvPicPr>
                  <ns6:blipFill>
                    <a:blip r:embed="rId13"/>
                    <a:stretch>
                      <a:fillRect/>
                    </a:stretch>
                  </ns6:blipFill>
                  <ns6:spPr bwMode="auto">
                    <a:xfrm>
                      <a:off x="0" y="0"/>
                      <a:ext cx="3017520" cy="1326515"/>
                    </a:xfrm>
                    <a:prstGeom prst="rect">
                      <a:avLst/>
                    </a:prstGeom>
                    <a:noFill/>
                  </ns6:spPr>
                </ns6:pic>
              </a:graphicData>
            </a:graphic>
          </wp:inline>
        </w:drawing>
      </w:r>
    </w:p>
    <w:p>
      <w:pPr>
        <w:pStyle w:val="figurecaption"/>
        <w:numPr>
          <w:ilvl w:val="0"/>
          <w:numId w:val="3"/>
        </w:numPr>
        <w:ind w:hanging="0" w:start="0"/>
        <w:jc w:val="center"/>
        <w:rPr/>
      </w:pPr>
      <w:r>
        <w:rPr/>
        <w:t>Figure 4. Error decomposition by method (missing vs extra edges). Bars show mean edge errors per sample; black lines show standard deviation.</w:t>
      </w:r>
    </w:p>
    <w:p>
      <w:pPr>
        <w:pStyle w:val="BodyText"/>
        <w:rPr/>
      </w:pPr>
      <w:r>
        <w:rPr/>
        <w:t>We conduct an ablation analysis to assess component contributions. The largest degradation appears when intervention feedback is removed, with clear drops in structural and counterfactual metrics relative to the full pipeline. Removing self-consistency and replacing domain-informed functional priors also reduces performance, indicating that intervention refinement, stable extraction, and informed SCM parameterization all contribute materially to final quality.</w:t>
      </w:r>
    </w:p>
    <w:p>
      <w:pPr>
        <w:pStyle w:val="Heading1"/>
        <w:ind w:hanging="0"/>
        <w:rPr/>
      </w:pPr>
      <w:r>
        <w:rPr/>
        <w:t>Discussion</w:t>
      </w:r>
    </w:p>
    <w:p>
      <w:pPr>
        <w:pStyle w:val="BodyText"/>
        <w:rPr/>
      </w:pPr>
      <w:r>
        <w:rPr/>
        <w:t>Our results support the thesis that LLMs are more reliable for causal tasks when coupled to formal structure and feedback. The closed-loop design—where hypotheses and interventions are validated against SCM behavior—reduces spurious causal claims relative to unconstrained extraction. Across our benchmark setup, the intervention loop functions as a core mechanism, not a cosmetic refinement.</w:t>
      </w:r>
    </w:p>
    <w:p>
      <w:pPr>
        <w:pStyle w:val="BodyText"/>
        <w:rPr/>
      </w:pPr>
      <w:r>
        <w:rPr/>
        <w:t>Several limitations warrant discussion. First, latent confounders remain challenging: when the source text omits important variables, the extracted graph will be incomplete, and no amount of intervention can recover unmentioned structure. Developing methods for LLM-assisted latent variable discovery is an important direction for future work. Second, textual bias propagates into graph proposals—if the LLM’s training corpus over-represents certain causal narratives, the system will preferentially extract those patterns, potentially missing alternative mechanisms. Third, scalability to very large graphs beyond 20–30 variables has not been demonstrated and may require hierarchical decomposition strategies.</w:t>
      </w:r>
    </w:p>
    <w:p>
      <w:pPr>
        <w:pStyle w:val="BodyText"/>
        <w:rPr/>
      </w:pPr>
      <w:r>
        <w:rPr/>
        <w:t>From a broader impact perspective, this work enables safer decision-support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pPr>
        <w:pStyle w:val="Heading1"/>
        <w:ind w:hanging="0"/>
        <w:rPr/>
      </w:pPr>
      <w:r>
        <w:rPr/>
        <w:t>Conclusion</w:t>
      </w:r>
    </w:p>
    <w:p>
      <w:pPr>
        <w:pStyle w:val="BodyText"/>
        <w:rPr/>
      </w:pPr>
      <w:r>
        <w:rPr/>
        <w:t>We have demonstrated that LLMs can participate meaningfully in causal discovery and counterfactual reasoning when embedded within a formal SCM framework and validated through iterative intervention. Our five-stage pipeline—spanning text-based causal extraction, graph induction, SCM construction, LLM-driven intervention design, and interventional validation—achieves substantial improvements over both correlation baselines and unconstrained LLM reasoning across synthetic and real-world domains.</w:t>
      </w:r>
    </w:p>
    <w:p>
      <w:pPr>
        <w:pStyle w:val="BodyText"/>
        <w:rPr/>
      </w:pPr>
      <w:r>
        <w:rP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real-world experimental platforms for true closed-loop causal learning.</w:t>
      </w:r>
    </w:p>
    <w:p>
      <w:pPr>
        <w:pStyle w:val="Heading5"/>
        <w:rPr/>
      </w:pPr>
      <w:r>
        <w:rPr/>
        <w:t>References</w:t>
      </w:r>
    </w:p>
    <w:p>
      <w:pPr>
        <w:pStyle w:val="references"/>
        <w:numPr>
          <w:ilvl w:val="0"/>
          <w:numId w:val="5"/>
        </w:numPr>
        <w:rPr/>
      </w:pPr>
      <w:r>
        <w:rPr/>
        <w:t>J. Pearl, “Causal inference in statistics: An overview,” Statistics Surveys, vol. 3, pp. 96–146, 2009.</w:t>
      </w:r>
    </w:p>
    <w:p>
      <w:pPr>
        <w:pStyle w:val="references"/>
        <w:numPr>
          <w:ilvl w:val="0"/>
          <w:numId w:val="5"/>
        </w:numPr>
        <w:rPr/>
      </w:pPr>
      <w:r>
        <w:rPr/>
        <w:t>J. Pearl, Causality: Models, Reasoning, and Inference, 2nd ed. Cambridge, UK: Cambridge University Press, 2009.</w:t>
      </w:r>
    </w:p>
    <w:p>
      <w:pPr>
        <w:pStyle w:val="references"/>
        <w:numPr>
          <w:ilvl w:val="0"/>
          <w:numId w:val="5"/>
        </w:numPr>
        <w:rPr/>
      </w:pPr>
      <w:r>
        <w:rPr/>
        <w:t>J. Wei et al., “Chain-of-thought prompting elicits reasoning in large language models,” in Proc. NeurIPS, 2022, pp. 24824–24837.</w:t>
      </w:r>
    </w:p>
    <w:p>
      <w:pPr>
        <w:pStyle w:val="references"/>
        <w:numPr>
          <w:ilvl w:val="0"/>
          <w:numId w:val="5"/>
        </w:numPr>
        <w:rPr/>
      </w:pPr>
      <w:r>
        <w:rPr/>
        <w:t>P. Spirtes, C. Glymour, and R. Scheines, Causation, Prediction, and Search, 2nd ed. Cambridge, MA: MIT Press, 2000.</w:t>
      </w:r>
    </w:p>
    <w:p>
      <w:pPr>
        <w:pStyle w:val="references"/>
        <w:numPr>
          <w:ilvl w:val="0"/>
          <w:numId w:val="5"/>
        </w:numPr>
        <w:rPr/>
      </w:pPr>
      <w:r>
        <w:rPr/>
        <w:t>D. M. Chickering, “Optimal structure identification with greedy search,” J. Mach. Learn. Res., vol. 3, pp. 507–554, 2002.</w:t>
      </w:r>
    </w:p>
    <w:p>
      <w:pPr>
        <w:pStyle w:val="references"/>
        <w:numPr>
          <w:ilvl w:val="0"/>
          <w:numId w:val="5"/>
        </w:numPr>
        <w:rPr/>
      </w:pPr>
      <w:r>
        <w:rPr/>
        <w:t>S. Shimizu, P. O. Hoyer, A. Hyvärinen, and A. Kerminen, “A linear non-Gaussian acyclic model for causal discovery,” J. Mach. Learn. Res., vol. 7, pp. 2003–2030, 2006.</w:t>
      </w:r>
    </w:p>
    <w:p>
      <w:pPr>
        <w:pStyle w:val="references"/>
        <w:numPr>
          <w:ilvl w:val="0"/>
          <w:numId w:val="5"/>
        </w:numPr>
        <w:rPr/>
      </w:pPr>
      <w:r>
        <w:rPr/>
        <w:t>B. Schölkopf et al., “Toward causal representation learning,” Proc. IEEE, vol. 109, no. 5, pp. 612–634, 2021.</w:t>
      </w:r>
    </w:p>
    <w:p>
      <w:pPr>
        <w:pStyle w:val="references"/>
        <w:numPr>
          <w:ilvl w:val="0"/>
          <w:numId w:val="5"/>
        </w:numPr>
        <w:rPr/>
      </w:pPr>
      <w:r>
        <w:rPr/>
        <w:t>T. Brown et al., “Language models are few-shot learners,” in Proc. NeurIPS, 2020, pp. 1877–1901.</w:t>
      </w:r>
    </w:p>
    <w:p>
      <w:pPr>
        <w:pStyle w:val="references"/>
        <w:numPr>
          <w:ilvl w:val="0"/>
          <w:numId w:val="5"/>
        </w:numPr>
        <w:rPr/>
      </w:pPr>
      <w:r>
        <w:rPr/>
        <w:t>T. Schick et al., “Toolformer: Language models can teach themselves to use tools,” in Proc. NeurIPS, 2023.</w:t>
      </w:r>
    </w:p>
    <w:p>
      <w:pPr>
        <w:pStyle w:val="references"/>
        <w:numPr>
          <w:ilvl w:val="0"/>
          <w:numId w:val="5"/>
        </w:numPr>
        <w:rPr/>
      </w:pPr>
      <w:r>
        <w:rPr/>
        <w:t>Z. Jin, Y. Liu, B. Schölkopf, and M. Baroni, “Can large language models infer causation from correlation?” in Proc. ICLR, 2024.</w:t>
      </w:r>
    </w:p>
    <w:p>
      <w:pPr>
        <w:pStyle w:val="references"/>
        <w:numPr>
          <w:ilvl w:val="0"/>
          <w:numId w:val="5"/>
        </w:numPr>
        <w:rPr/>
      </w:pPr>
      <w:r>
        <w:rPr/>
        <w:t>F. Petroni et al., “Language models as knowledge bases?” in Proc. EMNLP-IJCNLP, 2019, pp. 2463–2473.</w:t>
      </w:r>
    </w:p>
    <w:p>
      <w:pPr>
        <w:pStyle w:val="references"/>
        <w:numPr>
          <w:ilvl w:val="0"/>
          <w:numId w:val="5"/>
        </w:numPr>
        <w:rPr/>
      </w:pPr>
      <w:r>
        <w:rPr/>
        <w:t>M. Hassanpour and R. Greiner, “Learning causal relationships from text,” in Proc. AAAI Workshop on Health Intelligence, 2019.</w:t>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bCs/>
        <w:color w:val="333333"/>
        <w:sz w:val="16"/>
        <w:szCs w:val="16"/>
        <w:lang w:val="bg-BG"/>
      </w:rPr>
      <w:t>979-8-3315-6311-0/26/$31.00 ©2026 IEEE</w:t>
    </w:r>
    <w:r>
      <w:rPr>
        <w:sz w:val="16"/>
        <w:szCs w:val="1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SystemFonts/>
  <w:defaultTabStop w:val="720"/>
  <w:autoHyphenation w:val="true"/>
  <w:hyphenationZone w:val="425"/>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 Id="rId13"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29</TotalTime>
  <Application>LibreOffice/25.8.4.2$Linux_X86_64 LibreOffice_project/580$Build-2</Application>
  <AppVersion>15.0000</AppVersion>
  <Pages>5</Pages>
  <Words>2826</Words>
  <Characters>17722</Characters>
  <CharactersWithSpaces>20369</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2026-02-09T18:29:00Z</dcterms:created>
  <dc:creator>IEEE</dc:creator>
  <dc:description/>
  <dc:language>bg-BG</dc:language>
  <cp:lastModifiedBy/>
  <dcterms:modified xsi:type="dcterms:W3CDTF">2026-02-25T18:43:52Z</dcterms:modified>
  <cp:revision>6</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