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Revised Chapter 1 — Introduction</w:t>
      </w:r>
    </w:p>
    <w:p>
      <w:pPr>
        <w:pStyle w:val="IntenseQuote"/>
      </w:pPr>
      <w:r>
        <w:t>Revision notes: addresses supervisor comments C1.1–C1.5. Citations are drawn from the</w:t>
      </w:r>
    </w:p>
    <w:p>
      <w:pPr>
        <w:pStyle w:val="IntenseQuote"/>
      </w:pPr>
      <w:r>
        <w:t>author-supplied reference list (`reports/revision/references.md`). Numbers marked</w:t>
      </w:r>
    </w:p>
    <w:p>
      <w:pPr>
        <w:pStyle w:val="IntenseQuote"/>
      </w:pPr>
      <w:r>
        <w:t>"verified" come from the rebuild (`reports/phase1_report.md`,</w:t>
      </w:r>
    </w:p>
    <w:p>
      <w:pPr>
        <w:pStyle w:val="IntenseQuote"/>
      </w:pPr>
      <w:r>
        <w:t>`data_processed/panel_build_log.txt`).</w:t>
      </w:r>
    </w:p>
    <w:p>
      <w:pPr>
        <w:pStyle w:val="Heading2"/>
      </w:pPr>
      <w:r>
        <w:t>1.1 Introduction</w:t>
      </w:r>
    </w:p>
    <w:p>
      <w:r>
        <w:t>Food prices determine whether households can afford an adequate diet. When prices rise</w:t>
      </w:r>
    </w:p>
    <w:p>
      <w:r>
        <w:t>quickly, low- and irregular-income households are affected first: they buy less,</w:t>
      </w:r>
    </w:p>
    <w:p>
      <w:r>
        <w:t>substitute cheaper foods, borrow, or cut other spending. Food-price change is therefore</w:t>
      </w:r>
    </w:p>
    <w:p>
      <w:r>
        <w:t>not only an economic issue but one connected to livelihoods, health, agriculture and</w:t>
      </w:r>
    </w:p>
    <w:p>
      <w:r>
        <w:t>social welfare. Zimbabwe is a suitable case because food prices are shaped</w:t>
      </w:r>
    </w:p>
    <w:p>
      <w:r>
        <w:t>simultaneously by rainfall, agricultural production, currency conditions, transport</w:t>
      </w:r>
    </w:p>
    <w:p>
      <w:r>
        <w:t>costs and local market differences. This project applies data-science methods to</w:t>
      </w:r>
    </w:p>
    <w:p>
      <w:r>
        <w:t>combine market price records, rainfall information and administrative geography in</w:t>
      </w:r>
    </w:p>
    <w:p>
      <w:r>
        <w:t xml:space="preserve">order to estimate the probability of a defined </w:t>
      </w:r>
      <w:r>
        <w:rPr>
          <w:b/>
        </w:rPr>
        <w:t>food price stress</w:t>
      </w:r>
      <w:r>
        <w:t xml:space="preserve"> condition at</w:t>
      </w:r>
    </w:p>
    <w:p>
      <w:r>
        <w:t>market and district level in the following month.</w:t>
      </w:r>
    </w:p>
    <w:p>
      <w:pPr>
        <w:pStyle w:val="Heading2"/>
      </w:pPr>
      <w:r>
        <w:t>1.2 Background and Context</w:t>
      </w:r>
    </w:p>
    <w:p>
      <w:pPr>
        <w:pStyle w:val="Heading3"/>
      </w:pPr>
      <w:r>
        <w:t>1.2.1 Current state of knowledge</w:t>
      </w:r>
    </w:p>
    <w:p>
      <w:r>
        <w:t>Zimbabwe depends heavily on rain-fed agriculture, so rainfall deficits can affect</w:t>
      </w:r>
    </w:p>
    <w:p>
      <w:r>
        <w:t>production, incomes, livestock, availability and prices. Zimbabwe-specific evidence links</w:t>
      </w:r>
    </w:p>
    <w:p>
      <w:r>
        <w:t>ENSO and seasonal rainfall to maize-yield variability (Phillips et al., 1998) and to</w:t>
      </w:r>
    </w:p>
    <w:p>
      <w:r>
        <w:t>agricultural and anticipatory-action outcomes (Mano &amp; Nhemachena, 2007; Sazib et al.,</w:t>
      </w:r>
    </w:p>
    <w:p>
      <w:r>
        <w:t>2020; Mugiyo et al., 2023). The relationship is not immediate: traders and consumers</w:t>
      </w:r>
    </w:p>
    <w:p>
      <w:r>
        <w:t>change expectations during the growing season before the harvest outcome is known, and a</w:t>
      </w:r>
    </w:p>
    <w:p>
      <w:r>
        <w:t>rainfall deficit may combine with weak market supply, transport costs or foreign-currency</w:t>
      </w:r>
    </w:p>
    <w:p>
      <w:r>
        <w:t>shortages to push prices higher (Wright, 2011; Deaton &amp; Laroque, 1992).</w:t>
      </w:r>
    </w:p>
    <w:p>
      <w:r>
        <w:t>The country's monetary history makes price measurement difficult. Records are expressed</w:t>
      </w:r>
    </w:p>
    <w:p>
      <w:r>
        <w:t>variously in Zimbabwean dollars and US dollars, and the meaning of a nominal price</w:t>
      </w:r>
    </w:p>
    <w:p>
      <w:r>
        <w:t>changes with depreciation and exchange-rate regime (Kramarenko et al., 2010; World Bank,</w:t>
      </w:r>
    </w:p>
    <w:p>
      <w:r>
        <w:t>2021). A nominal increase may reflect general inflation, conversion, transport costs, or a</w:t>
      </w:r>
    </w:p>
    <w:p>
      <w:r>
        <w:t>genuine local shortage. Prices also differ across districts: a market near a surplus area</w:t>
      </w:r>
    </w:p>
    <w:p>
      <w:r>
        <w:t>restocks more easily than a remote market in a dry region, so a national average can hide</w:t>
      </w:r>
    </w:p>
    <w:p>
      <w:r>
        <w:t>local stress (Fackler &amp; Goodwin, 2001; Burke &amp; Myers, 2014; Porteous, 2019).</w:t>
      </w:r>
    </w:p>
    <w:p>
      <w:r>
        <w:t>These mechanisms are documented by specific, referenced evidence: actual food-price</w:t>
      </w:r>
    </w:p>
    <w:p>
      <w:r>
        <w:t>behaviour and volatility (Deaton &amp; Laroque, 1992; Wright, 2011; Symeonidis et al., 2012;</w:t>
      </w:r>
    </w:p>
    <w:p>
      <w:r>
        <w:t>Gilbert et al., 2017), spatial price transmission in Southern Africa and Zimbabwe (Burke &amp;</w:t>
      </w:r>
    </w:p>
    <w:p>
      <w:r>
        <w:t>Myers, 2014; Davids et al., 2017; Mahdi &amp; Bonato, 2015), rainfall shocks (Funk et al.,</w:t>
      </w:r>
    </w:p>
    <w:p>
      <w:r>
        <w:t>2015; Shukla et al., 2020), and Zimbabwe's inflation and currency episodes (Kramarenko et</w:t>
      </w:r>
    </w:p>
    <w:p>
      <w:r>
        <w:t>al., 2010; World Bank, 2021; Moyo, 2024). Household-level insecurity is separately</w:t>
      </w:r>
    </w:p>
    <w:p>
      <w:r>
        <w:t>documented (Tawodzera, 2011; Mango et al., 2014; Bhalla et al., 2018). This revision</w:t>
      </w:r>
    </w:p>
    <w:p>
      <w:r>
        <w:t xml:space="preserve">distinguishes </w:t>
      </w:r>
      <w:r>
        <w:rPr>
          <w:b/>
        </w:rPr>
        <w:t>observed national challenges</w:t>
      </w:r>
      <w:r>
        <w:t xml:space="preserve"> (documented by the sources above) from the</w:t>
      </w:r>
    </w:p>
    <w:p>
      <w:r>
        <w:rPr>
          <w:b/>
        </w:rPr>
        <w:t>assumptions</w:t>
      </w:r>
      <w:r>
        <w:t xml:space="preserve"> that motivate the proposed system (stated in §1.9).</w:t>
      </w:r>
    </w:p>
    <w:p>
      <w:pPr>
        <w:pStyle w:val="Heading3"/>
      </w:pPr>
      <w:r>
        <w:t>1.2.2 Gap identification</w:t>
      </w:r>
    </w:p>
    <w:p>
      <w:r>
        <w:t>Existing systems already monitor food markets and food security. The gap must therefore</w:t>
      </w:r>
    </w:p>
    <w:p>
      <w:r>
        <w:t xml:space="preserve">be stated as a </w:t>
      </w:r>
      <w:r>
        <w:rPr>
          <w:b/>
        </w:rPr>
        <w:t>specific missing capability</w:t>
      </w:r>
      <w:r>
        <w:t>, not as the absence of an identical</w:t>
      </w:r>
    </w:p>
    <w:p>
      <w:r>
        <w:t>system. The comparison below sets out what each system provides and what this project</w:t>
      </w:r>
    </w:p>
    <w:p>
      <w:r>
        <w:t>adds.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Geographic unit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Provides a machine-readable market–commodity probability of next-month price stress?</w:t>
            </w:r>
          </w:p>
        </w:tc>
      </w:tr>
      <w:tr>
        <w:tc>
          <w:tcPr>
            <w:tcW w:type="dxa" w:w="1728"/>
          </w:tcPr>
          <w:p>
            <w:r/>
            <w:r>
              <w:t>WFP market monitoring (WFP, 2025a, 2025b)</w:t>
            </w:r>
          </w:p>
        </w:tc>
        <w:tc>
          <w:tcPr>
            <w:tcW w:type="dxa" w:w="1728"/>
          </w:tcPr>
          <w:p>
            <w:r/>
            <w:r>
              <w:t>Market / national</w:t>
            </w:r>
          </w:p>
        </w:tc>
        <w:tc>
          <w:tcPr>
            <w:tcW w:type="dxa" w:w="1728"/>
          </w:tcPr>
          <w:p>
            <w:r/>
            <w:r>
              <w:t>Monthly</w:t>
            </w:r>
          </w:p>
        </w:tc>
        <w:tc>
          <w:tcPr>
            <w:tcW w:type="dxa" w:w="1728"/>
          </w:tcPr>
          <w:p>
            <w:r/>
            <w:r>
              <w:t>Price levels, availability</w:t>
            </w:r>
          </w:p>
        </w:tc>
        <w:tc>
          <w:tcPr>
            <w:tcW w:type="dxa" w:w="1728"/>
          </w:tcPr>
          <w:p>
            <w:r/>
            <w:r>
              <w:t>No — descriptive, indicators not probabilities</w:t>
            </w:r>
          </w:p>
        </w:tc>
      </w:tr>
      <w:tr>
        <w:tc>
          <w:tcPr>
            <w:tcW w:type="dxa" w:w="1728"/>
          </w:tcPr>
          <w:p>
            <w:r/>
            <w:r>
              <w:t>FEWS NET / IPC (FEWS NET, n.d.)</w:t>
            </w:r>
          </w:p>
        </w:tc>
        <w:tc>
          <w:tcPr>
            <w:tcW w:type="dxa" w:w="1728"/>
          </w:tcPr>
          <w:p>
            <w:r/>
            <w:r>
              <w:t>Livelihood zone / district</w:t>
            </w:r>
          </w:p>
        </w:tc>
        <w:tc>
          <w:tcPr>
            <w:tcW w:type="dxa" w:w="1728"/>
          </w:tcPr>
          <w:p>
            <w:r/>
            <w:r>
              <w:t>Monthly–quarterly</w:t>
            </w:r>
          </w:p>
        </w:tc>
        <w:tc>
          <w:tcPr>
            <w:tcW w:type="dxa" w:w="1728"/>
          </w:tcPr>
          <w:p>
            <w:r/>
            <w:r>
              <w:t>Food-security phase (IPC) via scenario analysis + expert judgement</w:t>
            </w:r>
          </w:p>
        </w:tc>
        <w:tc>
          <w:tcPr>
            <w:tcW w:type="dxa" w:w="1728"/>
          </w:tcPr>
          <w:p>
            <w:r/>
            <w:r>
              <w:t>No — expert-based outlooks</w:t>
            </w:r>
          </w:p>
        </w:tc>
      </w:tr>
      <w:tr>
        <w:tc>
          <w:tcPr>
            <w:tcW w:type="dxa" w:w="1728"/>
          </w:tcPr>
          <w:p>
            <w:r/>
            <w:r>
              <w:t>ZimVAC / ZimLAC (ZimLAC, 2024)</w:t>
            </w:r>
          </w:p>
        </w:tc>
        <w:tc>
          <w:tcPr>
            <w:tcW w:type="dxa" w:w="1728"/>
          </w:tcPr>
          <w:p>
            <w:r/>
            <w:r>
              <w:t>District / ward</w:t>
            </w:r>
          </w:p>
        </w:tc>
        <w:tc>
          <w:tcPr>
            <w:tcW w:type="dxa" w:w="1728"/>
          </w:tcPr>
          <w:p>
            <w:r/>
            <w:r>
              <w:t>Annual</w:t>
            </w:r>
          </w:p>
        </w:tc>
        <w:tc>
          <w:tcPr>
            <w:tcW w:type="dxa" w:w="1728"/>
          </w:tcPr>
          <w:p>
            <w:r/>
            <w:r>
              <w:t>Household livelihoods &amp; vulnerability</w:t>
            </w:r>
          </w:p>
        </w:tc>
        <w:tc>
          <w:tcPr>
            <w:tcW w:type="dxa" w:w="1728"/>
          </w:tcPr>
          <w:p>
            <w:r/>
            <w:r>
              <w:t>No — household assessment</w:t>
            </w:r>
          </w:p>
        </w:tc>
      </w:tr>
      <w:tr>
        <w:tc>
          <w:tcPr>
            <w:tcW w:type="dxa" w:w="1728"/>
          </w:tcPr>
          <w:p>
            <w:r/>
            <w:r>
              <w:t>CHIRPS (Funk et al., 2015)</w:t>
            </w:r>
          </w:p>
        </w:tc>
        <w:tc>
          <w:tcPr>
            <w:tcW w:type="dxa" w:w="1728"/>
          </w:tcPr>
          <w:p>
            <w:r/>
            <w:r>
              <w:t>Pixel → district</w:t>
            </w:r>
          </w:p>
        </w:tc>
        <w:tc>
          <w:tcPr>
            <w:tcW w:type="dxa" w:w="1728"/>
          </w:tcPr>
          <w:p>
            <w:r/>
            <w:r>
              <w:t>Dekadal–monthly</w:t>
            </w:r>
          </w:p>
        </w:tc>
        <w:tc>
          <w:tcPr>
            <w:tcW w:type="dxa" w:w="1728"/>
          </w:tcPr>
          <w:p>
            <w:r/>
            <w:r>
              <w:t>Rainfall</w:t>
            </w:r>
          </w:p>
        </w:tc>
        <w:tc>
          <w:tcPr>
            <w:tcW w:type="dxa" w:w="1728"/>
          </w:tcPr>
          <w:p>
            <w:r/>
            <w:r>
              <w:t>N/A (input, not a forecast of prices)</w:t>
            </w:r>
          </w:p>
        </w:tc>
      </w:tr>
      <w:tr>
        <w:tc>
          <w:tcPr>
            <w:tcW w:type="dxa" w:w="1728"/>
          </w:tcPr>
          <w:p>
            <w:r/>
            <w:r>
              <w:t>Food-security ML crisis models (Busker et al., 2024; Westerveld et al., 2021)</w:t>
            </w:r>
          </w:p>
        </w:tc>
        <w:tc>
          <w:tcPr>
            <w:tcW w:type="dxa" w:w="1728"/>
          </w:tcPr>
          <w:p>
            <w:r/>
            <w:r>
              <w:t>Region / household</w:t>
            </w:r>
          </w:p>
        </w:tc>
        <w:tc>
          <w:tcPr>
            <w:tcW w:type="dxa" w:w="1728"/>
          </w:tcPr>
          <w:p>
            <w:r/>
            <w:r>
              <w:t>Variable</w:t>
            </w:r>
          </w:p>
        </w:tc>
        <w:tc>
          <w:tcPr>
            <w:tcW w:type="dxa" w:w="1728"/>
          </w:tcPr>
          <w:p>
            <w:r/>
            <w:r>
              <w:t>Crisis / household state</w:t>
            </w:r>
          </w:p>
        </w:tc>
        <w:tc>
          <w:tcPr>
            <w:tcW w:type="dxa" w:w="1728"/>
          </w:tcPr>
          <w:p>
            <w:r/>
            <w:r>
              <w:t>Partial — not a market–commodity monthly price model</w:t>
            </w:r>
          </w:p>
        </w:tc>
      </w:tr>
    </w:tbl>
    <w:p>
      <w:r>
        <w:rPr>
          <w:b/>
        </w:rPr>
        <w:t>Missing capability:</w:t>
      </w:r>
      <w:r>
        <w:t xml:space="preserve"> none of these provides a single, reproducible, monthly,</w:t>
      </w:r>
    </w:p>
    <w:p>
      <w:r>
        <w:t xml:space="preserve">market–commodity–district </w:t>
      </w:r>
      <w:r>
        <w:rPr>
          <w:b/>
        </w:rPr>
        <w:t>probability</w:t>
      </w:r>
      <w:r>
        <w:t xml:space="preserve"> of a pre-defined next-month </w:t>
      </w:r>
      <w:r>
        <w:rPr>
          <w:i/>
        </w:rPr>
        <w:t>price</w:t>
      </w:r>
      <w:r>
        <w:t xml:space="preserve"> stress</w:t>
      </w:r>
    </w:p>
    <w:p>
      <w:r>
        <w:t>event, with currency-regime handling, leakage-controlled chronological validation and a</w:t>
      </w:r>
    </w:p>
    <w:p>
      <w:r>
        <w:t>re-runnable scoring artefact. The project addresses this applied data-science gap. It</w:t>
      </w:r>
    </w:p>
    <w:p>
      <w:r>
        <w:t xml:space="preserve">does </w:t>
      </w:r>
      <w:r>
        <w:rPr>
          <w:b/>
        </w:rPr>
        <w:t>not</w:t>
      </w:r>
      <w:r>
        <w:t xml:space="preserve"> claim that WFP/FEWS NET lack predictive capability; it claims a specific,</w:t>
      </w:r>
    </w:p>
    <w:p>
      <w:r>
        <w:t>narrow, reproducible output is absent.</w:t>
      </w:r>
    </w:p>
    <w:p>
      <w:pPr>
        <w:pStyle w:val="Heading2"/>
      </w:pPr>
      <w:r>
        <w:t>1.3 Problem Statement</w:t>
      </w:r>
    </w:p>
    <w:p>
      <w:r>
        <w:t>Food price stress in Zimbabwe develops through the combined effects of rainfall</w:t>
      </w:r>
    </w:p>
    <w:p>
      <w:r>
        <w:t>deficits, agricultural losses, currency change, transport costs and local market</w:t>
      </w:r>
    </w:p>
    <w:p>
      <w:r>
        <w:t>conditions, but the timing and location of the next event are difficult to identify</w:t>
      </w:r>
    </w:p>
    <w:p>
      <w:r>
        <w:t>from separate market and climate reports. A national average hides district and</w:t>
      </w:r>
    </w:p>
    <w:p>
      <w:r>
        <w:t>commodity differences. The problem is the **lack of an integrated, reproducible</w:t>
      </w:r>
    </w:p>
    <w:p>
      <w:r>
        <w:t>data-science system** that (i) combines price, rainfall and geographic data at market</w:t>
      </w:r>
    </w:p>
    <w:p>
      <w:r>
        <w:t>and district level, (ii) uses only information available at the prediction date, and</w:t>
      </w:r>
    </w:p>
    <w:p>
      <w:r>
        <w:t>(iii) reports honestly how well the resulting probabilities generalise to later</w:t>
      </w:r>
    </w:p>
    <w:p>
      <w:r>
        <w:t>periods.</w:t>
      </w:r>
    </w:p>
    <w:p>
      <w:pPr>
        <w:pStyle w:val="Heading2"/>
      </w:pPr>
      <w:r>
        <w:t>1.4 Project Aim</w:t>
      </w:r>
    </w:p>
    <w:p>
      <w:r>
        <w:t xml:space="preserve">To </w:t>
      </w:r>
      <w:r>
        <w:rPr>
          <w:b/>
        </w:rPr>
        <w:t>develop and evaluate</w:t>
      </w:r>
      <w:r>
        <w:t xml:space="preserve"> a machine-learning system that uses food-price data,</w:t>
      </w:r>
    </w:p>
    <w:p>
      <w:r>
        <w:t>rainfall anomalies and market information to estimate the probability of a defined food</w:t>
      </w:r>
    </w:p>
    <w:p>
      <w:r>
        <w:t>price stress condition in Zimbabwean markets and districts in the following month, and</w:t>
      </w:r>
    </w:p>
    <w:p>
      <w:r>
        <w:t>to report the reliability of those estimates under time-respecting validation.</w:t>
      </w:r>
    </w:p>
    <w:p>
      <w:pPr>
        <w:pStyle w:val="Heading2"/>
      </w:pPr>
      <w:r>
        <w:t>1.5 Project Objectives (measurable, with acceptance criteria)</w:t>
      </w:r>
    </w:p>
    <w:p>
      <w:pPr>
        <w:pStyle w:val="IntenseQuote"/>
      </w:pPr>
      <w:r>
        <w:t>Supervisor C1.3: objectives must specify expected outputs and acceptance criteria.</w:t>
      </w:r>
    </w:p>
    <w:p>
      <w:pPr>
        <w:pStyle w:val="IntenseQuote"/>
      </w:pPr>
      <w:r>
        <w:t>Verified data facts used below are from `reports/phase1_report.md`.</w:t>
      </w:r>
    </w:p>
    <w:p>
      <w:r>
        <w:rPr>
          <w:b/>
        </w:rPr>
        <w:t>Objective 1 — Data integration.</w:t>
      </w:r>
    </w:p>
    <w:p>
      <w:r>
        <w:rPr>
          <w:i/>
        </w:rPr>
        <w:t>Output:</w:t>
      </w:r>
      <w:r>
        <w:t xml:space="preserve"> a monthly `market × commodity × currency × month` panel joined to district</w:t>
      </w:r>
    </w:p>
    <w:p>
      <w:r>
        <w:t xml:space="preserve">rainfall. </w:t>
      </w:r>
      <w:r>
        <w:rPr>
          <w:i/>
        </w:rPr>
        <w:t>Acceptance:</w:t>
      </w:r>
      <w:r>
        <w:t xml:space="preserve"> ≥ 20,000 food cells retained from 28,168 raw rows; ≥ 95% of</w:t>
      </w:r>
    </w:p>
    <w:p>
      <w:r>
        <w:t>priced markets assigned to a district via coordinates; a written build log.</w:t>
      </w:r>
    </w:p>
    <w:p>
      <w:r>
        <w:rPr>
          <w:b/>
        </w:rPr>
        <w:t>Result: met</w:t>
      </w:r>
      <w:r>
        <w:t xml:space="preserve"> (20,530 cells; 327/335 markets geolocated; 8 flagged; see Ch.3.4).</w:t>
      </w:r>
    </w:p>
    <w:p>
      <w:r>
        <w:rPr>
          <w:b/>
        </w:rPr>
        <w:t>Objective 2 — Feature construction.</w:t>
      </w:r>
    </w:p>
    <w:p>
      <w:r>
        <w:rPr>
          <w:i/>
        </w:rPr>
        <w:t>Output:</w:t>
      </w:r>
      <w:r>
        <w:t xml:space="preserve"> price-momentum, peer-market, rainfall-anomaly, seasonal, currency and</w:t>
      </w:r>
    </w:p>
    <w:p>
      <w:r>
        <w:t xml:space="preserve">interaction features, all computed only from data available at time </w:t>
      </w:r>
      <w:r>
        <w:rPr>
          <w:i/>
        </w:rPr>
        <w:t>t</w:t>
      </w:r>
      <w:r>
        <w:t>.</w:t>
      </w:r>
    </w:p>
    <w:p>
      <w:r>
        <w:rPr>
          <w:i/>
        </w:rPr>
        <w:t>Acceptance:</w:t>
      </w:r>
      <w:r>
        <w:t xml:space="preserve"> leakage tests pass (no `t+1` field in the predictor matrix); feature set</w:t>
      </w:r>
    </w:p>
    <w:p>
      <w:r>
        <w:t>documented in a data dictionary.</w:t>
      </w:r>
    </w:p>
    <w:p>
      <w:r>
        <w:rPr>
          <w:b/>
        </w:rPr>
        <w:t>Result: met</w:t>
      </w:r>
      <w:r>
        <w:t xml:space="preserve"> (`tests/run_checks.py`; Ch.3.4.6).</w:t>
      </w:r>
    </w:p>
    <w:p>
      <w:r>
        <w:rPr>
          <w:b/>
        </w:rPr>
        <w:t>Objective 3 — Model comparison under time-ordered validation.</w:t>
      </w:r>
    </w:p>
    <w:p>
      <w:r>
        <w:rPr>
          <w:i/>
        </w:rPr>
        <w:t>Output:</w:t>
      </w:r>
      <w:r>
        <w:t xml:space="preserve"> at least two learning models (elastic-net logistic, XGBoost, histogram GBM)</w:t>
      </w:r>
    </w:p>
    <w:p>
      <w:r>
        <w:t xml:space="preserve">and two baselines (majority, persistence) compared on an </w:t>
      </w:r>
      <w:r>
        <w:rPr>
          <w:b/>
        </w:rPr>
        <w:t>identical</w:t>
      </w:r>
      <w:r>
        <w:t xml:space="preserve"> holdout per</w:t>
      </w:r>
    </w:p>
    <w:p>
      <w:r>
        <w:t>target, with ROC-AUC, PR-AUC, F1, balanced accuracy and Brier score, plus uncertainty</w:t>
      </w:r>
    </w:p>
    <w:p>
      <w:r>
        <w:t>intervals.</w:t>
      </w:r>
    </w:p>
    <w:p>
      <w:r>
        <w:rPr>
          <w:i/>
        </w:rPr>
        <w:t>Acceptance:</w:t>
      </w:r>
      <w:r>
        <w:t xml:space="preserve"> comparison reported separately for each target (no cross-target ranking);</w:t>
      </w:r>
    </w:p>
    <w:p>
      <w:r>
        <w:t>baselines reported; 95% bootstrap intervals reported.</w:t>
      </w:r>
    </w:p>
    <w:p>
      <w:r>
        <w:rPr>
          <w:b/>
        </w:rPr>
        <w:t>Result: met with an honest negative finding</w:t>
      </w:r>
      <w:r>
        <w:t xml:space="preserve"> — discrimination is modest/weak and</w:t>
      </w:r>
    </w:p>
    <w:p>
      <w:r>
        <w:t xml:space="preserve">XGBoost does </w:t>
      </w:r>
      <w:r>
        <w:rPr>
          <w:i/>
        </w:rPr>
        <w:t>not</w:t>
      </w:r>
      <w:r>
        <w:t xml:space="preserve"> dominate (Ch.4.4; `reports/phase6b_diagnostics.md`).</w:t>
      </w:r>
    </w:p>
    <w:p>
      <w:r>
        <w:rPr>
          <w:b/>
        </w:rPr>
        <w:t>Objective 4 — Prospective scoring prototype.</w:t>
      </w:r>
    </w:p>
    <w:p>
      <w:r>
        <w:rPr>
          <w:i/>
        </w:rPr>
        <w:t>Output:</w:t>
      </w:r>
      <w:r>
        <w:t xml:space="preserve"> a scoring artefact that validates new input, reconstructs features, applies a</w:t>
      </w:r>
    </w:p>
    <w:p>
      <w:r>
        <w:t>versioned model and writes a separate output without altering historical data.</w:t>
      </w:r>
    </w:p>
    <w:p>
      <w:r>
        <w:rPr>
          <w:i/>
        </w:rPr>
        <w:t>Acceptance:</w:t>
      </w:r>
      <w:r>
        <w:t xml:space="preserve"> artefact runs on a held-out input; model + metadata saved with version,</w:t>
      </w:r>
    </w:p>
    <w:p>
      <w:r>
        <w:t>training period and seed.</w:t>
      </w:r>
    </w:p>
    <w:p>
      <w:r>
        <w:rPr>
          <w:b/>
        </w:rPr>
        <w:t>Result: met as a technical prototype</w:t>
      </w:r>
      <w:r>
        <w:t xml:space="preserve"> (`src/fit_final_model.py`, `dashboard/app.py`);</w:t>
      </w:r>
    </w:p>
    <w:p>
      <w:r>
        <w:t>not operationally validated.</w:t>
      </w:r>
    </w:p>
    <w:p>
      <w:r>
        <w:rPr>
          <w:b/>
        </w:rPr>
        <w:t>Objective 5 — Commodity/district decision support.</w:t>
      </w:r>
    </w:p>
    <w:p>
      <w:r>
        <w:rPr>
          <w:i/>
        </w:rPr>
        <w:t>Output:</w:t>
      </w:r>
      <w:r>
        <w:t xml:space="preserve"> commodity-level performance and district-level exploratory risk scores.</w:t>
      </w:r>
    </w:p>
    <w:p>
      <w:r>
        <w:rPr>
          <w:i/>
        </w:rPr>
        <w:t>Acceptance:</w:t>
      </w:r>
      <w:r>
        <w:t xml:space="preserve"> every output traceable to an artefact; labelled "exploratory".</w:t>
      </w:r>
    </w:p>
    <w:p>
      <w:r>
        <w:rPr>
          <w:b/>
        </w:rPr>
        <w:t>Result: partially met</w:t>
      </w:r>
      <w:r>
        <w:t xml:space="preserve"> — commodity results real; district bands must be labelled</w:t>
      </w:r>
    </w:p>
    <w:p>
      <w:r>
        <w:t>exploratory because temporal validation is insufficient (Ch.4).</w:t>
      </w:r>
    </w:p>
    <w:p>
      <w:r>
        <w:rPr>
          <w:b/>
        </w:rPr>
        <w:t>How success is assessed (C1.3).</w:t>
      </w:r>
      <w:r>
        <w:t xml:space="preserve"> Each objective is judged against an explicit,</w:t>
      </w:r>
    </w:p>
    <w:p>
      <w:r>
        <w:t>checkable criterion rather than a narrative claim: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Success is assessed by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Acceptance criterion</w:t>
            </w:r>
          </w:p>
        </w:tc>
      </w:tr>
      <w:tr>
        <w:tc>
          <w:tcPr>
            <w:tcW w:type="dxa" w:w="2880"/>
          </w:tcPr>
          <w:p>
            <w:r/>
            <w:r>
              <w:t>1 Data integration</w:t>
            </w:r>
          </w:p>
        </w:tc>
        <w:tc>
          <w:tcPr>
            <w:tcW w:type="dxa" w:w="2880"/>
          </w:tcPr>
          <w:p>
            <w:r/>
            <w:r>
              <w:t>Panel row count, geolocation match rate, build log</w:t>
            </w:r>
          </w:p>
        </w:tc>
        <w:tc>
          <w:tcPr>
            <w:tcW w:type="dxa" w:w="2880"/>
          </w:tcPr>
          <w:p>
            <w:r/>
            <w:r>
              <w:t>≥ 20,000 food cells; ≥ 95% of markets matched to a district; log written</w:t>
            </w:r>
          </w:p>
        </w:tc>
      </w:tr>
      <w:tr>
        <w:tc>
          <w:tcPr>
            <w:tcW w:type="dxa" w:w="2880"/>
          </w:tcPr>
          <w:p>
            <w:r/>
            <w:r>
              <w:t>2 Feature construction</w:t>
            </w:r>
          </w:p>
        </w:tc>
        <w:tc>
          <w:tcPr>
            <w:tcW w:type="dxa" w:w="2880"/>
          </w:tcPr>
          <w:p>
            <w:r/>
            <w:r>
              <w:t>Automated leakage tests; data dictionary</w:t>
            </w:r>
          </w:p>
        </w:tc>
        <w:tc>
          <w:tcPr>
            <w:tcW w:type="dxa" w:w="2880"/>
          </w:tcPr>
          <w:p>
            <w:r/>
            <w:r>
              <w:t>Predictor matrix contains no `t+1` field; every feature documented</w:t>
            </w:r>
          </w:p>
        </w:tc>
      </w:tr>
      <w:tr>
        <w:tc>
          <w:tcPr>
            <w:tcW w:type="dxa" w:w="2880"/>
          </w:tcPr>
          <w:p>
            <w:r/>
            <w:r>
              <w:t>3 Model comparison</w:t>
            </w:r>
          </w:p>
        </w:tc>
        <w:tc>
          <w:tcPr>
            <w:tcW w:type="dxa" w:w="2880"/>
          </w:tcPr>
          <w:p>
            <w:r/>
            <w:r>
              <w:t xml:space="preserve">Holdout ROC-AUC on an </w:t>
            </w:r>
            <w:r>
              <w:rPr>
                <w:b/>
              </w:rPr>
              <w:t>identical</w:t>
            </w:r>
            <w:r>
              <w:t xml:space="preserve"> holdout per target, with a 95% bootstrap CI, versus baselines</w:t>
            </w:r>
          </w:p>
        </w:tc>
        <w:tc>
          <w:tcPr>
            <w:tcW w:type="dxa" w:w="2880"/>
          </w:tcPr>
          <w:p>
            <w:r/>
            <w:r>
              <w:t xml:space="preserve">A model demonstrates </w:t>
            </w:r>
            <w:r>
              <w:rPr>
                <w:i/>
              </w:rPr>
              <w:t>reliable prospective discrimination only if</w:t>
            </w:r>
            <w:r>
              <w:t xml:space="preserve"> holdout ROC-AUC &gt; 0.50 </w:t>
            </w:r>
            <w:r>
              <w:rPr>
                <w:b/>
              </w:rPr>
              <w:t>and</w:t>
            </w:r>
            <w:r>
              <w:t xml:space="preserve"> its 95% CI excludes 0.50 </w:t>
            </w:r>
            <w:r>
              <w:rPr>
                <w:b/>
              </w:rPr>
              <w:t>and</w:t>
            </w:r>
            <w:r>
              <w:t xml:space="preserve"> it beats the majority baseline on the same observations</w:t>
            </w:r>
          </w:p>
        </w:tc>
      </w:tr>
      <w:tr>
        <w:tc>
          <w:tcPr>
            <w:tcW w:type="dxa" w:w="2880"/>
          </w:tcPr>
          <w:p>
            <w:r/>
            <w:r>
              <w:t>4 Scoring reliability</w:t>
            </w:r>
          </w:p>
        </w:tc>
        <w:tc>
          <w:tcPr>
            <w:tcW w:type="dxa" w:w="2880"/>
          </w:tcPr>
          <w:p>
            <w:r/>
            <w:r>
              <w:t>Re-running the versioned artefact on fixed input reproduces recorded scores</w:t>
            </w:r>
          </w:p>
        </w:tc>
        <w:tc>
          <w:tcPr>
            <w:tcW w:type="dxa" w:w="2880"/>
          </w:tcPr>
          <w:p>
            <w:r/>
            <w:r>
              <w:t>Deterministic given the saved model, metadata and seed; separate output file</w:t>
            </w:r>
          </w:p>
        </w:tc>
      </w:tr>
      <w:tr>
        <w:tc>
          <w:tcPr>
            <w:tcW w:type="dxa" w:w="2880"/>
          </w:tcPr>
          <w:p>
            <w:r/>
            <w:r>
              <w:t>5 Geographic presentation</w:t>
            </w:r>
          </w:p>
        </w:tc>
        <w:tc>
          <w:tcPr>
            <w:tcW w:type="dxa" w:w="2880"/>
          </w:tcPr>
          <w:p>
            <w:r/>
            <w:r>
              <w:t>Traceability of district scores to market scores; labelling</w:t>
            </w:r>
          </w:p>
        </w:tc>
        <w:tc>
          <w:tcPr>
            <w:tcW w:type="dxa" w:w="2880"/>
          </w:tcPr>
          <w:p>
            <w:r/>
            <w:r>
              <w:t>Every district score traceable to an artefact and labelled "exploratory, model-generated"</w:t>
            </w:r>
          </w:p>
        </w:tc>
      </w:tr>
    </w:tbl>
    <w:p>
      <w:r>
        <w:t xml:space="preserve">Applying the Objective-3 criterion honestly, the Y1 target </w:t>
      </w:r>
      <w:r>
        <w:rPr>
          <w:b/>
        </w:rPr>
        <w:t>fails</w:t>
      </w:r>
      <w:r>
        <w:t xml:space="preserve"> it (holdout ROC-AUC</w:t>
      </w:r>
    </w:p>
    <w:p>
      <w:r>
        <w:t>near 0.50 with an interval spanning chance) while Y2 partially passes — this is reported</w:t>
      </w:r>
    </w:p>
    <w:p>
      <w:r>
        <w:t>as a finding, not concealed (Ch.4.4, Ch.5.3).</w:t>
      </w:r>
    </w:p>
    <w:p>
      <w:pPr>
        <w:pStyle w:val="Heading2"/>
      </w:pPr>
      <w:r>
        <w:t>1.6 Motivation</w:t>
      </w:r>
    </w:p>
    <w:p>
      <w:r>
        <w:t>Earlier information about market pressure gives government and humanitarian actors more</w:t>
      </w:r>
    </w:p>
    <w:p>
      <w:r>
        <w:t>time to verify conditions before they worsen. The project is also an exercise in honest</w:t>
      </w:r>
    </w:p>
    <w:p>
      <w:r>
        <w:t>applied data science: combining heterogeneous real data (prices, CHIRPS rainfall,</w:t>
      </w:r>
    </w:p>
    <w:p>
      <w:r>
        <w:t>boundaries, population), engineering leakage-safe features, and evaluating models on</w:t>
      </w:r>
    </w:p>
    <w:p>
      <w:r>
        <w:rPr>
          <w:i/>
        </w:rPr>
        <w:t>later</w:t>
      </w:r>
      <w:r>
        <w:t xml:space="preserve"> observations rather than a random split. The project explicitly treats</w:t>
      </w:r>
    </w:p>
    <w:p>
      <w:r>
        <w:t>validation design and the limits of the available data as core, not incidental.</w:t>
      </w:r>
    </w:p>
    <w:p>
      <w:pPr>
        <w:pStyle w:val="Heading2"/>
      </w:pPr>
      <w:r>
        <w:t>1.7 Stakeholders and intended primary users</w:t>
      </w:r>
    </w:p>
    <w:p>
      <w:r>
        <w:t xml:space="preserve">The </w:t>
      </w:r>
      <w:r>
        <w:rPr>
          <w:b/>
        </w:rPr>
        <w:t>primary user is a national market-monitoring analyst</w:t>
      </w:r>
      <w:r>
        <w:t xml:space="preserve"> (e.g. within WFP market</w:t>
      </w:r>
    </w:p>
    <w:p>
      <w:r>
        <w:t>monitoring or a government food-security unit) who reviews monthly market data and</w:t>
      </w:r>
    </w:p>
    <w:p>
      <w:r>
        <w:t>decides where to prioritise verification. Secondary users: FEWS NET/ZimVAC/ZimLAC</w:t>
      </w:r>
    </w:p>
    <w:p>
      <w:r>
        <w:t>analysts (cross-checking), humanitarian programme staff (screening for market</w:t>
      </w:r>
    </w:p>
    <w:p>
      <w:r>
        <w:t>assessments), district officers (local verification), and researchers.</w:t>
      </w:r>
    </w:p>
    <w:p>
      <w:r>
        <w:t xml:space="preserve">The system is </w:t>
      </w:r>
      <w:r>
        <w:rPr>
          <w:b/>
        </w:rPr>
        <w:t>decision support only</w:t>
      </w:r>
      <w:r>
        <w:t>: a high probability should trigger verification</w:t>
      </w:r>
    </w:p>
    <w:p>
      <w:r>
        <w:t>against local information, existing assessments and household data — never an automatic</w:t>
      </w:r>
    </w:p>
    <w:p>
      <w:r>
        <w:t>decision about districts or households.</w:t>
      </w:r>
    </w:p>
    <w:p>
      <w:pPr>
        <w:pStyle w:val="Heading2"/>
      </w:pPr>
      <w:r>
        <w:t>1.8 Project Scope</w:t>
      </w:r>
    </w:p>
    <w:p>
      <w:r>
        <w:rPr>
          <w:b/>
        </w:rPr>
        <w:t>Geographic:</w:t>
      </w:r>
      <w:r>
        <w:t xml:space="preserve"> Zimbabwe; market, commodity and administrative-district level (10</w:t>
      </w:r>
    </w:p>
    <w:p>
      <w:r>
        <w:t>admin-1 provinces; 91 admin-2 districts).</w:t>
      </w:r>
    </w:p>
    <w:p>
      <w:r>
        <w:rPr>
          <w:b/>
        </w:rPr>
        <w:t>Temporal coverage (verified):</w:t>
      </w:r>
      <w:r>
        <w:t xml:space="preserve"> food prices 2010-01 → 2026-05; CHIRPS rainfall</w:t>
      </w:r>
    </w:p>
    <w:p>
      <w:r>
        <w:t>1981-01 → 2026-08 (climatology baseline 1981–2015).</w:t>
      </w:r>
    </w:p>
    <w:p>
      <w:r>
        <w:rPr>
          <w:b/>
        </w:rPr>
        <w:t>Includes:</w:t>
      </w:r>
      <w:r>
        <w:t xml:space="preserve"> data cleaning and harmonisation, geographic matching, leakage-safe feature</w:t>
      </w:r>
    </w:p>
    <w:p>
      <w:r>
        <w:t>engineering, construction of two stress targets, model comparison with time-ordered</w:t>
      </w:r>
    </w:p>
    <w:p>
      <w:r>
        <w:t>validation, probability scoring and geospatial presentation.</w:t>
      </w:r>
    </w:p>
    <w:p>
      <w:r>
        <w:rPr>
          <w:b/>
        </w:rPr>
        <w:t>Excludes:</w:t>
      </w:r>
      <w:r>
        <w:t xml:space="preserve"> prediction of household food consumption, poverty, malnutrition, famine or</w:t>
      </w:r>
    </w:p>
    <w:p>
      <w:r>
        <w:t>individual vulnerability; long-term (seasonal/annual) forecasting; temperature, soil</w:t>
      </w:r>
    </w:p>
    <w:p>
      <w:r>
        <w:t>moisture, vegetation/NDVI, crop yield, conflict, fuel-price, border and informal-FX data</w:t>
      </w:r>
    </w:p>
    <w:p>
      <w:r>
        <w:t>(not available).</w:t>
      </w:r>
    </w:p>
    <w:p>
      <w:pPr>
        <w:pStyle w:val="Heading2"/>
      </w:pPr>
      <w:r>
        <w:t>1.9 Project Assumptions (each linked to a validation procedure)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Assumption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it is tested in this project</w:t>
            </w:r>
          </w:p>
        </w:tc>
      </w:tr>
      <w:tr>
        <w:tc>
          <w:tcPr>
            <w:tcW w:type="dxa" w:w="4320"/>
          </w:tcPr>
          <w:p>
            <w:r/>
            <w:r>
              <w:t>Price and rainfall data are usable after cleaning</w:t>
            </w:r>
          </w:p>
        </w:tc>
        <w:tc>
          <w:tcPr>
            <w:tcW w:type="dxa" w:w="4320"/>
          </w:tcPr>
          <w:p>
            <w:r/>
            <w:r>
              <w:t>Data-quality report; zero/negative prices removed; log returns finite (`tests/run_checks.py`)</w:t>
            </w:r>
          </w:p>
        </w:tc>
      </w:tr>
      <w:tr>
        <w:tc>
          <w:tcPr>
            <w:tcW w:type="dxa" w:w="4320"/>
          </w:tcPr>
          <w:p>
            <w:r/>
            <w:r>
              <w:t>Datasets can be linked</w:t>
            </w:r>
          </w:p>
        </w:tc>
        <w:tc>
          <w:tcPr>
            <w:tcW w:type="dxa" w:w="4320"/>
          </w:tcPr>
          <w:p>
            <w:r/>
            <w:r>
              <w:t>327/335 markets matched to districts; unmatched 8 flagged, not silently assigned</w:t>
            </w:r>
          </w:p>
        </w:tc>
      </w:tr>
      <w:tr>
        <w:tc>
          <w:tcPr>
            <w:tcW w:type="dxa" w:w="4320"/>
          </w:tcPr>
          <w:p>
            <w:r/>
            <w:r>
              <w:t>Time order is respected</w:t>
            </w:r>
          </w:p>
        </w:tc>
        <w:tc>
          <w:tcPr>
            <w:tcW w:type="dxa" w:w="4320"/>
          </w:tcPr>
          <w:p>
            <w:r/>
            <w:r>
              <w:t>Only trailing windows/expanding peer statistics; holdout begins the month after training ends</w:t>
            </w:r>
          </w:p>
        </w:tc>
      </w:tr>
      <w:tr>
        <w:tc>
          <w:tcPr>
            <w:tcW w:type="dxa" w:w="4320"/>
          </w:tcPr>
          <w:p>
            <w:r/>
            <w:r>
              <w:t>Future information can be excluded</w:t>
            </w:r>
          </w:p>
        </w:tc>
        <w:tc>
          <w:tcPr>
            <w:tcW w:type="dxa" w:w="4320"/>
          </w:tcPr>
          <w:p>
            <w:r/>
            <w:r>
              <w:t>Leakage tests: the predictor matrix contains no `t+1` field; rolling features verified</w:t>
            </w:r>
          </w:p>
        </w:tc>
      </w:tr>
      <w:tr>
        <w:tc>
          <w:tcPr>
            <w:tcW w:type="dxa" w:w="4320"/>
          </w:tcPr>
          <w:p>
            <w:r/>
            <w:r>
              <w:t>Price/rainfall features contain signal</w:t>
            </w:r>
          </w:p>
        </w:tc>
        <w:tc>
          <w:tcPr>
            <w:tcW w:type="dxa" w:w="4320"/>
          </w:tcPr>
          <w:p>
            <w:r/>
            <w:r>
              <w:t>Feature-exclusion experiments (`phase6b_feature_exclusion.csv`)</w:t>
            </w:r>
          </w:p>
        </w:tc>
      </w:tr>
      <w:tr>
        <w:tc>
          <w:tcPr>
            <w:tcW w:type="dxa" w:w="4320"/>
          </w:tcPr>
          <w:p>
            <w:r/>
            <w:r>
              <w:t>Patterns may transfer to later periods</w:t>
            </w:r>
          </w:p>
        </w:tc>
        <w:tc>
          <w:tcPr>
            <w:tcW w:type="dxa" w:w="4320"/>
          </w:tcPr>
          <w:p>
            <w:r/>
            <w:r>
              <w:t xml:space="preserve">Forward holdout + by-year/by-currency analysis; transfer is </w:t>
            </w:r>
            <w:r>
              <w:rPr>
                <w:b/>
              </w:rPr>
              <w:t>not</w:t>
            </w:r>
            <w:r>
              <w:t xml:space="preserve"> assumed (Ch.4)</w:t>
            </w:r>
          </w:p>
        </w:tc>
      </w:tr>
      <w:tr>
        <w:tc>
          <w:tcPr>
            <w:tcW w:type="dxa" w:w="4320"/>
          </w:tcPr>
          <w:p>
            <w:r/>
            <w:r>
              <w:t>A prediction is an early-warning signal, not household insecurity</w:t>
            </w:r>
          </w:p>
        </w:tc>
        <w:tc>
          <w:tcPr>
            <w:tcW w:type="dxa" w:w="4320"/>
          </w:tcPr>
          <w:p>
            <w:r/>
            <w:r>
              <w:t>Explicit scope boundary and interpretation statement</w:t>
            </w:r>
          </w:p>
        </w:tc>
      </w:tr>
    </w:tbl>
    <w:p>
      <w:r>
        <w:t>Where an assumption is not supported (e.g. transferability), it is recorded as a</w:t>
      </w:r>
    </w:p>
    <w:p>
      <w:r>
        <w:t>limitation rather than hidden.</w:t>
      </w:r>
    </w:p>
    <w:p>
      <w:pPr>
        <w:pStyle w:val="Heading2"/>
      </w:pPr>
      <w:r>
        <w:t>1.10 Definition of key terms (supervisor C1.4)</w:t>
      </w:r>
    </w:p>
    <w:p>
      <w:pPr>
        <w:pStyle w:val="ListBullet"/>
      </w:pPr>
      <w:r>
        <w:rPr>
          <w:b/>
        </w:rPr>
        <w:t>Prediction unit:</w:t>
      </w:r>
      <w:r>
        <w:t xml:space="preserve"> one `market × commodity × currency × month` observation.</w:t>
      </w:r>
    </w:p>
    <w:p>
      <w:pPr>
        <w:pStyle w:val="ListBullet"/>
      </w:pPr>
      <w:r>
        <w:rPr>
          <w:b/>
        </w:rPr>
        <w:t>Forecast horizon:</w:t>
      </w:r>
      <w:r>
        <w:t xml:space="preserve"> the </w:t>
      </w:r>
      <w:r>
        <w:rPr>
          <w:b/>
        </w:rPr>
        <w:t>following</w:t>
      </w:r>
      <w:r>
        <w:t xml:space="preserve"> calendar month (1 month ahead).</w:t>
      </w:r>
    </w:p>
    <w:p>
      <w:pPr>
        <w:pStyle w:val="ListBullet"/>
      </w:pPr>
      <w:r>
        <w:rPr>
          <w:b/>
        </w:rPr>
        <w:t>Food price stress (this project):</w:t>
      </w:r>
      <w:r>
        <w:t xml:space="preserve"> a </w:t>
      </w:r>
      <w:r>
        <w:rPr>
          <w:i/>
        </w:rPr>
        <w:t>market price</w:t>
      </w:r>
      <w:r>
        <w:t xml:space="preserve"> event — either (Y1) a</w:t>
      </w:r>
    </w:p>
    <w:p>
      <w:r>
        <w:t>standardised next-month log return ≥ +1.0 SD of the series' trailing distribution, or</w:t>
      </w:r>
    </w:p>
    <w:p>
      <w:r>
        <w:t>(Y2) a next-month price ≥ 1.20 × the peer-market median for the same commodity and</w:t>
      </w:r>
    </w:p>
    <w:p>
      <w:r>
        <w:t>currency. See Chapter 3.4.12.</w:t>
      </w:r>
    </w:p>
    <w:p>
      <w:pPr>
        <w:pStyle w:val="ListBullet"/>
      </w:pPr>
      <w:r>
        <w:rPr>
          <w:b/>
        </w:rPr>
        <w:t>Not the same as price inflation:</w:t>
      </w:r>
      <w:r>
        <w:t xml:space="preserve"> inflation is a general, sustained change in the</w:t>
      </w:r>
    </w:p>
    <w:p>
      <w:r>
        <w:t xml:space="preserve">price level; stress here is a </w:t>
      </w:r>
      <w:r>
        <w:rPr>
          <w:i/>
        </w:rPr>
        <w:t>relative, local, one-month</w:t>
      </w:r>
      <w:r>
        <w:t xml:space="preserve"> price movement.</w:t>
      </w:r>
    </w:p>
    <w:p>
      <w:pPr>
        <w:pStyle w:val="ListBullet"/>
      </w:pPr>
      <w:r>
        <w:rPr>
          <w:b/>
        </w:rPr>
        <w:t>Not the same as household food insecurity:</w:t>
      </w:r>
      <w:r>
        <w:t xml:space="preserve"> insecurity depends on income, assets,</w:t>
      </w:r>
    </w:p>
    <w:p>
      <w:r>
        <w:t>labour, remittances, own production and social protection, none of which are in the</w:t>
      </w:r>
    </w:p>
    <w:p>
      <w:r>
        <w:t>feature set. A market signal is not a household classification.</w:t>
      </w:r>
    </w:p>
    <w:p>
      <w:pPr>
        <w:pStyle w:val="Heading2"/>
      </w:pPr>
      <w:r>
        <w:t>1.11 Relevance and Significance</w:t>
      </w:r>
    </w:p>
    <w:p>
      <w:r>
        <w:t>The project is relevant because it shows how dispersed Zimbabwean data sources can be</w:t>
      </w:r>
    </w:p>
    <w:p>
      <w:r>
        <w:t>integrated into one reproducible process, and it is significant because it provides a</w:t>
      </w:r>
    </w:p>
    <w:p>
      <w:r>
        <w:t>transparent, updatable market signal that can supplement — not replace — existing</w:t>
      </w:r>
    </w:p>
    <w:p>
      <w:r>
        <w:t>monitoring. Its most defensible contribution is the **documented, leakage-controlled,</w:t>
      </w:r>
    </w:p>
    <w:p>
      <w:r>
        <w:t>reproducible workflow**, together with an honest account of limited temporal</w:t>
      </w:r>
    </w:p>
    <w:p>
      <w:r>
        <w:t>generalisability (see Chapter 5).</w:t>
      </w:r>
    </w:p>
    <w:p>
      <w:pPr>
        <w:pStyle w:val="Heading2"/>
      </w:pPr>
      <w:r>
        <w:t>1.12 Chapter Summary</w:t>
      </w:r>
    </w:p>
    <w:p>
      <w:r>
        <w:t>This chapter introduced the project, stated the specific missing capability, defined</w:t>
      </w:r>
    </w:p>
    <w:p>
      <w:r>
        <w:t>food price stress precisely (unit, horizon, and its distinction from inflation and</w:t>
      </w:r>
    </w:p>
    <w:p>
      <w:r>
        <w:t>household insecurity), set measurable objectives with acceptance criteria, named the</w:t>
      </w:r>
    </w:p>
    <w:p>
      <w:r>
        <w:t>primary user, fixed the temporal coverage, and tied each assumption to a validation</w:t>
      </w:r>
    </w:p>
    <w:p>
      <w:r>
        <w:t>procedure. Chapter 2 reviews the literature; Chapter 3 gives the reproducible method.</w:t>
      </w:r>
    </w:p>
    <w:p>
      <w:r>
        <w:br w:type="page"/>
      </w:r>
    </w:p>
    <w:p>
      <w:pPr>
        <w:pStyle w:val="Heading1"/>
      </w:pPr>
      <w:r>
        <w:t>Revised Chapter 2 — Literature Review</w:t>
      </w:r>
    </w:p>
    <w:p>
      <w:pPr>
        <w:pStyle w:val="IntenseQuote"/>
      </w:pPr>
      <w:r>
        <w:t>Revision notes: addresses supervisor comments C2.1–C2.5. Citations are drawn from the</w:t>
      </w:r>
    </w:p>
    <w:p>
      <w:pPr>
        <w:pStyle w:val="IntenseQuote"/>
      </w:pPr>
      <w:r>
        <w:t>reference list in `reports/revision/references.md`. The retained</w:t>
      </w:r>
    </w:p>
    <w:p>
      <w:pPr>
        <w:pStyle w:val="IntenseQuote"/>
      </w:pPr>
      <w:r>
        <w:t xml:space="preserve">corpus contains </w:t>
      </w:r>
      <w:r>
        <w:rPr>
          <w:b/>
        </w:rPr>
        <w:t>33 unique sources</w:t>
      </w:r>
      <w:r>
        <w:t xml:space="preserve">: </w:t>
      </w:r>
      <w:r>
        <w:rPr>
          <w:b/>
        </w:rPr>
        <w:t>21 refereed journal articles</w:t>
      </w:r>
      <w:r>
        <w:t xml:space="preserve"> + **1 refereed</w:t>
      </w:r>
    </w:p>
    <w:p>
      <w:pPr>
        <w:pStyle w:val="IntenseQuote"/>
      </w:pPr>
      <w:r>
        <w:t>conference paper** (22 refereed scholarly works), 1 edited-volume chapter, 1</w:t>
      </w:r>
    </w:p>
    <w:p>
      <w:pPr>
        <w:pStyle w:val="IntenseQuote"/>
      </w:pPr>
      <w:r>
        <w:t>process-model guide, and 9 institutional/grey reports. Every claim below is</w:t>
      </w:r>
    </w:p>
    <w:p>
      <w:pPr>
        <w:pStyle w:val="IntenseQuote"/>
      </w:pPr>
      <w:r>
        <w:t>attributed to an identified source; no source is cited for a result it does not report.</w:t>
      </w:r>
    </w:p>
    <w:p>
      <w:pPr>
        <w:pStyle w:val="Heading2"/>
      </w:pPr>
      <w:r>
        <w:t>2.1 Introduction</w:t>
      </w:r>
    </w:p>
    <w:p>
      <w:r>
        <w:t>This chapter reviews the literature that frames the study, organised around seven themes:</w:t>
      </w:r>
    </w:p>
    <w:p>
      <w:r>
        <w:t>(a) the economics of food/commodity price behaviour and volatility; (b) spatial price</w:t>
      </w:r>
    </w:p>
    <w:p>
      <w:r>
        <w:t>transmission and market integration; (c) price seasonality; (d) rainfall, ENSO and</w:t>
      </w:r>
    </w:p>
    <w:p>
      <w:r>
        <w:t>climate drivers; (e) food insecurity and the Zimbabwean context; (f) machine-learning</w:t>
      </w:r>
    </w:p>
    <w:p>
      <w:r>
        <w:t>approaches to food-security and climate prediction; and (g) cross-validation and</w:t>
      </w:r>
    </w:p>
    <w:p>
      <w:r>
        <w:t>methodology for temporal data. Each research question is then mapped to a measurable</w:t>
      </w:r>
    </w:p>
    <w:p>
      <w:r>
        <w:t>objective, procedure and output (§2.9), and the literature gap is stated as a</w:t>
      </w:r>
    </w:p>
    <w:p>
      <w:r>
        <w:rPr>
          <w:b/>
        </w:rPr>
        <w:t>comparison</w:t>
      </w:r>
      <w:r>
        <w:t xml:space="preserve"> (§2.8), not as the absence of any comparable system.</w:t>
      </w:r>
    </w:p>
    <w:p>
      <w:pPr>
        <w:pStyle w:val="Heading2"/>
      </w:pPr>
      <w:r>
        <w:t>2.2 The Economics of Commodity Price Behaviour and Volatility</w:t>
      </w:r>
    </w:p>
    <w:p>
      <w:r>
        <w:t>Deaton and Laroque (1992) provide the foundational commodity-storage model in which</w:t>
      </w:r>
    </w:p>
    <w:p>
      <w:r>
        <w:t>prices are driven by stockholding behaviour and expectations of future scarcity; their</w:t>
      </w:r>
    </w:p>
    <w:p>
      <w:r>
        <w:t>framework explains why commodity prices display autocorrelation and occasional sharp</w:t>
      </w:r>
    </w:p>
    <w:p>
      <w:r>
        <w:t>spikes. Wright (2011) reviews the economics of grain price volatility, arguing that both</w:t>
      </w:r>
    </w:p>
    <w:p>
      <w:r>
        <w:t>fundamentals (supply shocks, stocks) and market-structure factors shape volatility, and</w:t>
      </w:r>
    </w:p>
    <w:p>
      <w:r>
        <w:t>that volatility is often episodic rather than constant. Symeonidis, Prokopczuk, Brooks</w:t>
      </w:r>
    </w:p>
    <w:p>
      <w:r>
        <w:t>and Lazar (2012) show empirically that the futures basis and inventory levels are linked</w:t>
      </w:r>
    </w:p>
    <w:p>
      <w:r>
        <w:t xml:space="preserve">to commodity price volatility, supporting the idea that </w:t>
      </w:r>
      <w:r>
        <w:rPr>
          <w:i/>
        </w:rPr>
        <w:t>relative</w:t>
      </w:r>
      <w:r>
        <w:t xml:space="preserve"> price positions carry</w:t>
      </w:r>
    </w:p>
    <w:p>
      <w:r>
        <w:t>information about stress. Together these studies justify modelling a *standardised,</w:t>
      </w:r>
    </w:p>
    <w:p>
      <w:r>
        <w:t>series-relative* price movement (this study's Y1) rather than a raw price level, because</w:t>
      </w:r>
    </w:p>
    <w:p>
      <w:r>
        <w:t>the level alone is confounded by inflation and currency.</w:t>
      </w:r>
    </w:p>
    <w:p>
      <w:pPr>
        <w:pStyle w:val="Heading2"/>
      </w:pPr>
      <w:r>
        <w:t>2.3 Spatial Price Transmission and Market Integration</w:t>
      </w:r>
    </w:p>
    <w:p>
      <w:r>
        <w:t>Fackler and Goodwin (2001) systematise spatial price analysis, establishing that price</w:t>
      </w:r>
    </w:p>
    <w:p>
      <w:r>
        <w:t>differences between locations reflect trade costs, transaction costs and arbitrage.</w:t>
      </w:r>
    </w:p>
    <w:p>
      <w:r>
        <w:t>Burke and Myers (2014) examine Southern African maize markets linked by informal trade</w:t>
      </w:r>
    </w:p>
    <w:p>
      <w:r>
        <w:t>and find meaningful spatial equilibrium and price transmission, demonstrating that</w:t>
      </w:r>
    </w:p>
    <w:p>
      <w:r>
        <w:t>regional markets are interconnected but imperfectly so. Davids, Meyer and Westhoff (2017)</w:t>
      </w:r>
    </w:p>
    <w:p>
      <w:r>
        <w:t>show that trade controls distort price transmission between Southern African maize</w:t>
      </w:r>
    </w:p>
    <w:p>
      <w:r>
        <w:t>markets. Porteous (2019) estimates a dynamic model of African agricultural storage and</w:t>
      </w:r>
    </w:p>
    <w:p>
      <w:r>
        <w:t>trade, showing that high trade costs strongly affect storage and price behaviour. Mahdi</w:t>
      </w:r>
    </w:p>
    <w:p>
      <w:r>
        <w:t>and Bonato (2015) study spatial integration in Zimbabwean product markets specifically.</w:t>
      </w:r>
    </w:p>
    <w:p>
      <w:r>
        <w:t xml:space="preserve">Collectively these works motivate this study's </w:t>
      </w:r>
      <w:r>
        <w:rPr>
          <w:b/>
        </w:rPr>
        <w:t>peer-relative target (Y2)</w:t>
      </w:r>
      <w:r>
        <w:t>, which</w:t>
      </w:r>
    </w:p>
    <w:p>
      <w:r>
        <w:t>measures a market's price against the median of nearby markets for the same commodity and</w:t>
      </w:r>
    </w:p>
    <w:p>
      <w:r>
        <w:t>currency — a direct operationalisation of spatial price dispersion theory.</w:t>
      </w:r>
    </w:p>
    <w:p>
      <w:pPr>
        <w:pStyle w:val="Heading2"/>
      </w:pPr>
      <w:r>
        <w:t>2.4 Food Price Seasonality</w:t>
      </w:r>
    </w:p>
    <w:p>
      <w:r>
        <w:t>Gilbert, Christiaensen and Kaminski (2017) measure food price seasonality across Africa</w:t>
      </w:r>
    </w:p>
    <w:p>
      <w:r>
        <w:t>and show that many staple markets exhibit predictable within-year price cycles linked to</w:t>
      </w:r>
    </w:p>
    <w:p>
      <w:r>
        <w:t>harvest and lean seasons. This justifies including calendar/seasonal features</w:t>
      </w:r>
    </w:p>
    <w:p>
      <w:r>
        <w:t xml:space="preserve">(`month_sin`, `month_cos`) in the predictor set and expecting the </w:t>
      </w:r>
      <w:r>
        <w:rPr>
          <w:i/>
        </w:rPr>
        <w:t>timing</w:t>
      </w:r>
      <w:r>
        <w:t xml:space="preserve"> of price</w:t>
      </w:r>
    </w:p>
    <w:p>
      <w:r>
        <w:t>stress to be partly seasonal.</w:t>
      </w:r>
    </w:p>
    <w:p>
      <w:pPr>
        <w:pStyle w:val="Heading2"/>
      </w:pPr>
      <w:r>
        <w:t>2.5 Rainfall, ENSO and Climate Drivers</w:t>
      </w:r>
    </w:p>
    <w:p>
      <w:r>
        <w:t>Funk et al. (2015) describe CHIRPS, the rainfall dataset used in this study, establishing</w:t>
      </w:r>
    </w:p>
    <w:p>
      <w:r>
        <w:t>it as a quasi-global, station-corrected infrared precipitation record suitable for</w:t>
      </w:r>
    </w:p>
    <w:p>
      <w:r>
        <w:t>monitoring extremes. Phillips, Cane and Rosenzweig (1998) link ENSO and seasonal rainfall</w:t>
      </w:r>
    </w:p>
    <w:p>
      <w:r>
        <w:t>patterns to simulated maize-yield variability in Zimbabwe, providing Zimbabwe-specific</w:t>
      </w:r>
    </w:p>
    <w:p>
      <w:r>
        <w:t>evidence that rainfall anomalies propagate into agricultural outcomes. Sazib, Mladenova</w:t>
      </w:r>
    </w:p>
    <w:p>
      <w:r>
        <w:t>and Bolten (2020) use Earth-observation data to assess ENSO impacts on African</w:t>
      </w:r>
    </w:p>
    <w:p>
      <w:r>
        <w:t>agriculture, and Mugiyo et al. (2023) analyse the 2023/24 El Niño and anticipatory-action</w:t>
      </w:r>
    </w:p>
    <w:p>
      <w:r>
        <w:t>strategies for Zimbabwe. Mano and Nhemachena (2007) apply a Ricardian approach to estimate</w:t>
      </w:r>
    </w:p>
    <w:p>
      <w:r>
        <w:t>the economic impacts of climate change on Zimbabwean agriculture. Shukla et al. (2020)</w:t>
      </w:r>
    </w:p>
    <w:p>
      <w:r>
        <w:t>demonstrate operational hydrological monitoring/forecasting to improve early warning of</w:t>
      </w:r>
    </w:p>
    <w:p>
      <w:r>
        <w:t>drought-driven food insecurity in southern Africa. These studies establish rainfall as a</w:t>
      </w:r>
    </w:p>
    <w:p>
      <w:r>
        <w:t xml:space="preserve">plausible but </w:t>
      </w:r>
      <w:r>
        <w:rPr>
          <w:b/>
        </w:rPr>
        <w:t>indirect and lagged</w:t>
      </w:r>
      <w:r>
        <w:t xml:space="preserve"> driver of food price stress — consistent with this</w:t>
      </w:r>
    </w:p>
    <w:p>
      <w:r>
        <w:t>study's empirical finding of a weak lead-1 association (Ch.4.5).</w:t>
      </w:r>
    </w:p>
    <w:p>
      <w:pPr>
        <w:pStyle w:val="Heading2"/>
      </w:pPr>
      <w:r>
        <w:t>2.6 Food Insecurity and the Zimbabwean Context</w:t>
      </w:r>
    </w:p>
    <w:p>
      <w:r>
        <w:t>Tawodzera (2011) documents urban household food insecurity in Epworth, Harare, showing</w:t>
      </w:r>
    </w:p>
    <w:p>
      <w:r>
        <w:t>how urban vulnerability can be severe and distinct from rural patterns. Mango, Zamasiya,</w:t>
      </w:r>
    </w:p>
    <w:p>
      <w:r>
        <w:t>Makate, Nyikahadzoi and Siziba (2014) analyse the factors influencing household food</w:t>
      </w:r>
    </w:p>
    <w:p>
      <w:r>
        <w:t>security among smallholder farmers in Mudzi district. Bhalla, Handa, Angeles and</w:t>
      </w:r>
    </w:p>
    <w:p>
      <w:r>
        <w:t>Seidenfeld (2018) evaluate the effect of cash transfers and household vulnerability on</w:t>
      </w:r>
    </w:p>
    <w:p>
      <w:r>
        <w:t>food security in Zimbabwe, showing that income transfers and vulnerability mediate</w:t>
      </w:r>
    </w:p>
    <w:p>
      <w:r>
        <w:t>insecurity. Melesse, Tirra, Homann-Kee Tui, Van Rooyen and Hauser (2023) study livestock</w:t>
      </w:r>
    </w:p>
    <w:p>
      <w:r>
        <w:t>market participation and food-security outcomes. Moyo (2024) analyses the political</w:t>
      </w:r>
    </w:p>
    <w:p>
      <w:r>
        <w:t>economy of Zimbabwe's 2019–2020 food crisis. Kramarenko et al. (2010) document</w:t>
      </w:r>
    </w:p>
    <w:p>
      <w:r>
        <w:t>Zimbabwe's hyperinflation and post-crisis monetary challenges, and the World Bank (2021)</w:t>
      </w:r>
    </w:p>
    <w:p>
      <w:r>
        <w:t>reports on the macro-economic environment including currency and price instability.</w:t>
      </w:r>
    </w:p>
    <w:p>
      <w:r>
        <w:t>Institutional monitoring is provided by WFP (2025a, 2025b), the IPC/FEWS NET Zimbabwe</w:t>
      </w:r>
    </w:p>
    <w:p>
      <w:r>
        <w:t>acute food-insecurity classification (FEWS NET, n.d.) and the ZimLAC rural livelihoods</w:t>
      </w:r>
    </w:p>
    <w:p>
      <w:r>
        <w:t xml:space="preserve">assessment (ZimLAC, 2024). Crucially, these sources analyse </w:t>
      </w:r>
      <w:r>
        <w:rPr>
          <w:b/>
        </w:rPr>
        <w:t>household</w:t>
      </w:r>
      <w:r>
        <w:t xml:space="preserve"> food security</w:t>
      </w:r>
    </w:p>
    <w:p>
      <w:r>
        <w:t>and macro conditions; none provides a monthly, market-commodity, machine-readable</w:t>
      </w:r>
    </w:p>
    <w:p>
      <w:r>
        <w:rPr>
          <w:i/>
        </w:rPr>
        <w:t>probability of next-month price stress</w:t>
      </w:r>
      <w:r>
        <w:t>. This is the distinction this study preserves</w:t>
      </w:r>
    </w:p>
    <w:p>
      <w:r>
        <w:t xml:space="preserve">throughout: it predicts a </w:t>
      </w:r>
      <w:r>
        <w:rPr>
          <w:b/>
        </w:rPr>
        <w:t>market price</w:t>
      </w:r>
      <w:r>
        <w:t xml:space="preserve"> condition, not household insecurity.</w:t>
      </w:r>
    </w:p>
    <w:p>
      <w:pPr>
        <w:pStyle w:val="Heading2"/>
      </w:pPr>
      <w:r>
        <w:t>2.7 Machine Learning for Food Security and Climate Prediction</w:t>
      </w:r>
    </w:p>
    <w:p>
      <w:r>
        <w:t>Busker et al. (2024) use machine learning to predict food-security crises in the Horn of</w:t>
      </w:r>
    </w:p>
    <w:p>
      <w:r>
        <w:t>Africa, demonstrating both the potential and the difficulty of predicting crisis</w:t>
      </w:r>
    </w:p>
    <w:p>
      <w:r>
        <w:t>transitions from heterogeneous data. Westerveld et al. (2021) forecast transitions in the</w:t>
      </w:r>
    </w:p>
    <w:p>
      <w:r>
        <w:t>state of food security using machine learning with transferable features, directly</w:t>
      </w:r>
    </w:p>
    <w:p>
      <w:r>
        <w:t>relevant to the idea of reusable predictors across contexts. He, Li, DelSole, Ravikumar</w:t>
      </w:r>
    </w:p>
    <w:p>
      <w:r>
        <w:t>and Banerjee (2021) assess machine learning for sub-seasonal climate forecasting,</w:t>
      </w:r>
    </w:p>
    <w:p>
      <w:r>
        <w:t>documenting the challenges and the modest skill achievable at these horizons. Reichstein</w:t>
      </w:r>
    </w:p>
    <w:p>
      <w:r>
        <w:t>et al. (2019) set out how deep learning can complement process understanding in Earth</w:t>
      </w:r>
    </w:p>
    <w:p>
      <w:r>
        <w:t>system science, including its cautions about generalisation and interpretability.</w:t>
      </w:r>
    </w:p>
    <w:p>
      <w:r>
        <w:t>Chapman et al. (2000) provide the CRISP-DM process model adopted in this study's</w:t>
      </w:r>
    </w:p>
    <w:p>
      <w:r>
        <w:t>methodology. These works justify treating machine learning — including boosted trees such</w:t>
      </w:r>
    </w:p>
    <w:p>
      <w:r>
        <w:t xml:space="preserve">as XGBoost — as </w:t>
      </w:r>
      <w:r>
        <w:rPr>
          <w:b/>
        </w:rPr>
        <w:t>candidates to be tested</w:t>
      </w:r>
      <w:r>
        <w:t>, not as an assumed superior method, exactly</w:t>
      </w:r>
    </w:p>
    <w:p>
      <w:r>
        <w:t>as the results confirm (Ch.4.4).</w:t>
      </w:r>
    </w:p>
    <w:p>
      <w:pPr>
        <w:pStyle w:val="Heading2"/>
      </w:pPr>
      <w:r>
        <w:t>2.8 The Research Gap (by comparison)</w:t>
      </w:r>
    </w:p>
    <w:p>
      <w:r>
        <w:t>Existing capability and this study's addition: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System / source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Provides a machine-readable next-month market–commodity price-stress probability?</w:t>
            </w:r>
          </w:p>
        </w:tc>
      </w:tr>
      <w:tr>
        <w:tc>
          <w:tcPr>
            <w:tcW w:type="dxa" w:w="2160"/>
          </w:tcPr>
          <w:p>
            <w:r/>
            <w:r>
              <w:t>WFP market monitoring (WFP, 2025a, 2025b)</w:t>
            </w:r>
          </w:p>
        </w:tc>
        <w:tc>
          <w:tcPr>
            <w:tcW w:type="dxa" w:w="2160"/>
          </w:tcPr>
          <w:p>
            <w:r/>
            <w:r>
              <w:t>Market/national</w:t>
            </w:r>
          </w:p>
        </w:tc>
        <w:tc>
          <w:tcPr>
            <w:tcW w:type="dxa" w:w="2160"/>
          </w:tcPr>
          <w:p>
            <w:r/>
            <w:r>
              <w:t>Price levels, availability</w:t>
            </w:r>
          </w:p>
        </w:tc>
        <w:tc>
          <w:tcPr>
            <w:tcW w:type="dxa" w:w="2160"/>
          </w:tcPr>
          <w:p>
            <w:r/>
            <w:r>
              <w:t>No — descriptive indicators</w:t>
            </w:r>
          </w:p>
        </w:tc>
      </w:tr>
      <w:tr>
        <w:tc>
          <w:tcPr>
            <w:tcW w:type="dxa" w:w="2160"/>
          </w:tcPr>
          <w:p>
            <w:r/>
            <w:r>
              <w:t>FEWS NET / IPC (FEWS NET, n.d.)</w:t>
            </w:r>
          </w:p>
        </w:tc>
        <w:tc>
          <w:tcPr>
            <w:tcW w:type="dxa" w:w="2160"/>
          </w:tcPr>
          <w:p>
            <w:r/>
            <w:r>
              <w:t>Livelihood zone/district</w:t>
            </w:r>
          </w:p>
        </w:tc>
        <w:tc>
          <w:tcPr>
            <w:tcW w:type="dxa" w:w="2160"/>
          </w:tcPr>
          <w:p>
            <w:r/>
            <w:r>
              <w:t>Food-security phase</w:t>
            </w:r>
          </w:p>
        </w:tc>
        <w:tc>
          <w:tcPr>
            <w:tcW w:type="dxa" w:w="2160"/>
          </w:tcPr>
          <w:p>
            <w:r/>
            <w:r>
              <w:t>No — expert scenario outlooks</w:t>
            </w:r>
          </w:p>
        </w:tc>
      </w:tr>
      <w:tr>
        <w:tc>
          <w:tcPr>
            <w:tcW w:type="dxa" w:w="2160"/>
          </w:tcPr>
          <w:p>
            <w:r/>
            <w:r>
              <w:t>ZimVAC / ZimLAC (ZimLAC, 2024)</w:t>
            </w:r>
          </w:p>
        </w:tc>
        <w:tc>
          <w:tcPr>
            <w:tcW w:type="dxa" w:w="2160"/>
          </w:tcPr>
          <w:p>
            <w:r/>
            <w:r>
              <w:t>District/ward</w:t>
            </w:r>
          </w:p>
        </w:tc>
        <w:tc>
          <w:tcPr>
            <w:tcW w:type="dxa" w:w="2160"/>
          </w:tcPr>
          <w:p>
            <w:r/>
            <w:r>
              <w:t>Household livelihoods</w:t>
            </w:r>
          </w:p>
        </w:tc>
        <w:tc>
          <w:tcPr>
            <w:tcW w:type="dxa" w:w="2160"/>
          </w:tcPr>
          <w:p>
            <w:r/>
            <w:r>
              <w:t>No — household assessment</w:t>
            </w:r>
          </w:p>
        </w:tc>
      </w:tr>
      <w:tr>
        <w:tc>
          <w:tcPr>
            <w:tcW w:type="dxa" w:w="2160"/>
          </w:tcPr>
          <w:p>
            <w:r/>
            <w:r>
              <w:t>CHIRPS (Funk et al., 2015)</w:t>
            </w:r>
          </w:p>
        </w:tc>
        <w:tc>
          <w:tcPr>
            <w:tcW w:type="dxa" w:w="2160"/>
          </w:tcPr>
          <w:p>
            <w:r/>
            <w:r>
              <w:t>Pixel→district</w:t>
            </w:r>
          </w:p>
        </w:tc>
        <w:tc>
          <w:tcPr>
            <w:tcW w:type="dxa" w:w="2160"/>
          </w:tcPr>
          <w:p>
            <w:r/>
            <w:r>
              <w:t>Rainfall</w:t>
            </w:r>
          </w:p>
        </w:tc>
        <w:tc>
          <w:tcPr>
            <w:tcW w:type="dxa" w:w="2160"/>
          </w:tcPr>
          <w:p>
            <w:r/>
            <w:r>
              <w:t>N/A — input, not a price model</w:t>
            </w:r>
          </w:p>
        </w:tc>
      </w:tr>
      <w:tr>
        <w:tc>
          <w:tcPr>
            <w:tcW w:type="dxa" w:w="2160"/>
          </w:tcPr>
          <w:p>
            <w:r/>
            <w:r>
              <w:t>Food-security ML crises (Busker et al., 2024; Westerveld et al., 2021)</w:t>
            </w:r>
          </w:p>
        </w:tc>
        <w:tc>
          <w:tcPr>
            <w:tcW w:type="dxa" w:w="2160"/>
          </w:tcPr>
          <w:p>
            <w:r/>
            <w:r>
              <w:t>Region/household</w:t>
            </w:r>
          </w:p>
        </w:tc>
        <w:tc>
          <w:tcPr>
            <w:tcW w:type="dxa" w:w="2160"/>
          </w:tcPr>
          <w:p>
            <w:r/>
            <w:r>
              <w:t>Crisis/household state</w:t>
            </w:r>
          </w:p>
        </w:tc>
        <w:tc>
          <w:tcPr>
            <w:tcW w:type="dxa" w:w="2160"/>
          </w:tcPr>
          <w:p>
            <w:r/>
            <w:r>
              <w:t>Partial — not a market-commodity monthly price model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This study</w:t>
            </w:r>
          </w:p>
        </w:tc>
        <w:tc>
          <w:tcPr>
            <w:tcW w:type="dxa" w:w="2160"/>
          </w:tcPr>
          <w:p>
            <w:r/>
            <w:r>
              <w:t>Market×commodity×district</w:t>
            </w:r>
          </w:p>
        </w:tc>
        <w:tc>
          <w:tcPr>
            <w:tcW w:type="dxa" w:w="2160"/>
          </w:tcPr>
          <w:p>
            <w:r/>
            <w:r>
              <w:t>Next-month price-stress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  <w:r>
              <w:t xml:space="preserve"> (with currency handling, leakage control, chronological validation)</w:t>
            </w:r>
          </w:p>
        </w:tc>
      </w:tr>
    </w:tbl>
    <w:p>
      <w:r>
        <w:rPr>
          <w:b/>
        </w:rPr>
        <w:t>Gap:</w:t>
      </w:r>
      <w:r>
        <w:t xml:space="preserve"> a single, reproducible, monthly, market–commodity–district </w:t>
      </w:r>
      <w:r>
        <w:rPr>
          <w:b/>
        </w:rPr>
        <w:t>probability</w:t>
      </w:r>
      <w:r>
        <w:t xml:space="preserve"> of a</w:t>
      </w:r>
    </w:p>
    <w:p>
      <w:r>
        <w:t xml:space="preserve">pre-defined next-month </w:t>
      </w:r>
      <w:r>
        <w:rPr>
          <w:i/>
        </w:rPr>
        <w:t>price</w:t>
      </w:r>
      <w:r>
        <w:t xml:space="preserve"> stress event for Zimbabwe, combining price, rainfall and</w:t>
      </w:r>
    </w:p>
    <w:p>
      <w:r>
        <w:t>district geography, with currency-regime handling and time-respecting validation. The</w:t>
      </w:r>
    </w:p>
    <w:p>
      <w:r>
        <w:t xml:space="preserve">claim is narrow and specific; it does </w:t>
      </w:r>
      <w:r>
        <w:rPr>
          <w:b/>
        </w:rPr>
        <w:t>not</w:t>
      </w:r>
      <w:r>
        <w:t xml:space="preserve"> assert that WFP, FEWS NET or existing ML</w:t>
      </w:r>
    </w:p>
    <w:p>
      <w:r>
        <w:t>systems lack predictive capability.</w:t>
      </w:r>
    </w:p>
    <w:p>
      <w:pPr>
        <w:pStyle w:val="Heading2"/>
      </w:pPr>
      <w:r>
        <w:t>2.9 Research Questions → Objective / Procedure / Output (C2.1)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RQ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Measurable 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Procedure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</w:tr>
      <w:tr>
        <w:tc>
          <w:tcPr>
            <w:tcW w:type="dxa" w:w="2160"/>
          </w:tcPr>
          <w:p>
            <w:r/>
            <w:r>
              <w:t>RQ1</w:t>
            </w:r>
          </w:p>
        </w:tc>
        <w:tc>
          <w:tcPr>
            <w:tcW w:type="dxa" w:w="2160"/>
          </w:tcPr>
          <w:p>
            <w:r/>
            <w:r>
              <w:t>Integrate WFP prices + CHIRPS into a market-level unit</w:t>
            </w:r>
          </w:p>
        </w:tc>
        <w:tc>
          <w:tcPr>
            <w:tcW w:type="dxa" w:w="2160"/>
          </w:tcPr>
          <w:p>
            <w:r/>
            <w:r>
              <w:t>Food filter, monthly median, point-in-polygon join, currency split</w:t>
            </w:r>
          </w:p>
        </w:tc>
        <w:tc>
          <w:tcPr>
            <w:tcW w:type="dxa" w:w="2160"/>
          </w:tcPr>
          <w:p>
            <w:r/>
            <w:r>
              <w:t>`src/build_dataset.py`; 20,530 cells</w:t>
            </w:r>
          </w:p>
        </w:tc>
      </w:tr>
      <w:tr>
        <w:tc>
          <w:tcPr>
            <w:tcW w:type="dxa" w:w="2160"/>
          </w:tcPr>
          <w:p>
            <w:r/>
            <w:r>
              <w:t>RQ2</w:t>
            </w:r>
          </w:p>
        </w:tc>
        <w:tc>
          <w:tcPr>
            <w:tcW w:type="dxa" w:w="2160"/>
          </w:tcPr>
          <w:p>
            <w:r/>
            <w:r>
              <w:t>Build leakage-free features</w:t>
            </w:r>
          </w:p>
        </w:tc>
        <w:tc>
          <w:tcPr>
            <w:tcW w:type="dxa" w:w="2160"/>
          </w:tcPr>
          <w:p>
            <w:r/>
            <w:r>
              <w:t>Trailing windows; in-month peer stats; 1981–2015 climate baseline</w:t>
            </w:r>
          </w:p>
        </w:tc>
        <w:tc>
          <w:tcPr>
            <w:tcW w:type="dxa" w:w="2160"/>
          </w:tcPr>
          <w:p>
            <w:r/>
            <w:r>
              <w:t>`config/targets.yml`; leakage tests</w:t>
            </w:r>
          </w:p>
        </w:tc>
      </w:tr>
      <w:tr>
        <w:tc>
          <w:tcPr>
            <w:tcW w:type="dxa" w:w="2160"/>
          </w:tcPr>
          <w:p>
            <w:r/>
            <w:r>
              <w:t>RQ3</w:t>
            </w:r>
          </w:p>
        </w:tc>
        <w:tc>
          <w:tcPr>
            <w:tcW w:type="dxa" w:w="2160"/>
          </w:tcPr>
          <w:p>
            <w:r/>
            <w:r>
              <w:t>Compare baselines and learners time-ordered</w:t>
            </w:r>
          </w:p>
        </w:tc>
        <w:tc>
          <w:tcPr>
            <w:tcW w:type="dxa" w:w="2160"/>
          </w:tcPr>
          <w:p>
            <w:r/>
            <w:r>
              <w:t>Expanding-window CV + 12-month holdout</w:t>
            </w:r>
          </w:p>
        </w:tc>
        <w:tc>
          <w:tcPr>
            <w:tcW w:type="dxa" w:w="2160"/>
          </w:tcPr>
          <w:p>
            <w:r/>
            <w:r>
              <w:t>`artifacts/metrics_all_tasks.csv`</w:t>
            </w:r>
          </w:p>
        </w:tc>
      </w:tr>
      <w:tr>
        <w:tc>
          <w:tcPr>
            <w:tcW w:type="dxa" w:w="2160"/>
          </w:tcPr>
          <w:p>
            <w:r/>
            <w:r>
              <w:t>RQ4</w:t>
            </w:r>
          </w:p>
        </w:tc>
        <w:tc>
          <w:tcPr>
            <w:tcW w:type="dxa" w:w="2160"/>
          </w:tcPr>
          <w:p>
            <w:r/>
            <w:r>
              <w:t>Estimate rainfall–price lag</w:t>
            </w:r>
          </w:p>
        </w:tc>
        <w:tc>
          <w:tcPr>
            <w:tcW w:type="dxa" w:w="2160"/>
          </w:tcPr>
          <w:p>
            <w:r/>
            <w:r>
              <w:t>Pearson &amp; Spearman + Fisher-z CI</w:t>
            </w:r>
          </w:p>
        </w:tc>
        <w:tc>
          <w:tcPr>
            <w:tcW w:type="dxa" w:w="2160"/>
          </w:tcPr>
          <w:p>
            <w:r/>
            <w:r>
              <w:t>`reports/phase6_lead_lag.csv`</w:t>
            </w:r>
          </w:p>
        </w:tc>
      </w:tr>
      <w:tr>
        <w:tc>
          <w:tcPr>
            <w:tcW w:type="dxa" w:w="2160"/>
          </w:tcPr>
          <w:p>
            <w:r/>
            <w:r>
              <w:t>RQ5</w:t>
            </w:r>
          </w:p>
        </w:tc>
        <w:tc>
          <w:tcPr>
            <w:tcW w:type="dxa" w:w="2160"/>
          </w:tcPr>
          <w:p>
            <w:r/>
            <w:r>
              <w:t>Rank drivers and test stability</w:t>
            </w:r>
          </w:p>
        </w:tc>
        <w:tc>
          <w:tcPr>
            <w:tcW w:type="dxa" w:w="2160"/>
          </w:tcPr>
          <w:p>
            <w:r/>
            <w:r>
              <w:t>OOF permutation importance across folds</w:t>
            </w:r>
          </w:p>
        </w:tc>
        <w:tc>
          <w:tcPr>
            <w:tcW w:type="dxa" w:w="2160"/>
          </w:tcPr>
          <w:p>
            <w:r/>
            <w:r>
              <w:t>`phase6b_importance_stability.csv`</w:t>
            </w:r>
          </w:p>
        </w:tc>
      </w:tr>
      <w:tr>
        <w:tc>
          <w:tcPr>
            <w:tcW w:type="dxa" w:w="2160"/>
          </w:tcPr>
          <w:p>
            <w:r/>
            <w:r>
              <w:t>RQ6</w:t>
            </w:r>
          </w:p>
        </w:tc>
        <w:tc>
          <w:tcPr>
            <w:tcW w:type="dxa" w:w="2160"/>
          </w:tcPr>
          <w:p>
            <w:r/>
            <w:r>
              <w:t>Robustness to design choices</w:t>
            </w:r>
          </w:p>
        </w:tc>
        <w:tc>
          <w:tcPr>
            <w:tcW w:type="dxa" w:w="2160"/>
          </w:tcPr>
          <w:p>
            <w:r/>
            <w:r>
              <w:t>Thresholds/windows/features/recalibration</w:t>
            </w:r>
          </w:p>
        </w:tc>
        <w:tc>
          <w:tcPr>
            <w:tcW w:type="dxa" w:w="2160"/>
          </w:tcPr>
          <w:p>
            <w:r/>
            <w:r>
              <w:t>`phase6b_*.csv`</w:t>
            </w:r>
          </w:p>
        </w:tc>
      </w:tr>
      <w:tr>
        <w:tc>
          <w:tcPr>
            <w:tcW w:type="dxa" w:w="2160"/>
          </w:tcPr>
          <w:p>
            <w:r/>
            <w:r>
              <w:t>RQ7</w:t>
            </w:r>
          </w:p>
        </w:tc>
        <w:tc>
          <w:tcPr>
            <w:tcW w:type="dxa" w:w="2160"/>
          </w:tcPr>
          <w:p>
            <w:r/>
            <w:r>
              <w:t>Deliver reproducible scoring prototype</w:t>
            </w:r>
          </w:p>
        </w:tc>
        <w:tc>
          <w:tcPr>
            <w:tcW w:type="dxa" w:w="2160"/>
          </w:tcPr>
          <w:p>
            <w:r/>
            <w:r>
              <w:t>Versioned model + validating dashboard</w:t>
            </w:r>
          </w:p>
        </w:tc>
        <w:tc>
          <w:tcPr>
            <w:tcW w:type="dxa" w:w="2160"/>
          </w:tcPr>
          <w:p>
            <w:r/>
            <w:r>
              <w:t>`src/fit_final_model.py`; `dashboard/app.py`</w:t>
            </w:r>
          </w:p>
        </w:tc>
      </w:tr>
    </w:tbl>
    <w:p>
      <w:pPr>
        <w:pStyle w:val="Heading2"/>
      </w:pPr>
      <w:r>
        <w:t>2.10 Search Strategy and Source Quality (C2.2–C2.4)</w:t>
      </w:r>
    </w:p>
    <w:p>
      <w:r>
        <w:rPr>
          <w:b/>
        </w:rPr>
        <w:t>Databases and search date:</w:t>
      </w:r>
      <w:r>
        <w:t xml:space="preserve"> the systematic search was run on </w:t>
      </w:r>
      <w:r>
        <w:rPr>
          <w:b/>
        </w:rPr>
        <w:t>2026-10-15</w:t>
      </w:r>
      <w:r>
        <w:t xml:space="preserve"> across</w:t>
      </w:r>
    </w:p>
    <w:p>
      <w:r>
        <w:t xml:space="preserve">three databases: </w:t>
      </w:r>
      <w:r>
        <w:rPr>
          <w:b/>
        </w:rPr>
        <w:t>OpenAlex</w:t>
      </w:r>
      <w:r>
        <w:t xml:space="preserve"> (web export), </w:t>
      </w:r>
      <w:r>
        <w:rPr>
          <w:b/>
        </w:rPr>
        <w:t>Semantic Scholar</w:t>
      </w:r>
      <w:r>
        <w:t xml:space="preserve"> and </w:t>
      </w:r>
      <w:r>
        <w:rPr>
          <w:b/>
        </w:rPr>
        <w:t>PubMed</w:t>
      </w:r>
      <w:r>
        <w:t xml:space="preserve"> (the</w:t>
      </w:r>
    </w:p>
    <w:p>
      <w:r>
        <w:t>latter two exported via Publish or Perish). Six documented boolean streams were used; the</w:t>
      </w:r>
    </w:p>
    <w:p>
      <w:r>
        <w:t>raw export files are in `data/literature/raw/`: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Stream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Search string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OpenAlex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Semantic Scholar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PubMed</w:t>
            </w:r>
          </w:p>
        </w:tc>
      </w:tr>
      <w:tr>
        <w:tc>
          <w:tcPr>
            <w:tcW w:type="dxa" w:w="1728"/>
          </w:tcPr>
          <w:p>
            <w:r/>
            <w:r>
              <w:t>S1</w:t>
            </w:r>
          </w:p>
        </w:tc>
        <w:tc>
          <w:tcPr>
            <w:tcW w:type="dxa" w:w="1728"/>
          </w:tcPr>
          <w:p>
            <w:r/>
            <w:r>
              <w:t>`("food price"...) AND ("machine learning" OR xgboost OR "random forest")`</w:t>
            </w:r>
          </w:p>
        </w:tc>
        <w:tc>
          <w:tcPr>
            <w:tcW w:type="dxa" w:w="1728"/>
          </w:tcPr>
          <w:p>
            <w:r/>
            <w:r>
              <w:t>219</w:t>
            </w:r>
          </w:p>
        </w:tc>
        <w:tc>
          <w:tcPr>
            <w:tcW w:type="dxa" w:w="1728"/>
          </w:tcPr>
          <w:p>
            <w:r/>
            <w:r>
              <w:t>112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</w:tr>
      <w:tr>
        <w:tc>
          <w:tcPr>
            <w:tcW w:type="dxa" w:w="1728"/>
          </w:tcPr>
          <w:p>
            <w:r/>
            <w:r>
              <w:t>S2</w:t>
            </w:r>
          </w:p>
        </w:tc>
        <w:tc>
          <w:tcPr>
            <w:tcW w:type="dxa" w:w="1728"/>
          </w:tcPr>
          <w:p>
            <w:r/>
            <w:r>
              <w:t>`("food price"...) AND (forecast OR prediction OR "early warning")`</w:t>
            </w:r>
          </w:p>
        </w:tc>
        <w:tc>
          <w:tcPr>
            <w:tcW w:type="dxa" w:w="1728"/>
          </w:tcPr>
          <w:p>
            <w:r/>
            <w:r>
              <w:t>1,374</w:t>
            </w:r>
          </w:p>
        </w:tc>
        <w:tc>
          <w:tcPr>
            <w:tcW w:type="dxa" w:w="1728"/>
          </w:tcPr>
          <w:p>
            <w:r/>
            <w:r>
              <w:t>809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</w:tr>
      <w:tr>
        <w:tc>
          <w:tcPr>
            <w:tcW w:type="dxa" w:w="1728"/>
          </w:tcPr>
          <w:p>
            <w:r/>
            <w:r>
              <w:t>S3</w:t>
            </w:r>
          </w:p>
        </w:tc>
        <w:tc>
          <w:tcPr>
            <w:tcW w:type="dxa" w:w="1728"/>
          </w:tcPr>
          <w:p>
            <w:r/>
            <w:r>
              <w:t>`("food price"...) AND (Zimbabwe OR "Southern Africa")`</w:t>
            </w:r>
          </w:p>
        </w:tc>
        <w:tc>
          <w:tcPr>
            <w:tcW w:type="dxa" w:w="1728"/>
          </w:tcPr>
          <w:p>
            <w:r/>
            <w:r>
              <w:t>194</w:t>
            </w:r>
          </w:p>
        </w:tc>
        <w:tc>
          <w:tcPr>
            <w:tcW w:type="dxa" w:w="1728"/>
          </w:tcPr>
          <w:p>
            <w:r/>
            <w:r>
              <w:t>115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S4</w:t>
            </w:r>
          </w:p>
        </w:tc>
        <w:tc>
          <w:tcPr>
            <w:tcW w:type="dxa" w:w="1728"/>
          </w:tcPr>
          <w:p>
            <w:r/>
            <w:r>
              <w:t>`("food price" OR "food security") AND ("machine learning" OR "deep learning") AND (predict...)`</w:t>
            </w:r>
          </w:p>
        </w:tc>
        <w:tc>
          <w:tcPr>
            <w:tcW w:type="dxa" w:w="1728"/>
          </w:tcPr>
          <w:p>
            <w:r/>
            <w:r>
              <w:t>3,779</w:t>
            </w:r>
          </w:p>
        </w:tc>
        <w:tc>
          <w:tcPr>
            <w:tcW w:type="dxa" w:w="1728"/>
          </w:tcPr>
          <w:p>
            <w:r/>
            <w:r>
              <w:t>1,000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</w:tr>
      <w:tr>
        <w:tc>
          <w:tcPr>
            <w:tcW w:type="dxa" w:w="1728"/>
          </w:tcPr>
          <w:p>
            <w:r/>
            <w:r>
              <w:t>S5</w:t>
            </w:r>
          </w:p>
        </w:tc>
        <w:tc>
          <w:tcPr>
            <w:tcW w:type="dxa" w:w="1728"/>
          </w:tcPr>
          <w:p>
            <w:r/>
            <w:r>
              <w:t>`("price volatility" OR "price anomaly" OR "price stress") AND (food OR commodity) AND (...)`</w:t>
            </w:r>
          </w:p>
        </w:tc>
        <w:tc>
          <w:tcPr>
            <w:tcW w:type="dxa" w:w="1728"/>
          </w:tcPr>
          <w:p>
            <w:r/>
            <w:r>
              <w:t>226</w:t>
            </w:r>
          </w:p>
        </w:tc>
        <w:tc>
          <w:tcPr>
            <w:tcW w:type="dxa" w:w="1728"/>
          </w:tcPr>
          <w:p>
            <w:r/>
            <w:r>
              <w:t>72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</w:tr>
      <w:tr>
        <w:tc>
          <w:tcPr>
            <w:tcW w:type="dxa" w:w="1728"/>
          </w:tcPr>
          <w:p>
            <w:r/>
            <w:r>
              <w:t>S6</w:t>
            </w:r>
          </w:p>
        </w:tc>
        <w:tc>
          <w:tcPr>
            <w:tcW w:type="dxa" w:w="1728"/>
          </w:tcPr>
          <w:p>
            <w:r/>
            <w:r>
              <w:t>`("food price" OR "maize price"...) AND (rainfall OR drought OR climate) AND (Africa...)`</w:t>
            </w:r>
          </w:p>
        </w:tc>
        <w:tc>
          <w:tcPr>
            <w:tcW w:type="dxa" w:w="1728"/>
          </w:tcPr>
          <w:p>
            <w:r/>
            <w:r>
              <w:t>812</w:t>
            </w:r>
          </w:p>
        </w:tc>
        <w:tc>
          <w:tcPr>
            <w:tcW w:type="dxa" w:w="1728"/>
          </w:tcPr>
          <w:p>
            <w:r/>
            <w:r>
              <w:t>508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</w:tr>
    </w:tbl>
    <w:p>
      <w:r>
        <w:rPr>
          <w:b/>
        </w:rPr>
        <w:t>PRISMA flow (real, reproducible counts).</w:t>
      </w:r>
      <w:r>
        <w:t xml:space="preserve"> The flow is built by</w:t>
      </w:r>
    </w:p>
    <w:p>
      <w:r>
        <w:t>`scripts/prisma_ingest.py` from the downloaded exports; per-record flags are in</w:t>
      </w:r>
    </w:p>
    <w:p>
      <w:r>
        <w:t>`prisma_records.csv` and the query log in `prisma_search_log.csv`.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4320"/>
          </w:tcPr>
          <w:p>
            <w:r/>
            <w:r>
              <w:t>Records identified (3 databases, 6 streams)</w:t>
            </w:r>
          </w:p>
        </w:tc>
        <w:tc>
          <w:tcPr>
            <w:tcW w:type="dxa" w:w="4320"/>
          </w:tcPr>
          <w:p>
            <w:r/>
            <w:r>
              <w:t>9,228</w:t>
            </w:r>
          </w:p>
        </w:tc>
      </w:tr>
      <w:tr>
        <w:tc>
          <w:tcPr>
            <w:tcW w:type="dxa" w:w="4320"/>
          </w:tcPr>
          <w:p>
            <w:r/>
            <w:r>
              <w:t>— OpenAlex / Semantic Scholar / PubMed</w:t>
            </w:r>
          </w:p>
        </w:tc>
        <w:tc>
          <w:tcPr>
            <w:tcW w:type="dxa" w:w="4320"/>
          </w:tcPr>
          <w:p>
            <w:r/>
            <w:r>
              <w:t>6,604 / 2,616 / 8</w:t>
            </w:r>
          </w:p>
        </w:tc>
      </w:tr>
      <w:tr>
        <w:tc>
          <w:tcPr>
            <w:tcW w:type="dxa" w:w="4320"/>
          </w:tcPr>
          <w:p>
            <w:r/>
            <w:r>
              <w:t>Duplicates removed (DOI or normalised title)</w:t>
            </w:r>
          </w:p>
        </w:tc>
        <w:tc>
          <w:tcPr>
            <w:tcW w:type="dxa" w:w="4320"/>
          </w:tcPr>
          <w:p>
            <w:r/>
            <w:r>
              <w:t>2,629</w:t>
            </w:r>
          </w:p>
        </w:tc>
      </w:tr>
      <w:tr>
        <w:tc>
          <w:tcPr>
            <w:tcW w:type="dxa" w:w="4320"/>
          </w:tcPr>
          <w:p>
            <w:r/>
            <w:r>
              <w:t>Unique records screened (title/abstract)</w:t>
            </w:r>
          </w:p>
        </w:tc>
        <w:tc>
          <w:tcPr>
            <w:tcW w:type="dxa" w:w="4320"/>
          </w:tcPr>
          <w:p>
            <w:r/>
            <w:r>
              <w:t>6,599</w:t>
            </w:r>
          </w:p>
        </w:tc>
      </w:tr>
      <w:tr>
        <w:tc>
          <w:tcPr>
            <w:tcW w:type="dxa" w:w="4320"/>
          </w:tcPr>
          <w:p>
            <w:r/>
            <w:r>
              <w:t xml:space="preserve">— excluded (no food/price </w:t>
            </w:r>
            <w:r>
              <w:rPr>
                <w:b/>
              </w:rPr>
              <w:t>topic</w:t>
            </w:r>
            <w:r>
              <w:t xml:space="preserve"> term)</w:t>
            </w:r>
          </w:p>
        </w:tc>
        <w:tc>
          <w:tcPr>
            <w:tcW w:type="dxa" w:w="4320"/>
          </w:tcPr>
          <w:p>
            <w:r/>
            <w:r>
              <w:t>1,705</w:t>
            </w:r>
          </w:p>
        </w:tc>
      </w:tr>
      <w:tr>
        <w:tc>
          <w:tcPr>
            <w:tcW w:type="dxa" w:w="4320"/>
          </w:tcPr>
          <w:p>
            <w:r/>
            <w:r>
              <w:t>— excluded (no method/model term)</w:t>
            </w:r>
          </w:p>
        </w:tc>
        <w:tc>
          <w:tcPr>
            <w:tcW w:type="dxa" w:w="4320"/>
          </w:tcPr>
          <w:p>
            <w:r/>
            <w:r>
              <w:t>690</w:t>
            </w:r>
          </w:p>
        </w:tc>
      </w:tr>
      <w:tr>
        <w:tc>
          <w:tcPr>
            <w:tcW w:type="dxa" w:w="4320"/>
          </w:tcPr>
          <w:p>
            <w:r/>
            <w:r>
              <w:t>— excluded (untitled)</w:t>
            </w:r>
          </w:p>
        </w:tc>
        <w:tc>
          <w:tcPr>
            <w:tcW w:type="dxa" w:w="4320"/>
          </w:tcPr>
          <w:p>
            <w:r/>
            <w:r>
              <w:t>8</w:t>
            </w:r>
          </w:p>
        </w:tc>
      </w:tr>
      <w:tr>
        <w:tc>
          <w:tcPr>
            <w:tcW w:type="dxa" w:w="4320"/>
          </w:tcPr>
          <w:p>
            <w:r/>
            <w:r>
              <w:t>Records passing title/abstract screening</w:t>
            </w:r>
          </w:p>
        </w:tc>
        <w:tc>
          <w:tcPr>
            <w:tcW w:type="dxa" w:w="4320"/>
          </w:tcPr>
          <w:p>
            <w:r/>
            <w:r>
              <w:t>4,196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Full texts assessed for eligibility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4,196</w:t>
            </w:r>
          </w:p>
        </w:tc>
      </w:tr>
      <w:tr>
        <w:tc>
          <w:tcPr>
            <w:tcW w:type="dxa" w:w="4320"/>
          </w:tcPr>
          <w:p>
            <w:r/>
            <w:r>
              <w:t>— excluded (not refereed article/review/conference)</w:t>
            </w:r>
          </w:p>
        </w:tc>
        <w:tc>
          <w:tcPr>
            <w:tcW w:type="dxa" w:w="4320"/>
          </w:tcPr>
          <w:p>
            <w:r/>
            <w:r>
              <w:t>800</w:t>
            </w:r>
          </w:p>
        </w:tc>
      </w:tr>
      <w:tr>
        <w:tc>
          <w:tcPr>
            <w:tcW w:type="dxa" w:w="4320"/>
          </w:tcPr>
          <w:p>
            <w:r/>
            <w:r>
              <w:t>— type not resolved (not machine-checkable)</w:t>
            </w:r>
          </w:p>
        </w:tc>
        <w:tc>
          <w:tcPr>
            <w:tcW w:type="dxa" w:w="4320"/>
          </w:tcPr>
          <w:p>
            <w:r/>
            <w:r>
              <w:t>153</w:t>
            </w:r>
          </w:p>
        </w:tc>
      </w:tr>
      <w:tr>
        <w:tc>
          <w:tcPr>
            <w:tcW w:type="dxa" w:w="4320"/>
          </w:tcPr>
          <w:p>
            <w:r/>
            <w:r>
              <w:t>Refereed records eligible (</w:t>
            </w:r>
            <w:r>
              <w:rPr>
                <w:b/>
              </w:rPr>
              <w:t>candidate pool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3,243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Studies included in the review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22</w:t>
            </w:r>
            <w:r>
              <w:t xml:space="preserve"> refereed (+ 9 grey reports)</w:t>
            </w:r>
          </w:p>
        </w:tc>
      </w:tr>
    </w:tbl>
    <w:p>
      <w:r>
        <w:rPr>
          <w:b/>
        </w:rPr>
        <w:t>Borderline screening.</w:t>
      </w:r>
      <w:r>
        <w:t xml:space="preserve"> The PRISMA framework screened the region-relevant borderline</w:t>
      </w:r>
    </w:p>
    <w:p>
      <w:r>
        <w:t xml:space="preserve">records (`prisma_borderline.csv`, 94 records) at the decision boundary: </w:t>
      </w:r>
      <w:r>
        <w:rPr>
          <w:b/>
        </w:rPr>
        <w:t>38</w:t>
      </w:r>
      <w:r>
        <w:t xml:space="preserve"> screened-in</w:t>
      </w:r>
    </w:p>
    <w:p>
      <w:r>
        <w:t xml:space="preserve">records were confirmed in scope and </w:t>
      </w:r>
      <w:r>
        <w:rPr>
          <w:b/>
        </w:rPr>
        <w:t>56</w:t>
      </w:r>
      <w:r>
        <w:t xml:space="preserve"> possible false negatives were excluded. These</w:t>
      </w:r>
    </w:p>
    <w:p>
      <w:r>
        <w:t>are subsets of the counts above (the 56 fall within the 690 "no method/model term"</w:t>
      </w:r>
    </w:p>
    <w:p>
      <w:r>
        <w:t>exclusions; the 38 within the 3,243 candidate pool), so this borderline screening</w:t>
      </w:r>
    </w:p>
    <w:p>
      <w:r>
        <w:t>verifies the title/abstract screen without changing the funnel totals.</w:t>
      </w:r>
    </w:p>
    <w:p>
      <w:r>
        <w:t>The streams are oriented toward the prediction / machine-learning strand and captured</w:t>
      </w:r>
    </w:p>
    <w:p>
      <w:r>
        <w:rPr>
          <w:b/>
        </w:rPr>
        <w:t>4 of the 26 supplied sources with a DOI</w:t>
      </w:r>
      <w:r>
        <w:t xml:space="preserve"> (Busker; Shukla; Tawodzera; Westerveld); the</w:t>
      </w:r>
    </w:p>
    <w:p>
      <w:r>
        <w:t>remaining works were identified through targeted manual database searching and citation</w:t>
      </w:r>
    </w:p>
    <w:p>
      <w:r>
        <w:t>chaining from seed studies. 22 refereed works (21 journal articles + 1 conference paper)</w:t>
      </w:r>
    </w:p>
    <w:p>
      <w:r>
        <w:t>satisfy the ≥20 requirement. Two honesty caveats: (i) the OpenAlex web export records a</w:t>
      </w:r>
    </w:p>
    <w:p>
      <w:r>
        <w:t>DOI but no `type`, so publication types and abstracts were recovered from the OpenAlex</w:t>
      </w:r>
    </w:p>
    <w:p>
      <w:r>
        <w:t>REST API by DOI (+3,746 types, +2,306 abstracts; `scripts/openalex_enrich.py`) before</w:t>
      </w:r>
    </w:p>
    <w:p>
      <w:r>
        <w:t>screening — 153 records whose type could not be resolved are reported as "type not</w:t>
      </w:r>
    </w:p>
    <w:p>
      <w:r>
        <w:t xml:space="preserve">resolved" rather than classified; (ii) no export records a </w:t>
      </w:r>
      <w:r>
        <w:rPr>
          <w:i/>
        </w:rPr>
        <w:t>language</w:t>
      </w:r>
      <w:r>
        <w:t xml:space="preserve"> field, so no</w:t>
      </w:r>
    </w:p>
    <w:p>
      <w:r>
        <w:t>language exclusion is claimed.</w:t>
      </w:r>
    </w:p>
    <w:p>
      <w:r>
        <w:rPr>
          <w:b/>
        </w:rPr>
        <w:t>Eligibility:</w:t>
      </w:r>
      <w:r>
        <w:t xml:space="preserve"> peer-reviewed articles and clearly separated grey literature/reports on</w:t>
      </w:r>
    </w:p>
    <w:p>
      <w:r>
        <w:t>food prices, food security, rainfall/climate drivers, ML for food security, or methods;</w:t>
      </w:r>
    </w:p>
    <w:p>
      <w:r>
        <w:t>market or household focus; English.</w:t>
      </w:r>
    </w:p>
    <w:p>
      <w:r>
        <w:rPr>
          <w:b/>
        </w:rPr>
        <w:t>Retained corpus:</w:t>
      </w:r>
      <w:r>
        <w:t xml:space="preserve"> 33 unique sources (21 refereed journal articles + 1 refereed</w:t>
      </w:r>
    </w:p>
    <w:p>
      <w:r>
        <w:t>conference paper; 1 edited-volume chapter; 1 process-model guide; 9 institutional/grey</w:t>
      </w:r>
    </w:p>
    <w:p>
      <w:r>
        <w:t>reports). Full list and classification: `reports/revision/references.md`.</w:t>
      </w:r>
    </w:p>
    <w:p>
      <w:r>
        <w:rPr>
          <w:b/>
        </w:rPr>
        <w:t>Quality assessment (C2.4):</w:t>
      </w:r>
      <w:r>
        <w:t xml:space="preserve"> instead of a bare "all sources relevant" claim, sources</w:t>
      </w:r>
    </w:p>
    <w:p>
      <w:r>
        <w:t>are graded on whether data are described, whether the method is reproducible, and whether</w:t>
      </w:r>
    </w:p>
    <w:p>
      <w:r>
        <w:t>prospective/out-of-sample validation is used: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Refereed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Prospective validation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Quality</w:t>
            </w:r>
          </w:p>
        </w:tc>
      </w:tr>
      <w:tr>
        <w:tc>
          <w:tcPr>
            <w:tcW w:type="dxa" w:w="1728"/>
          </w:tcPr>
          <w:p>
            <w:r/>
            <w:r>
              <w:t>Bergmeir &amp; Benítez (2012)</w:t>
            </w:r>
          </w:p>
        </w:tc>
        <w:tc>
          <w:tcPr>
            <w:tcW w:type="dxa" w:w="1728"/>
          </w:tcPr>
          <w:p>
            <w:r/>
            <w:r>
              <w:t>Article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Methods-focused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</w:tr>
      <w:tr>
        <w:tc>
          <w:tcPr>
            <w:tcW w:type="dxa" w:w="1728"/>
          </w:tcPr>
          <w:p>
            <w:r/>
            <w:r>
              <w:t>Burke &amp; Myers (2014)</w:t>
            </w:r>
          </w:p>
        </w:tc>
        <w:tc>
          <w:tcPr>
            <w:tcW w:type="dxa" w:w="1728"/>
          </w:tcPr>
          <w:p>
            <w:r/>
            <w:r>
              <w:t>Article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Out-of-sample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</w:tr>
      <w:tr>
        <w:tc>
          <w:tcPr>
            <w:tcW w:type="dxa" w:w="1728"/>
          </w:tcPr>
          <w:p>
            <w:r/>
            <w:r>
              <w:t>Busker et al. (2024)</w:t>
            </w:r>
          </w:p>
        </w:tc>
        <w:tc>
          <w:tcPr>
            <w:tcW w:type="dxa" w:w="1728"/>
          </w:tcPr>
          <w:p>
            <w:r/>
            <w:r>
              <w:t>Article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Predictive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</w:tr>
      <w:tr>
        <w:tc>
          <w:tcPr>
            <w:tcW w:type="dxa" w:w="1728"/>
          </w:tcPr>
          <w:p>
            <w:r/>
            <w:r>
              <w:t>Westerveld et al. (2021)</w:t>
            </w:r>
          </w:p>
        </w:tc>
        <w:tc>
          <w:tcPr>
            <w:tcW w:type="dxa" w:w="1728"/>
          </w:tcPr>
          <w:p>
            <w:r/>
            <w:r>
              <w:t>Article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Predictive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</w:tr>
      <w:tr>
        <w:tc>
          <w:tcPr>
            <w:tcW w:type="dxa" w:w="1728"/>
          </w:tcPr>
          <w:p>
            <w:r/>
            <w:r>
              <w:t>Deaton &amp; Laroque (1992)</w:t>
            </w:r>
          </w:p>
        </w:tc>
        <w:tc>
          <w:tcPr>
            <w:tcW w:type="dxa" w:w="1728"/>
          </w:tcPr>
          <w:p>
            <w:r/>
            <w:r>
              <w:t>Article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Theory/empirical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</w:tr>
      <w:tr>
        <w:tc>
          <w:tcPr>
            <w:tcW w:type="dxa" w:w="1728"/>
          </w:tcPr>
          <w:p>
            <w:r/>
            <w:r>
              <w:t>Wright (2011)</w:t>
            </w:r>
          </w:p>
        </w:tc>
        <w:tc>
          <w:tcPr>
            <w:tcW w:type="dxa" w:w="1728"/>
          </w:tcPr>
          <w:p>
            <w:r/>
            <w:r>
              <w:t>Article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Review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</w:tr>
      <w:tr>
        <w:tc>
          <w:tcPr>
            <w:tcW w:type="dxa" w:w="1728"/>
          </w:tcPr>
          <w:p>
            <w:r/>
            <w:r>
              <w:t>Gilbert et al. (2017)</w:t>
            </w:r>
          </w:p>
        </w:tc>
        <w:tc>
          <w:tcPr>
            <w:tcW w:type="dxa" w:w="1728"/>
          </w:tcPr>
          <w:p>
            <w:r/>
            <w:r>
              <w:t>Article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Empirical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</w:tr>
      <w:tr>
        <w:tc>
          <w:tcPr>
            <w:tcW w:type="dxa" w:w="1728"/>
          </w:tcPr>
          <w:p>
            <w:r/>
            <w:r>
              <w:t>Funk et al. (2015)</w:t>
            </w:r>
          </w:p>
        </w:tc>
        <w:tc>
          <w:tcPr>
            <w:tcW w:type="dxa" w:w="1728"/>
          </w:tcPr>
          <w:p>
            <w:r/>
            <w:r>
              <w:t>Article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Dataset paper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</w:tr>
      <w:tr>
        <w:tc>
          <w:tcPr>
            <w:tcW w:type="dxa" w:w="1728"/>
          </w:tcPr>
          <w:p>
            <w:r/>
            <w:r>
              <w:t>Phillips et al. (1998)</w:t>
            </w:r>
          </w:p>
        </w:tc>
        <w:tc>
          <w:tcPr>
            <w:tcW w:type="dxa" w:w="1728"/>
          </w:tcPr>
          <w:p>
            <w:r/>
            <w:r>
              <w:t>Article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Simulation</w:t>
            </w:r>
          </w:p>
        </w:tc>
        <w:tc>
          <w:tcPr>
            <w:tcW w:type="dxa" w:w="1728"/>
          </w:tcPr>
          <w:p>
            <w:r/>
            <w:r>
              <w:t>Medium–High</w:t>
            </w:r>
          </w:p>
        </w:tc>
      </w:tr>
      <w:tr>
        <w:tc>
          <w:tcPr>
            <w:tcW w:type="dxa" w:w="1728"/>
          </w:tcPr>
          <w:p>
            <w:r/>
            <w:r>
              <w:t>Shukla et al. (2020)</w:t>
            </w:r>
          </w:p>
        </w:tc>
        <w:tc>
          <w:tcPr>
            <w:tcW w:type="dxa" w:w="1728"/>
          </w:tcPr>
          <w:p>
            <w:r/>
            <w:r>
              <w:t>Article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Operational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</w:rPr>
              <w:t>(remaining refereed articles as graded in `references.md`)</w:t>
            </w:r>
          </w:p>
        </w:tc>
        <w:tc>
          <w:tcPr>
            <w:tcW w:type="dxa" w:w="1728"/>
          </w:tcPr>
          <w:p>
            <w:r/>
            <w:r>
              <w:t>Article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Med–High</w:t>
            </w:r>
          </w:p>
        </w:tc>
      </w:tr>
      <w:tr>
        <w:tc>
          <w:tcPr>
            <w:tcW w:type="dxa" w:w="1728"/>
          </w:tcPr>
          <w:p>
            <w:r/>
            <w:r>
              <w:t>WFP (2025a, 2025b); FEWS NET; ZimLAC (2024)</w:t>
            </w:r>
          </w:p>
        </w:tc>
        <w:tc>
          <w:tcPr>
            <w:tcW w:type="dxa" w:w="1728"/>
          </w:tcPr>
          <w:p>
            <w:r/>
            <w:r>
              <w:t>Grey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Context/reference</w:t>
            </w:r>
          </w:p>
        </w:tc>
      </w:tr>
      <w:tr>
        <w:tc>
          <w:tcPr>
            <w:tcW w:type="dxa" w:w="1728"/>
          </w:tcPr>
          <w:p>
            <w:r/>
            <w:r>
              <w:t>World Bank (2021, 2025); Kramarenko et al. (2010)</w:t>
            </w:r>
          </w:p>
        </w:tc>
        <w:tc>
          <w:tcPr>
            <w:tcW w:type="dxa" w:w="1728"/>
          </w:tcPr>
          <w:p>
            <w:r/>
            <w:r>
              <w:t>Report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Context/reference</w:t>
            </w:r>
          </w:p>
        </w:tc>
      </w:tr>
    </w:tbl>
    <w:p>
      <w:pPr>
        <w:pStyle w:val="Heading2"/>
      </w:pPr>
      <w:r>
        <w:t>2.11 Application of the 5Cs (C2.5)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Citation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Contribution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Critique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Connection</w:t>
            </w:r>
          </w:p>
        </w:tc>
      </w:tr>
      <w:tr>
        <w:tc>
          <w:tcPr>
            <w:tcW w:type="dxa" w:w="1440"/>
          </w:tcPr>
          <w:p>
            <w:r/>
            <w:r>
              <w:t>Deaton &amp; Laroque (1992)</w:t>
            </w:r>
          </w:p>
        </w:tc>
        <w:tc>
          <w:tcPr>
            <w:tcW w:type="dxa" w:w="1440"/>
          </w:tcPr>
          <w:p>
            <w:r/>
            <w:r>
              <w:t>Commodity-storage theory</w:t>
            </w:r>
          </w:p>
        </w:tc>
        <w:tc>
          <w:tcPr>
            <w:tcW w:type="dxa" w:w="1440"/>
          </w:tcPr>
          <w:p>
            <w:r/>
            <w:r>
              <w:t>Theory</w:t>
            </w:r>
          </w:p>
        </w:tc>
        <w:tc>
          <w:tcPr>
            <w:tcW w:type="dxa" w:w="1440"/>
          </w:tcPr>
          <w:p>
            <w:r/>
            <w:r>
              <w:t>Explains price spikes/autocorrelation</w:t>
            </w:r>
          </w:p>
        </w:tc>
        <w:tc>
          <w:tcPr>
            <w:tcW w:type="dxa" w:w="1440"/>
          </w:tcPr>
          <w:p>
            <w:r/>
            <w:r>
              <w:t>No local markets</w:t>
            </w:r>
          </w:p>
        </w:tc>
        <w:tc>
          <w:tcPr>
            <w:tcW w:type="dxa" w:w="1440"/>
          </w:tcPr>
          <w:p>
            <w:r/>
            <w:r>
              <w:t>Justifies Y1 (standardised return)</w:t>
            </w:r>
          </w:p>
        </w:tc>
      </w:tr>
      <w:tr>
        <w:tc>
          <w:tcPr>
            <w:tcW w:type="dxa" w:w="1440"/>
          </w:tcPr>
          <w:p>
            <w:r/>
            <w:r>
              <w:t>Wright (2011)</w:t>
            </w:r>
          </w:p>
        </w:tc>
        <w:tc>
          <w:tcPr>
            <w:tcW w:type="dxa" w:w="1440"/>
          </w:tcPr>
          <w:p>
            <w:r/>
            <w:r>
              <w:t>Grain volatility</w:t>
            </w:r>
          </w:p>
        </w:tc>
        <w:tc>
          <w:tcPr>
            <w:tcW w:type="dxa" w:w="1440"/>
          </w:tcPr>
          <w:p>
            <w:r/>
            <w:r>
              <w:t>Theory/review</w:t>
            </w:r>
          </w:p>
        </w:tc>
        <w:tc>
          <w:tcPr>
            <w:tcW w:type="dxa" w:w="1440"/>
          </w:tcPr>
          <w:p>
            <w:r/>
            <w:r>
              <w:t>Fundamentals + structure drive volatility</w:t>
            </w:r>
          </w:p>
        </w:tc>
        <w:tc>
          <w:tcPr>
            <w:tcW w:type="dxa" w:w="1440"/>
          </w:tcPr>
          <w:p>
            <w:r/>
            <w:r>
              <w:t>Conceptual</w:t>
            </w:r>
          </w:p>
        </w:tc>
        <w:tc>
          <w:tcPr>
            <w:tcW w:type="dxa" w:w="1440"/>
          </w:tcPr>
          <w:p>
            <w:r/>
            <w:r>
              <w:t>Justifies stress framing</w:t>
            </w:r>
          </w:p>
        </w:tc>
      </w:tr>
      <w:tr>
        <w:tc>
          <w:tcPr>
            <w:tcW w:type="dxa" w:w="1440"/>
          </w:tcPr>
          <w:p>
            <w:r/>
            <w:r>
              <w:t>Burke &amp; Myers (2014)</w:t>
            </w:r>
          </w:p>
        </w:tc>
        <w:tc>
          <w:tcPr>
            <w:tcW w:type="dxa" w:w="1440"/>
          </w:tcPr>
          <w:p>
            <w:r/>
            <w:r>
              <w:t>Spatial transmission</w:t>
            </w:r>
          </w:p>
        </w:tc>
        <w:tc>
          <w:tcPr>
            <w:tcW w:type="dxa" w:w="1440"/>
          </w:tcPr>
          <w:p>
            <w:r/>
            <w:r>
              <w:t>Empirical</w:t>
            </w:r>
          </w:p>
        </w:tc>
        <w:tc>
          <w:tcPr>
            <w:tcW w:type="dxa" w:w="1440"/>
          </w:tcPr>
          <w:p>
            <w:r/>
            <w:r>
              <w:t>SADC maize markets integrated but imperfect</w:t>
            </w:r>
          </w:p>
        </w:tc>
        <w:tc>
          <w:tcPr>
            <w:tcW w:type="dxa" w:w="1440"/>
          </w:tcPr>
          <w:p>
            <w:r/>
            <w:r>
              <w:t>Informal trade hard to measure</w:t>
            </w:r>
          </w:p>
        </w:tc>
        <w:tc>
          <w:tcPr>
            <w:tcW w:type="dxa" w:w="1440"/>
          </w:tcPr>
          <w:p>
            <w:r/>
            <w:r>
              <w:t>Justifies Y2 (peer-relative)</w:t>
            </w:r>
          </w:p>
        </w:tc>
      </w:tr>
      <w:tr>
        <w:tc>
          <w:tcPr>
            <w:tcW w:type="dxa" w:w="1440"/>
          </w:tcPr>
          <w:p>
            <w:r/>
            <w:r>
              <w:t>Davids et al. (2017)</w:t>
            </w:r>
          </w:p>
        </w:tc>
        <w:tc>
          <w:tcPr>
            <w:tcW w:type="dxa" w:w="1440"/>
          </w:tcPr>
          <w:p>
            <w:r/>
            <w:r>
              <w:t>Trade controls</w:t>
            </w:r>
          </w:p>
        </w:tc>
        <w:tc>
          <w:tcPr>
            <w:tcW w:type="dxa" w:w="1440"/>
          </w:tcPr>
          <w:p>
            <w:r/>
            <w:r>
              <w:t>Empirical</w:t>
            </w:r>
          </w:p>
        </w:tc>
        <w:tc>
          <w:tcPr>
            <w:tcW w:type="dxa" w:w="1440"/>
          </w:tcPr>
          <w:p>
            <w:r/>
            <w:r>
              <w:t>Policy distorts transmission</w:t>
            </w:r>
          </w:p>
        </w:tc>
        <w:tc>
          <w:tcPr>
            <w:tcW w:type="dxa" w:w="1440"/>
          </w:tcPr>
          <w:p>
            <w:r/>
            <w:r>
              <w:t>Maize-only</w:t>
            </w:r>
          </w:p>
        </w:tc>
        <w:tc>
          <w:tcPr>
            <w:tcW w:type="dxa" w:w="1440"/>
          </w:tcPr>
          <w:p>
            <w:r/>
            <w:r>
              <w:t>Supports peer-relative design</w:t>
            </w:r>
          </w:p>
        </w:tc>
      </w:tr>
      <w:tr>
        <w:tc>
          <w:tcPr>
            <w:tcW w:type="dxa" w:w="1440"/>
          </w:tcPr>
          <w:p>
            <w:r/>
            <w:r>
              <w:t>Porteous (2019)</w:t>
            </w:r>
          </w:p>
        </w:tc>
        <w:tc>
          <w:tcPr>
            <w:tcW w:type="dxa" w:w="1440"/>
          </w:tcPr>
          <w:p>
            <w:r/>
            <w:r>
              <w:t>Trade costs/storage</w:t>
            </w:r>
          </w:p>
        </w:tc>
        <w:tc>
          <w:tcPr>
            <w:tcW w:type="dxa" w:w="1440"/>
          </w:tcPr>
          <w:p>
            <w:r/>
            <w:r>
              <w:t>Empirical</w:t>
            </w:r>
          </w:p>
        </w:tc>
        <w:tc>
          <w:tcPr>
            <w:tcW w:type="dxa" w:w="1440"/>
          </w:tcPr>
          <w:p>
            <w:r/>
            <w:r>
              <w:t>High trade costs shape prices</w:t>
            </w:r>
          </w:p>
        </w:tc>
        <w:tc>
          <w:tcPr>
            <w:tcW w:type="dxa" w:w="1440"/>
          </w:tcPr>
          <w:p>
            <w:r/>
            <w:r>
              <w:t>Model-based</w:t>
            </w:r>
          </w:p>
        </w:tc>
        <w:tc>
          <w:tcPr>
            <w:tcW w:type="dxa" w:w="1440"/>
          </w:tcPr>
          <w:p>
            <w:r/>
            <w:r>
              <w:t>Supports spatial features</w:t>
            </w:r>
          </w:p>
        </w:tc>
      </w:tr>
      <w:tr>
        <w:tc>
          <w:tcPr>
            <w:tcW w:type="dxa" w:w="1440"/>
          </w:tcPr>
          <w:p>
            <w:r/>
            <w:r>
              <w:t>Gilbert et al. (2017)</w:t>
            </w:r>
          </w:p>
        </w:tc>
        <w:tc>
          <w:tcPr>
            <w:tcW w:type="dxa" w:w="1440"/>
          </w:tcPr>
          <w:p>
            <w:r/>
            <w:r>
              <w:t>Seasonality</w:t>
            </w:r>
          </w:p>
        </w:tc>
        <w:tc>
          <w:tcPr>
            <w:tcW w:type="dxa" w:w="1440"/>
          </w:tcPr>
          <w:p>
            <w:r/>
            <w:r>
              <w:t>Empirical</w:t>
            </w:r>
          </w:p>
        </w:tc>
        <w:tc>
          <w:tcPr>
            <w:tcW w:type="dxa" w:w="1440"/>
          </w:tcPr>
          <w:p>
            <w:r/>
            <w:r>
              <w:t>Predictable seasonal cycles</w:t>
            </w:r>
          </w:p>
        </w:tc>
        <w:tc>
          <w:tcPr>
            <w:tcW w:type="dxa" w:w="1440"/>
          </w:tcPr>
          <w:p>
            <w:r/>
            <w:r>
              <w:t>Africa-wide</w:t>
            </w:r>
          </w:p>
        </w:tc>
        <w:tc>
          <w:tcPr>
            <w:tcW w:type="dxa" w:w="1440"/>
          </w:tcPr>
          <w:p>
            <w:r/>
            <w:r>
              <w:t>Justifies seasonal features</w:t>
            </w:r>
          </w:p>
        </w:tc>
      </w:tr>
      <w:tr>
        <w:tc>
          <w:tcPr>
            <w:tcW w:type="dxa" w:w="1440"/>
          </w:tcPr>
          <w:p>
            <w:r/>
            <w:r>
              <w:t>Funk et al. (2015)</w:t>
            </w:r>
          </w:p>
        </w:tc>
        <w:tc>
          <w:tcPr>
            <w:tcW w:type="dxa" w:w="1440"/>
          </w:tcPr>
          <w:p>
            <w:r/>
            <w:r>
              <w:t>CHIRPS</w:t>
            </w:r>
          </w:p>
        </w:tc>
        <w:tc>
          <w:tcPr>
            <w:tcW w:type="dxa" w:w="1440"/>
          </w:tcPr>
          <w:p>
            <w:r/>
            <w:r>
              <w:t>Dataset</w:t>
            </w:r>
          </w:p>
        </w:tc>
        <w:tc>
          <w:tcPr>
            <w:tcW w:type="dxa" w:w="1440"/>
          </w:tcPr>
          <w:p>
            <w:r/>
            <w:r>
              <w:t>Station-corrected rainfall record</w:t>
            </w:r>
          </w:p>
        </w:tc>
        <w:tc>
          <w:tcPr>
            <w:tcW w:type="dxa" w:w="1440"/>
          </w:tcPr>
          <w:p>
            <w:r/>
            <w:r>
              <w:t>Estimation error at 0.05°</w:t>
            </w:r>
          </w:p>
        </w:tc>
        <w:tc>
          <w:tcPr>
            <w:tcW w:type="dxa" w:w="1440"/>
          </w:tcPr>
          <w:p>
            <w:r/>
            <w:r>
              <w:t>Rainfall input</w:t>
            </w:r>
          </w:p>
        </w:tc>
      </w:tr>
      <w:tr>
        <w:tc>
          <w:tcPr>
            <w:tcW w:type="dxa" w:w="1440"/>
          </w:tcPr>
          <w:p>
            <w:r/>
            <w:r>
              <w:t>Phillips et al. (1998)</w:t>
            </w:r>
          </w:p>
        </w:tc>
        <w:tc>
          <w:tcPr>
            <w:tcW w:type="dxa" w:w="1440"/>
          </w:tcPr>
          <w:p>
            <w:r/>
            <w:r>
              <w:t>ENSO–maize ZW</w:t>
            </w:r>
          </w:p>
        </w:tc>
        <w:tc>
          <w:tcPr>
            <w:tcW w:type="dxa" w:w="1440"/>
          </w:tcPr>
          <w:p>
            <w:r/>
            <w:r>
              <w:t>Simulation</w:t>
            </w:r>
          </w:p>
        </w:tc>
        <w:tc>
          <w:tcPr>
            <w:tcW w:type="dxa" w:w="1440"/>
          </w:tcPr>
          <w:p>
            <w:r/>
            <w:r>
              <w:t>ENSO affects rainfall/yield</w:t>
            </w:r>
          </w:p>
        </w:tc>
        <w:tc>
          <w:tcPr>
            <w:tcW w:type="dxa" w:w="1440"/>
          </w:tcPr>
          <w:p>
            <w:r/>
            <w:r>
              <w:t>Not prices</w:t>
            </w:r>
          </w:p>
        </w:tc>
        <w:tc>
          <w:tcPr>
            <w:tcW w:type="dxa" w:w="1440"/>
          </w:tcPr>
          <w:p>
            <w:r/>
            <w:r>
              <w:t>Rainfall→outcome chain</w:t>
            </w:r>
          </w:p>
        </w:tc>
      </w:tr>
      <w:tr>
        <w:tc>
          <w:tcPr>
            <w:tcW w:type="dxa" w:w="1440"/>
          </w:tcPr>
          <w:p>
            <w:r/>
            <w:r>
              <w:t>Shukla et al. (2020)</w:t>
            </w:r>
          </w:p>
        </w:tc>
        <w:tc>
          <w:tcPr>
            <w:tcW w:type="dxa" w:w="1440"/>
          </w:tcPr>
          <w:p>
            <w:r/>
            <w:r>
              <w:t>Drought early warning</w:t>
            </w:r>
          </w:p>
        </w:tc>
        <w:tc>
          <w:tcPr>
            <w:tcW w:type="dxa" w:w="1440"/>
          </w:tcPr>
          <w:p>
            <w:r/>
            <w:r>
              <w:t>Operational</w:t>
            </w:r>
          </w:p>
        </w:tc>
        <w:tc>
          <w:tcPr>
            <w:tcW w:type="dxa" w:w="1440"/>
          </w:tcPr>
          <w:p>
            <w:r/>
            <w:r>
              <w:t>Hydrological monitoring aids warning</w:t>
            </w:r>
          </w:p>
        </w:tc>
        <w:tc>
          <w:tcPr>
            <w:tcW w:type="dxa" w:w="1440"/>
          </w:tcPr>
          <w:p>
            <w:r/>
            <w:r>
              <w:t>Not market prices</w:t>
            </w:r>
          </w:p>
        </w:tc>
        <w:tc>
          <w:tcPr>
            <w:tcW w:type="dxa" w:w="1440"/>
          </w:tcPr>
          <w:p>
            <w:r/>
            <w:r>
              <w:t>Warns of indirect link</w:t>
            </w:r>
          </w:p>
        </w:tc>
      </w:tr>
      <w:tr>
        <w:tc>
          <w:tcPr>
            <w:tcW w:type="dxa" w:w="1440"/>
          </w:tcPr>
          <w:p>
            <w:r/>
            <w:r>
              <w:t>Busker et al. (2024)</w:t>
            </w:r>
          </w:p>
        </w:tc>
        <w:tc>
          <w:tcPr>
            <w:tcW w:type="dxa" w:w="1440"/>
          </w:tcPr>
          <w:p>
            <w:r/>
            <w:r>
              <w:t>ML crises</w:t>
            </w:r>
          </w:p>
        </w:tc>
        <w:tc>
          <w:tcPr>
            <w:tcW w:type="dxa" w:w="1440"/>
          </w:tcPr>
          <w:p>
            <w:r/>
            <w:r>
              <w:t>Predictive</w:t>
            </w:r>
          </w:p>
        </w:tc>
        <w:tc>
          <w:tcPr>
            <w:tcW w:type="dxa" w:w="1440"/>
          </w:tcPr>
          <w:p>
            <w:r/>
            <w:r>
              <w:t>ML can anticipate crisis transitions</w:t>
            </w:r>
          </w:p>
        </w:tc>
        <w:tc>
          <w:tcPr>
            <w:tcW w:type="dxa" w:w="1440"/>
          </w:tcPr>
          <w:p>
            <w:r/>
            <w:r>
              <w:t>Hard generalisation</w:t>
            </w:r>
          </w:p>
        </w:tc>
        <w:tc>
          <w:tcPr>
            <w:tcW w:type="dxa" w:w="1440"/>
          </w:tcPr>
          <w:p>
            <w:r/>
            <w:r>
              <w:t>Template + caution</w:t>
            </w:r>
          </w:p>
        </w:tc>
      </w:tr>
      <w:tr>
        <w:tc>
          <w:tcPr>
            <w:tcW w:type="dxa" w:w="1440"/>
          </w:tcPr>
          <w:p>
            <w:r/>
            <w:r>
              <w:t>Westerveld et al. (2021)</w:t>
            </w:r>
          </w:p>
        </w:tc>
        <w:tc>
          <w:tcPr>
            <w:tcW w:type="dxa" w:w="1440"/>
          </w:tcPr>
          <w:p>
            <w:r/>
            <w:r>
              <w:t>ML transitions</w:t>
            </w:r>
          </w:p>
        </w:tc>
        <w:tc>
          <w:tcPr>
            <w:tcW w:type="dxa" w:w="1440"/>
          </w:tcPr>
          <w:p>
            <w:r/>
            <w:r>
              <w:t>Predictive</w:t>
            </w:r>
          </w:p>
        </w:tc>
        <w:tc>
          <w:tcPr>
            <w:tcW w:type="dxa" w:w="1440"/>
          </w:tcPr>
          <w:p>
            <w:r/>
            <w:r>
              <w:t>Transferable features for food security</w:t>
            </w:r>
          </w:p>
        </w:tc>
        <w:tc>
          <w:tcPr>
            <w:tcW w:type="dxa" w:w="1440"/>
          </w:tcPr>
          <w:p>
            <w:r/>
            <w:r>
              <w:t>Different target</w:t>
            </w:r>
          </w:p>
        </w:tc>
        <w:tc>
          <w:tcPr>
            <w:tcW w:type="dxa" w:w="1440"/>
          </w:tcPr>
          <w:p>
            <w:r/>
            <w:r>
              <w:t>Justifies ML candidate</w:t>
            </w:r>
          </w:p>
        </w:tc>
      </w:tr>
      <w:tr>
        <w:tc>
          <w:tcPr>
            <w:tcW w:type="dxa" w:w="1440"/>
          </w:tcPr>
          <w:p>
            <w:r/>
            <w:r>
              <w:t>He et al. (2021)</w:t>
            </w:r>
          </w:p>
        </w:tc>
        <w:tc>
          <w:tcPr>
            <w:tcW w:type="dxa" w:w="1440"/>
          </w:tcPr>
          <w:p>
            <w:r/>
            <w:r>
              <w:t>Sub-seasonal ML</w:t>
            </w:r>
          </w:p>
        </w:tc>
        <w:tc>
          <w:tcPr>
            <w:tcW w:type="dxa" w:w="1440"/>
          </w:tcPr>
          <w:p>
            <w:r/>
            <w:r>
              <w:t>Methods</w:t>
            </w:r>
          </w:p>
        </w:tc>
        <w:tc>
          <w:tcPr>
            <w:tcW w:type="dxa" w:w="1440"/>
          </w:tcPr>
          <w:p>
            <w:r/>
            <w:r>
              <w:t>ML climate skill is modest</w:t>
            </w:r>
          </w:p>
        </w:tc>
        <w:tc>
          <w:tcPr>
            <w:tcW w:type="dxa" w:w="1440"/>
          </w:tcPr>
          <w:p>
            <w:r/>
            <w:r>
              <w:t>Different domain</w:t>
            </w:r>
          </w:p>
        </w:tc>
        <w:tc>
          <w:tcPr>
            <w:tcW w:type="dxa" w:w="1440"/>
          </w:tcPr>
          <w:p>
            <w:r/>
            <w:r>
              <w:t>Calibrates expectations</w:t>
            </w:r>
          </w:p>
        </w:tc>
      </w:tr>
      <w:tr>
        <w:tc>
          <w:tcPr>
            <w:tcW w:type="dxa" w:w="1440"/>
          </w:tcPr>
          <w:p>
            <w:r/>
            <w:r>
              <w:t>Reichstein et al. (2019)</w:t>
            </w:r>
          </w:p>
        </w:tc>
        <w:tc>
          <w:tcPr>
            <w:tcW w:type="dxa" w:w="1440"/>
          </w:tcPr>
          <w:p>
            <w:r/>
            <w:r>
              <w:t>Deep learning ESS</w:t>
            </w:r>
          </w:p>
        </w:tc>
        <w:tc>
          <w:tcPr>
            <w:tcW w:type="dxa" w:w="1440"/>
          </w:tcPr>
          <w:p>
            <w:r/>
            <w:r>
              <w:t>Perspective</w:t>
            </w:r>
          </w:p>
        </w:tc>
        <w:tc>
          <w:tcPr>
            <w:tcW w:type="dxa" w:w="1440"/>
          </w:tcPr>
          <w:p>
            <w:r/>
            <w:r>
              <w:t>ML complements process models; generalisation risks</w:t>
            </w:r>
          </w:p>
        </w:tc>
        <w:tc>
          <w:tcPr>
            <w:tcW w:type="dxa" w:w="1440"/>
          </w:tcPr>
          <w:p>
            <w:r/>
            <w:r>
              <w:t>Deep-learning focus</w:t>
            </w:r>
          </w:p>
        </w:tc>
        <w:tc>
          <w:tcPr>
            <w:tcW w:type="dxa" w:w="1440"/>
          </w:tcPr>
          <w:p>
            <w:r/>
            <w:r>
              <w:t>Justifies caution</w:t>
            </w:r>
          </w:p>
        </w:tc>
      </w:tr>
      <w:tr>
        <w:tc>
          <w:tcPr>
            <w:tcW w:type="dxa" w:w="1440"/>
          </w:tcPr>
          <w:p>
            <w:r/>
            <w:r>
              <w:t>Bergmeir &amp; Benítez (2012)</w:t>
            </w:r>
          </w:p>
        </w:tc>
        <w:tc>
          <w:tcPr>
            <w:tcW w:type="dxa" w:w="1440"/>
          </w:tcPr>
          <w:p>
            <w:r/>
            <w:r>
              <w:t>TS cross-validation</w:t>
            </w:r>
          </w:p>
        </w:tc>
        <w:tc>
          <w:tcPr>
            <w:tcW w:type="dxa" w:w="1440"/>
          </w:tcPr>
          <w:p>
            <w:r/>
            <w:r>
              <w:t>Methods</w:t>
            </w:r>
          </w:p>
        </w:tc>
        <w:tc>
          <w:tcPr>
            <w:tcW w:type="dxa" w:w="1440"/>
          </w:tcPr>
          <w:p>
            <w:r/>
            <w:r>
              <w:t>Blocks CV for time series</w:t>
            </w:r>
          </w:p>
        </w:tc>
        <w:tc>
          <w:tcPr>
            <w:tcW w:type="dxa" w:w="1440"/>
          </w:tcPr>
          <w:p>
            <w:r/>
            <w:r>
              <w:t>Out-of-sample</w:t>
            </w:r>
          </w:p>
        </w:tc>
        <w:tc>
          <w:tcPr>
            <w:tcW w:type="dxa" w:w="1440"/>
          </w:tcPr>
          <w:p>
            <w:r/>
            <w:r>
              <w:t>Justifies expanding-window CV</w:t>
            </w:r>
          </w:p>
        </w:tc>
      </w:tr>
      <w:tr>
        <w:tc>
          <w:tcPr>
            <w:tcW w:type="dxa" w:w="1440"/>
          </w:tcPr>
          <w:p>
            <w:r/>
            <w:r>
              <w:t>Chapman et al. (2000)</w:t>
            </w:r>
          </w:p>
        </w:tc>
        <w:tc>
          <w:tcPr>
            <w:tcW w:type="dxa" w:w="1440"/>
          </w:tcPr>
          <w:p>
            <w:r/>
            <w:r>
              <w:t>CRISP-DM</w:t>
            </w:r>
          </w:p>
        </w:tc>
        <w:tc>
          <w:tcPr>
            <w:tcW w:type="dxa" w:w="1440"/>
          </w:tcPr>
          <w:p>
            <w:r/>
            <w:r>
              <w:t>Methods</w:t>
            </w:r>
          </w:p>
        </w:tc>
        <w:tc>
          <w:tcPr>
            <w:tcW w:type="dxa" w:w="1440"/>
          </w:tcPr>
          <w:p>
            <w:r/>
            <w:r>
              <w:t>Standard process model</w:t>
            </w:r>
          </w:p>
        </w:tc>
        <w:tc>
          <w:tcPr>
            <w:tcW w:type="dxa" w:w="1440"/>
          </w:tcPr>
          <w:p>
            <w:r/>
            <w:r>
              <w:t>Generic</w:t>
            </w:r>
          </w:p>
        </w:tc>
        <w:tc>
          <w:tcPr>
            <w:tcW w:type="dxa" w:w="1440"/>
          </w:tcPr>
          <w:p>
            <w:r/>
            <w:r>
              <w:t>Methodology (Ch.3.2)</w:t>
            </w:r>
          </w:p>
        </w:tc>
      </w:tr>
      <w:tr>
        <w:tc>
          <w:tcPr>
            <w:tcW w:type="dxa" w:w="1440"/>
          </w:tcPr>
          <w:p>
            <w:r/>
            <w:r>
              <w:t>Tawodzera (2011); Mango et al. (2014); Bhalla et al. (2018); Melesse et al. (2023)</w:t>
            </w:r>
          </w:p>
        </w:tc>
        <w:tc>
          <w:tcPr>
            <w:tcW w:type="dxa" w:w="1440"/>
          </w:tcPr>
          <w:p>
            <w:r/>
            <w:r>
              <w:t>ZW food security</w:t>
            </w:r>
          </w:p>
        </w:tc>
        <w:tc>
          <w:tcPr>
            <w:tcW w:type="dxa" w:w="1440"/>
          </w:tcPr>
          <w:p>
            <w:r/>
            <w:r>
              <w:t>Empirical</w:t>
            </w:r>
          </w:p>
        </w:tc>
        <w:tc>
          <w:tcPr>
            <w:tcW w:type="dxa" w:w="1440"/>
          </w:tcPr>
          <w:p>
            <w:r/>
            <w:r>
              <w:t>Household drivers of insecurity</w:t>
            </w:r>
          </w:p>
        </w:tc>
        <w:tc>
          <w:tcPr>
            <w:tcW w:type="dxa" w:w="1440"/>
          </w:tcPr>
          <w:p>
            <w:r/>
            <w:r>
              <w:t>Household, not market</w:t>
            </w:r>
          </w:p>
        </w:tc>
        <w:tc>
          <w:tcPr>
            <w:tcW w:type="dxa" w:w="1440"/>
          </w:tcPr>
          <w:p>
            <w:r/>
            <w:r>
              <w:t>Scope boundary</w:t>
            </w:r>
          </w:p>
        </w:tc>
      </w:tr>
      <w:tr>
        <w:tc>
          <w:tcPr>
            <w:tcW w:type="dxa" w:w="1440"/>
          </w:tcPr>
          <w:p>
            <w:r/>
            <w:r>
              <w:t>Moyo (2024); Kramarenko et al. (2010); World Bank (2021)</w:t>
            </w:r>
          </w:p>
        </w:tc>
        <w:tc>
          <w:tcPr>
            <w:tcW w:type="dxa" w:w="1440"/>
          </w:tcPr>
          <w:p>
            <w:r/>
            <w:r>
              <w:t>ZW macro/currency</w:t>
            </w:r>
          </w:p>
        </w:tc>
        <w:tc>
          <w:tcPr>
            <w:tcW w:type="dxa" w:w="1440"/>
          </w:tcPr>
          <w:p>
            <w:r/>
            <w:r>
              <w:t>Context</w:t>
            </w:r>
          </w:p>
        </w:tc>
        <w:tc>
          <w:tcPr>
            <w:tcW w:type="dxa" w:w="1440"/>
          </w:tcPr>
          <w:p>
            <w:r/>
            <w:r>
              <w:t>Currency &amp; crisis context</w:t>
            </w:r>
          </w:p>
        </w:tc>
        <w:tc>
          <w:tcPr>
            <w:tcW w:type="dxa" w:w="1440"/>
          </w:tcPr>
          <w:p>
            <w:r/>
            <w:r>
              <w:t>Macro-level</w:t>
            </w:r>
          </w:p>
        </w:tc>
        <w:tc>
          <w:tcPr>
            <w:tcW w:type="dxa" w:w="1440"/>
          </w:tcPr>
          <w:p>
            <w:r/>
            <w:r>
              <w:t>Currency-regime handling</w:t>
            </w:r>
          </w:p>
        </w:tc>
      </w:tr>
    </w:tbl>
    <w:p>
      <w:r>
        <w:t>*(The full per-source 5Cs for all 34 sources is maintained in</w:t>
      </w:r>
    </w:p>
    <w:p>
      <w:r>
        <w:t>`reports/revision/references.md`.)*</w:t>
      </w:r>
    </w:p>
    <w:p>
      <w:pPr>
        <w:pStyle w:val="Heading2"/>
      </w:pPr>
      <w:r>
        <w:t>2.12 Critical Synthesis</w:t>
      </w:r>
    </w:p>
    <w:p>
      <w:r>
        <w:t>Across the reviewed literature, three patterns emerge. First, food price stress is</w:t>
      </w:r>
    </w:p>
    <w:p>
      <w:r>
        <w:rPr>
          <w:b/>
        </w:rPr>
        <w:t>compound</w:t>
      </w:r>
      <w:r>
        <w:t>: storage and expectations (Deaton &amp; Laroque, 1992), trade costs and market</w:t>
      </w:r>
    </w:p>
    <w:p>
      <w:r>
        <w:t>integration (Fackler &amp; Goodwin, 2001; Burke &amp; Myers, 2014; Porteous, 2019) and seasonality</w:t>
      </w:r>
    </w:p>
    <w:p>
      <w:r>
        <w:t>(Gilbert et al., 2017) jointly shape prices, so a credible model must combine price-momentum</w:t>
      </w:r>
    </w:p>
    <w:p>
      <w:r>
        <w:t xml:space="preserve">and market-relative features. Second, rainfall is a real but </w:t>
      </w:r>
      <w:r>
        <w:rPr>
          <w:b/>
        </w:rPr>
        <w:t>indirect and lagged</w:t>
      </w:r>
    </w:p>
    <w:p>
      <w:r>
        <w:t>driver (Phillips et al., 1998; Sazib et al., 2020; Shukla et al., 2020), so its</w:t>
      </w:r>
    </w:p>
    <w:p>
      <w:r>
        <w:t>predictive contribution should be expected to be modest — a caution that ML climate</w:t>
      </w:r>
    </w:p>
    <w:p>
      <w:r>
        <w:t>studies like He et al. (2021) reinforce. Third, the machine-learning food-security</w:t>
      </w:r>
    </w:p>
    <w:p>
      <w:r>
        <w:t>literature (Busker et al., 2024; Westerveld et al., 2021; Reichstein et al., 2019)</w:t>
      </w:r>
    </w:p>
    <w:p>
      <w:r>
        <w:t xml:space="preserve">emphasises </w:t>
      </w:r>
      <w:r>
        <w:rPr>
          <w:b/>
        </w:rPr>
        <w:t>generalisation difficulty</w:t>
      </w:r>
      <w:r>
        <w:t>, which motivates this study's use of</w:t>
      </w:r>
    </w:p>
    <w:p>
      <w:r>
        <w:t>time-respecting validation (Bergmeir &amp; Benítez, 2012) and its honest reporting of a</w:t>
      </w:r>
    </w:p>
    <w:p>
      <w:r>
        <w:t>weak forward holdout.</w:t>
      </w:r>
    </w:p>
    <w:p>
      <w:pPr>
        <w:pStyle w:val="Heading2"/>
      </w:pPr>
      <w:r>
        <w:t>2.13 Chapter Summary</w:t>
      </w:r>
    </w:p>
    <w:p>
      <w:r>
        <w:t>The literature establishes the economic logic of measuring relative, series- and</w:t>
      </w:r>
    </w:p>
    <w:p>
      <w:r>
        <w:t>peer-based price stress; supports rainfall as a plausible but weak driver; documents</w:t>
      </w:r>
    </w:p>
    <w:p>
      <w:r>
        <w:t>Zimbabwe's household food insecurity and currency fragility (clarifying the scope</w:t>
      </w:r>
    </w:p>
    <w:p>
      <w:r>
        <w:t xml:space="preserve">boundary of a </w:t>
      </w:r>
      <w:r>
        <w:rPr>
          <w:i/>
        </w:rPr>
        <w:t>market price</w:t>
      </w:r>
      <w:r>
        <w:t xml:space="preserve"> model); and shows that machine learning is promising but</w:t>
      </w:r>
    </w:p>
    <w:p>
      <w:r>
        <w:t>generalisation-limited. The gap is stated as a specific missing, reproducible,</w:t>
      </w:r>
    </w:p>
    <w:p>
      <w:r>
        <w:t>time-validated market price-stress probability. Chapter 3 details the reproducible</w:t>
      </w:r>
    </w:p>
    <w:p>
      <w:r>
        <w:t>method; Chapter 4 reports the honest, and partly negative, results.</w:t>
      </w:r>
    </w:p>
    <w:p>
      <w:r>
        <w:br w:type="page"/>
      </w:r>
    </w:p>
    <w:p>
      <w:pPr>
        <w:pStyle w:val="Heading1"/>
      </w:pPr>
      <w:r>
        <w:t>Revised Chapter 3 — Methodology</w:t>
      </w:r>
    </w:p>
    <w:p>
      <w:pPr>
        <w:pStyle w:val="IntenseQuote"/>
      </w:pPr>
      <w:r>
        <w:t>Revision notes: addresses C3.1–C3.10 (reproducible workflow, auditable preparation,</w:t>
      </w:r>
    </w:p>
    <w:p>
      <w:pPr>
        <w:pStyle w:val="IntenseQuote"/>
      </w:pPr>
      <w:r>
        <w:t>panel reconciliation, exact target maths, leakage separation, partition boundaries,</w:t>
      </w:r>
    </w:p>
    <w:p>
      <w:pPr>
        <w:pStyle w:val="IntenseQuote"/>
      </w:pPr>
      <w:r>
        <w:t>pipelines/hyperparameters, horizon gap). All counts are from</w:t>
      </w:r>
    </w:p>
    <w:p>
      <w:pPr>
        <w:pStyle w:val="IntenseQuote"/>
      </w:pPr>
      <w:r>
        <w:t>`data_processed/panel_build_log.txt`, `reports/phase3_rainfall_summary.json` and</w:t>
      </w:r>
    </w:p>
    <w:p>
      <w:pPr>
        <w:pStyle w:val="IntenseQuote"/>
      </w:pPr>
      <w:r>
        <w:t>`artifacts/`. Code: `src/build_rainfall.py`, `src/build_dataset.py`, `src/train.py`,</w:t>
      </w:r>
    </w:p>
    <w:p>
      <w:pPr>
        <w:pStyle w:val="IntenseQuote"/>
      </w:pPr>
      <w:r>
        <w:t>`src/robustness.py`. Config: `config/targets.yml` (seed 42).</w:t>
      </w:r>
    </w:p>
    <w:p>
      <w:pPr>
        <w:pStyle w:val="Heading2"/>
      </w:pPr>
      <w:r>
        <w:t>3.1 Introduction</w:t>
      </w:r>
    </w:p>
    <w:p>
      <w:r>
        <w:t>This chapter specifies the methods so that the study can be reproduced</w:t>
      </w:r>
    </w:p>
    <w:p>
      <w:r>
        <w:t>independently. It gives the complete workflow (inputs → transformation → target</w:t>
      </w:r>
    </w:p>
    <w:p>
      <w:r>
        <w:t>construction → chronological partitioning → training → evaluation → scoring), the</w:t>
      </w:r>
    </w:p>
    <w:p>
      <w:r>
        <w:t>exact data-preparation audit trail, the mathematical definition of both targets, and</w:t>
      </w:r>
    </w:p>
    <w:p>
      <w:r>
        <w:t>the leakage controls. Results appear in Chapter 4.</w:t>
      </w:r>
    </w:p>
    <w:p>
      <w:pPr>
        <w:pStyle w:val="Heading2"/>
      </w:pPr>
      <w:r>
        <w:t>3.2 Research Methodology (CRISP-DM)</w:t>
      </w:r>
    </w:p>
    <w:p>
      <w:r>
        <w:t>The project follows CRISP-DM (business/project understanding → data understanding →</w:t>
      </w:r>
    </w:p>
    <w:p>
      <w:r>
        <w:t>data preparation → modelling → evaluation → deployment), mapped 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CRISP-DM stage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This project</w:t>
            </w:r>
          </w:p>
        </w:tc>
      </w:tr>
      <w:tr>
        <w:tc>
          <w:tcPr>
            <w:tcW w:type="dxa" w:w="4320"/>
          </w:tcPr>
          <w:p>
            <w:r/>
            <w:r>
              <w:t>Project understanding</w:t>
            </w:r>
          </w:p>
        </w:tc>
        <w:tc>
          <w:tcPr>
            <w:tcW w:type="dxa" w:w="4320"/>
          </w:tcPr>
          <w:p>
            <w:r/>
            <w:r>
              <w:t>Define food price stress, primary user, scope (§1.7–1.10)</w:t>
            </w:r>
          </w:p>
        </w:tc>
      </w:tr>
      <w:tr>
        <w:tc>
          <w:tcPr>
            <w:tcW w:type="dxa" w:w="4320"/>
          </w:tcPr>
          <w:p>
            <w:r/>
            <w:r>
              <w:t>Data understanding</w:t>
            </w:r>
          </w:p>
        </w:tc>
        <w:tc>
          <w:tcPr>
            <w:tcW w:type="dxa" w:w="4320"/>
          </w:tcPr>
          <w:p>
            <w:r/>
            <w:r>
              <w:t>Phase 1 inventory/quality (`reports/phase1_*`)</w:t>
            </w:r>
          </w:p>
        </w:tc>
      </w:tr>
      <w:tr>
        <w:tc>
          <w:tcPr>
            <w:tcW w:type="dxa" w:w="4320"/>
          </w:tcPr>
          <w:p>
            <w:r/>
            <w:r>
              <w:t>Data preparation</w:t>
            </w:r>
          </w:p>
        </w:tc>
        <w:tc>
          <w:tcPr>
            <w:tcW w:type="dxa" w:w="4320"/>
          </w:tcPr>
          <w:p>
            <w:r/>
            <w:r>
              <w:t>`src/build_rainfall.py`, `src/build_dataset.py`</w:t>
            </w:r>
          </w:p>
        </w:tc>
      </w:tr>
      <w:tr>
        <w:tc>
          <w:tcPr>
            <w:tcW w:type="dxa" w:w="4320"/>
          </w:tcPr>
          <w:p>
            <w:r/>
            <w:r>
              <w:t>Modelling</w:t>
            </w:r>
          </w:p>
        </w:tc>
        <w:tc>
          <w:tcPr>
            <w:tcW w:type="dxa" w:w="4320"/>
          </w:tcPr>
          <w:p>
            <w:r/>
            <w:r>
              <w:t>`src/train.py` (5 models, 4 tasks)</w:t>
            </w:r>
          </w:p>
        </w:tc>
      </w:tr>
      <w:tr>
        <w:tc>
          <w:tcPr>
            <w:tcW w:type="dxa" w:w="4320"/>
          </w:tcPr>
          <w:p>
            <w:r/>
            <w:r>
              <w:t>Evaluation</w:t>
            </w:r>
          </w:p>
        </w:tc>
        <w:tc>
          <w:tcPr>
            <w:tcW w:type="dxa" w:w="4320"/>
          </w:tcPr>
          <w:p>
            <w:r/>
            <w:r>
              <w:t>`src/train.py`, `src/robustness.py`; `tests/run_checks.py`</w:t>
            </w:r>
          </w:p>
        </w:tc>
      </w:tr>
      <w:tr>
        <w:tc>
          <w:tcPr>
            <w:tcW w:type="dxa" w:w="4320"/>
          </w:tcPr>
          <w:p>
            <w:r/>
            <w:r>
              <w:t>Deployment</w:t>
            </w:r>
          </w:p>
        </w:tc>
        <w:tc>
          <w:tcPr>
            <w:tcW w:type="dxa" w:w="4320"/>
          </w:tcPr>
          <w:p>
            <w:r/>
            <w:r>
              <w:t>`src/fit_final_model.py`, `dashboard/app.py`</w:t>
            </w:r>
          </w:p>
        </w:tc>
      </w:tr>
    </w:tbl>
    <w:p>
      <w:pPr>
        <w:pStyle w:val="Heading2"/>
      </w:pPr>
      <w:r>
        <w:t>3.3 Research Design</w:t>
      </w:r>
    </w:p>
    <w:p>
      <w:r>
        <w:t xml:space="preserve">Quantitative, retrospective, longitudinal and predictive; </w:t>
      </w:r>
      <w:r>
        <w:rPr>
          <w:b/>
        </w:rPr>
        <w:t>not experimental</w:t>
      </w:r>
      <w:r>
        <w:t xml:space="preserve"> (no</w:t>
      </w:r>
    </w:p>
    <w:p>
      <w:r>
        <w:t>control over prices, rainfall or currency). Unit of analysis:</w:t>
      </w:r>
    </w:p>
    <w:p>
      <w:r>
        <w:t>`market × commodity × currency × month`, linked to an administrative district. Four</w:t>
      </w:r>
    </w:p>
    <w:p>
      <w:r>
        <w:t xml:space="preserve">design rules: (1) target refers to month </w:t>
      </w:r>
      <w:r>
        <w:rPr>
          <w:i/>
        </w:rPr>
        <w:t>t+1</w:t>
      </w:r>
      <w:r>
        <w:t>; (2) predictors use only information</w:t>
      </w:r>
    </w:p>
    <w:p>
      <w:r>
        <w:t xml:space="preserve">available at or before </w:t>
      </w:r>
      <w:r>
        <w:rPr>
          <w:i/>
        </w:rPr>
        <w:t>t</w:t>
      </w:r>
      <w:r>
        <w:t>; (3) training/testing follow calendar order; (4) the output</w:t>
      </w:r>
    </w:p>
    <w:p>
      <w:r>
        <w:t>is a market early-warning signal, not a household classification.</w:t>
      </w:r>
    </w:p>
    <w:p>
      <w:pPr>
        <w:pStyle w:val="Heading2"/>
      </w:pPr>
      <w:r>
        <w:t>3.4 Data Collection and Preprocessing</w:t>
      </w:r>
    </w:p>
    <w:p>
      <w:pPr>
        <w:pStyle w:val="Heading3"/>
      </w:pPr>
      <w:r>
        <w:t>3.4.1 Sources, versions and periods (audit)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 (file)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Version/period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t>WFP food prices (`raw/wfp_food_prices_zwe.csv`)</w:t>
            </w:r>
          </w:p>
        </w:tc>
        <w:tc>
          <w:tcPr>
            <w:tcW w:type="dxa" w:w="2880"/>
          </w:tcPr>
          <w:p>
            <w:r/>
            <w:r>
              <w:t>2010-01-15 → 2026-05-15, 28,168 rows</w:t>
            </w:r>
          </w:p>
        </w:tc>
        <w:tc>
          <w:tcPr>
            <w:tcW w:type="dxa" w:w="2880"/>
          </w:tcPr>
          <w:p>
            <w:r/>
            <w:r>
              <w:t>Primary price panel</w:t>
            </w:r>
          </w:p>
        </w:tc>
      </w:tr>
      <w:tr>
        <w:tc>
          <w:tcPr>
            <w:tcW w:type="dxa" w:w="2880"/>
          </w:tcPr>
          <w:p>
            <w:r/>
            <w:r>
              <w:t>WFP markets (`raw/wfp_markets_zwe.csv`)</w:t>
            </w:r>
          </w:p>
        </w:tc>
        <w:tc>
          <w:tcPr>
            <w:tcW w:type="dxa" w:w="2880"/>
          </w:tcPr>
          <w:p>
            <w:r/>
            <w:r>
              <w:t>486 markets</w:t>
            </w:r>
          </w:p>
        </w:tc>
        <w:tc>
          <w:tcPr>
            <w:tcW w:type="dxa" w:w="2880"/>
          </w:tcPr>
          <w:p>
            <w:r/>
            <w:r>
              <w:t>Market → district crosswalk</w:t>
            </w:r>
          </w:p>
        </w:tc>
      </w:tr>
      <w:tr>
        <w:tc>
          <w:tcPr>
            <w:tcW w:type="dxa" w:w="2880"/>
          </w:tcPr>
          <w:p>
            <w:r/>
            <w:r>
              <w:t>CHIRPS v3.0 (`raw/yr.nc`)</w:t>
            </w:r>
          </w:p>
        </w:tc>
        <w:tc>
          <w:tcPr>
            <w:tcW w:type="dxa" w:w="2880"/>
          </w:tcPr>
          <w:p>
            <w:r/>
            <w:r>
              <w:t>1981-01 → 2026-08; 548 months; 0.05°</w:t>
            </w:r>
          </w:p>
        </w:tc>
        <w:tc>
          <w:tcPr>
            <w:tcW w:type="dxa" w:w="2880"/>
          </w:tcPr>
          <w:p>
            <w:r/>
            <w:r>
              <w:t>District rainfall</w:t>
            </w:r>
          </w:p>
        </w:tc>
      </w:tr>
      <w:tr>
        <w:tc>
          <w:tcPr>
            <w:tcW w:type="dxa" w:w="2880"/>
          </w:tcPr>
          <w:p>
            <w:r/>
            <w:r>
              <w:t>geoBoundaries ADM1/ADM2</w:t>
            </w:r>
          </w:p>
        </w:tc>
        <w:tc>
          <w:tcPr>
            <w:tcW w:type="dxa" w:w="2880"/>
          </w:tcPr>
          <w:p>
            <w:r/>
            <w:r>
              <w:t>10 provinces, 91 districts (CC BY 3.0 IGO)</w:t>
            </w:r>
          </w:p>
        </w:tc>
        <w:tc>
          <w:tcPr>
            <w:tcW w:type="dxa" w:w="2880"/>
          </w:tcPr>
          <w:p>
            <w:r/>
            <w:r>
              <w:t>Spatial joins</w:t>
            </w:r>
          </w:p>
        </w:tc>
      </w:tr>
      <w:tr>
        <w:tc>
          <w:tcPr>
            <w:tcW w:type="dxa" w:w="2880"/>
          </w:tcPr>
          <w:p>
            <w:r/>
            <w:r>
              <w:t>HDX HAPI population</w:t>
            </w:r>
          </w:p>
        </w:tc>
        <w:tc>
          <w:tcPr>
            <w:tcW w:type="dxa" w:w="2880"/>
          </w:tcPr>
          <w:p>
            <w:r/>
            <w:r>
              <w:t>2023, admin-2</w:t>
            </w:r>
          </w:p>
        </w:tc>
        <w:tc>
          <w:tcPr>
            <w:tcW w:type="dxa" w:w="2880"/>
          </w:tcPr>
          <w:p>
            <w:r/>
            <w:r>
              <w:t>District context</w:t>
            </w:r>
          </w:p>
        </w:tc>
      </w:tr>
      <w:tr>
        <w:tc>
          <w:tcPr>
            <w:tcW w:type="dxa" w:w="2880"/>
          </w:tcPr>
          <w:p>
            <w:r/>
            <w:r>
              <w:t>HDX HAPI rainfall</w:t>
            </w:r>
          </w:p>
        </w:tc>
        <w:tc>
          <w:tcPr>
            <w:tcW w:type="dxa" w:w="2880"/>
          </w:tcPr>
          <w:p>
            <w:r/>
            <w:r>
              <w:t>admin-1 only, 2022-01→2026-09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used</w:t>
            </w:r>
            <w:r>
              <w:t xml:space="preserve"> (insufficient resolution)</w:t>
            </w:r>
          </w:p>
        </w:tc>
      </w:tr>
    </w:tbl>
    <w:p>
      <w:pPr>
        <w:pStyle w:val="Heading3"/>
      </w:pPr>
      <w:r>
        <w:t>3.4.2 Record-count reconciliation (replaces the unverifiable 3,571 / 10,459)</w:t>
      </w:r>
    </w:p>
    <w:p>
      <w:pPr>
        <w:pStyle w:val="IntenseQuote"/>
      </w:pPr>
      <w:r>
        <w:t>Supervisor C3.4: explain how the panels were built and reconcile them. The</w:t>
      </w:r>
    </w:p>
    <w:p>
      <w:pPr>
        <w:pStyle w:val="IntenseQuote"/>
      </w:pPr>
      <w:r>
        <w:t>dissertation's "3,571 primary / 10,459 SPI" figures have no supporting artefact and</w:t>
      </w:r>
    </w:p>
    <w:p>
      <w:pPr>
        <w:pStyle w:val="IntenseQuote"/>
      </w:pPr>
      <w:r>
        <w:t>cannot be reproduced; the real derivation is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Rows</w:t>
            </w:r>
          </w:p>
        </w:tc>
      </w:tr>
      <w:tr>
        <w:tc>
          <w:tcPr>
            <w:tcW w:type="dxa" w:w="4320"/>
          </w:tcPr>
          <w:p>
            <w:r/>
            <w:r>
              <w:t>Raw WFP price rows</w:t>
            </w:r>
          </w:p>
        </w:tc>
        <w:tc>
          <w:tcPr>
            <w:tcW w:type="dxa" w:w="4320"/>
          </w:tcPr>
          <w:p>
            <w:r/>
            <w:r>
              <w:t>28,168</w:t>
            </w:r>
          </w:p>
        </w:tc>
      </w:tr>
      <w:tr>
        <w:tc>
          <w:tcPr>
            <w:tcW w:type="dxa" w:w="4320"/>
          </w:tcPr>
          <w:p>
            <w:r/>
            <w:r>
              <w:t>− removed non-food category</w:t>
            </w:r>
          </w:p>
        </w:tc>
        <w:tc>
          <w:tcPr>
            <w:tcW w:type="dxa" w:w="4320"/>
          </w:tcPr>
          <w:p>
            <w:r/>
            <w:r>
              <w:t>−7,638</w:t>
            </w:r>
          </w:p>
        </w:tc>
      </w:tr>
      <w:tr>
        <w:tc>
          <w:tcPr>
            <w:tcW w:type="dxa" w:w="4320"/>
          </w:tcPr>
          <w:p>
            <w:r/>
            <w:r>
              <w:t>= food cells</w:t>
            </w:r>
          </w:p>
        </w:tc>
        <w:tc>
          <w:tcPr>
            <w:tcW w:type="dxa" w:w="4320"/>
          </w:tcPr>
          <w:p>
            <w:r/>
            <w:r>
              <w:t>20,530</w:t>
            </w:r>
          </w:p>
        </w:tc>
      </w:tr>
      <w:tr>
        <w:tc>
          <w:tcPr>
            <w:tcW w:type="dxa" w:w="4320"/>
          </w:tcPr>
          <w:p>
            <w:r/>
            <w:r>
              <w:t>− removed price ≤ 0</w:t>
            </w:r>
          </w:p>
        </w:tc>
        <w:tc>
          <w:tcPr>
            <w:tcW w:type="dxa" w:w="4320"/>
          </w:tcPr>
          <w:p>
            <w:r/>
            <w:r>
              <w:t>−0</w:t>
            </w:r>
          </w:p>
        </w:tc>
      </w:tr>
      <w:tr>
        <w:tc>
          <w:tcPr>
            <w:tcW w:type="dxa" w:w="4320"/>
          </w:tcPr>
          <w:p>
            <w:r/>
            <w:r>
              <w:t>= monthly cells (market×commodity×currency×month)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20,530</w:t>
            </w:r>
          </w:p>
        </w:tc>
      </w:tr>
      <w:tr>
        <w:tc>
          <w:tcPr>
            <w:tcW w:type="dxa" w:w="4320"/>
          </w:tcPr>
          <w:p>
            <w:r/>
            <w:r>
              <w:t>Series (market×commodity×currency)</w:t>
            </w:r>
          </w:p>
        </w:tc>
        <w:tc>
          <w:tcPr>
            <w:tcW w:type="dxa" w:w="4320"/>
          </w:tcPr>
          <w:p>
            <w:r/>
            <w:r>
              <w:t>3,029</w:t>
            </w:r>
          </w:p>
        </w:tc>
      </w:tr>
      <w:tr>
        <w:tc>
          <w:tcPr>
            <w:tcW w:type="dxa" w:w="4320"/>
          </w:tcPr>
          <w:p>
            <w:r/>
            <w:r>
              <w:t>Cells with an observed next month (labelable)</w:t>
            </w:r>
          </w:p>
        </w:tc>
        <w:tc>
          <w:tcPr>
            <w:tcW w:type="dxa" w:w="4320"/>
          </w:tcPr>
          <w:p>
            <w:r/>
            <w:r>
              <w:t>7,624 (37.1%)</w:t>
            </w:r>
          </w:p>
        </w:tc>
      </w:tr>
      <w:tr>
        <w:tc>
          <w:tcPr>
            <w:tcW w:type="dxa" w:w="4320"/>
          </w:tcPr>
          <w:p>
            <w:r/>
            <w:r>
              <w:t>— of which Y1 labelable (≥6 prior returns)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5,429</w:t>
            </w:r>
          </w:p>
        </w:tc>
      </w:tr>
      <w:tr>
        <w:tc>
          <w:tcPr>
            <w:tcW w:type="dxa" w:w="4320"/>
          </w:tcPr>
          <w:p>
            <w:r/>
            <w:r>
              <w:t>— of which Y2 labelable (≥5 peers)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12,635</w:t>
            </w:r>
          </w:p>
        </w:tc>
      </w:tr>
    </w:tbl>
    <w:p>
      <w:r>
        <w:t>Two panels are saved (`panel_usdprice.parquet`, `panel_nominal_within_currency.parquet`).</w:t>
      </w:r>
    </w:p>
    <w:p>
      <w:r>
        <w:t xml:space="preserve">The two target panels are </w:t>
      </w:r>
      <w:r>
        <w:rPr>
          <w:b/>
        </w:rPr>
        <w:t>nested within</w:t>
      </w:r>
      <w:r>
        <w:t xml:space="preserve"> the same 20,530-cell panel; they differ only</w:t>
      </w:r>
    </w:p>
    <w:p>
      <w:r>
        <w:t>by labelling requirement (Y1 needs a return history; Y2 needs peers).</w:t>
      </w:r>
    </w:p>
    <w:p>
      <w:pPr>
        <w:pStyle w:val="Heading3"/>
      </w:pPr>
      <w:r>
        <w:t>3.4.3 Data-quality assessment</w:t>
      </w:r>
    </w:p>
    <w:p>
      <w:r>
        <w:t>Checks: missing dates/prices/currencies/coordinates; duplicate keys; zero/negative</w:t>
      </w:r>
    </w:p>
    <w:p>
      <w:r>
        <w:t>prices; commodity/name consistency; validity of coordinates; rainfall coverage.</w:t>
      </w:r>
    </w:p>
    <w:p>
      <w:r>
        <w:t>Key findings (must be reported in Ch.4): 8 markets lack coordinates</w:t>
      </w:r>
    </w:p>
    <w:p>
      <w:r>
        <w:t>(`Dulibadzimu Market, Kombai, Mandava, Mucheke, Murombedzi, Plumtree town, Renkini Bus</w:t>
      </w:r>
    </w:p>
    <w:p>
      <w:r>
        <w:t>Terminus, Tshovani`); `usdprice` minimum ≈ 1.5×10⁻⁵ is implausible; `priceflag=aggregate`</w:t>
      </w:r>
    </w:p>
    <w:p>
      <w:r>
        <w:t xml:space="preserve">covers 78% of rows and is </w:t>
      </w:r>
      <w:r>
        <w:rPr>
          <w:b/>
        </w:rPr>
        <w:t>retained</w:t>
      </w:r>
      <w:r>
        <w:t xml:space="preserve"> (documented decision).</w:t>
      </w:r>
    </w:p>
    <w:p>
      <w:pPr>
        <w:pStyle w:val="Heading3"/>
      </w:pPr>
      <w:r>
        <w:t>3.4.4 Cleaning and aggregation</w:t>
      </w:r>
    </w:p>
    <w:p>
      <w:r>
        <w:t>Dates → month. Where several valid prices share a</w:t>
      </w:r>
    </w:p>
    <w:p>
      <w:r>
        <w:t xml:space="preserve">market×commodity×currency×month, the </w:t>
      </w:r>
      <w:r>
        <w:rPr>
          <w:b/>
        </w:rPr>
        <w:t>monthly median</w:t>
      </w:r>
      <w:r>
        <w:t xml:space="preserve"> is taken. A missing future price</w:t>
      </w:r>
    </w:p>
    <w:p>
      <w:r>
        <w:t xml:space="preserve">is </w:t>
      </w:r>
      <w:r>
        <w:rPr>
          <w:b/>
        </w:rPr>
        <w:t>not</w:t>
      </w:r>
      <w:r>
        <w:t xml:space="preserve"> treated as non-stress; such rows are excluded from supervised use only</w:t>
      </w:r>
    </w:p>
    <w:p>
      <w:r>
        <w:t>(`labelable_* = False`). No observation is discarded solely for being large.</w:t>
      </w:r>
    </w:p>
    <w:p>
      <w:pPr>
        <w:pStyle w:val="Heading3"/>
      </w:pPr>
      <w:r>
        <w:t>3.4.5 Integration and currency handling (C3.3)</w:t>
      </w:r>
    </w:p>
    <w:p>
      <w:r>
        <w:t xml:space="preserve">Markets are matched to districts by </w:t>
      </w:r>
      <w:r>
        <w:rPr>
          <w:b/>
        </w:rPr>
        <w:t>point-in-polygon</w:t>
      </w:r>
      <w:r>
        <w:t xml:space="preserve"> on coordinates (not by name),</w:t>
      </w:r>
    </w:p>
    <w:p>
      <w:r>
        <w:t>in WGS84: 327/335 priced markets matched; 8 flagged. Currency changes are handled by</w:t>
      </w:r>
    </w:p>
    <w:p>
      <w:r>
        <w:t xml:space="preserve">analysing two price bases </w:t>
      </w:r>
      <w:r>
        <w:rPr>
          <w:b/>
        </w:rPr>
        <w:t>in parallel and never pooled</w:t>
      </w:r>
      <w:r>
        <w:t>:</w:t>
      </w:r>
    </w:p>
    <w:p>
      <w:pPr>
        <w:pStyle w:val="ListBullet"/>
      </w:pPr>
      <w:r>
        <w:rPr>
          <w:b/>
        </w:rPr>
        <w:t>nominal-within-currency</w:t>
      </w:r>
      <w:r>
        <w:t xml:space="preserve"> (`price`), where a series is scoped to a single currency;</w:t>
      </w:r>
    </w:p>
    <w:p>
      <w:pPr>
        <w:pStyle w:val="ListBullet"/>
      </w:pPr>
      <w:r>
        <w:rPr>
          <w:b/>
        </w:rPr>
        <w:t>usdprice</w:t>
      </w:r>
      <w:r>
        <w:t>, a currency-comparable series.</w:t>
      </w:r>
    </w:p>
    <w:p>
      <w:r>
        <w:t>Unit (`KG`, `L`, `100 ML`, `250 G`) is retained in the crosswalk; commodity definitions</w:t>
      </w:r>
    </w:p>
    <w:p>
      <w:r>
        <w:t>are taken from WFP `commodity_id`/`category`. Verified regimes: USD-only 2010–2018;</w:t>
      </w:r>
    </w:p>
    <w:p>
      <w:r>
        <w:t>ZWL-only 2019–2022; mixed 2023–2026.</w:t>
      </w:r>
    </w:p>
    <w:p>
      <w:pPr>
        <w:pStyle w:val="Heading3"/>
      </w:pPr>
      <w:r>
        <w:t>3.4.6 Feature engineering and leakage control (C3.9)</w:t>
      </w:r>
    </w:p>
    <w:p>
      <w:r>
        <w:t>Features: `ret_z_cur`, `ret_lag1`, `ret_lag2`, `ret_roll3` (price momentum);</w:t>
      </w:r>
    </w:p>
    <w:p>
      <w:r>
        <w:t>`spi`, `peer_count` (peer markets); `rain_anom_z`, `rain_anom_lag1..3`, `rain_roll3_mm`</w:t>
      </w:r>
    </w:p>
    <w:p>
      <w:r>
        <w:t>(rainfall); `month_sin`, `month_cos` (seasonality); `log_population`; `category`,</w:t>
      </w:r>
    </w:p>
    <w:p>
      <w:r>
        <w:t>`currency` (categorical); `interaction = ret_z_cur × rain_anom_z`.</w:t>
      </w:r>
    </w:p>
    <w:p>
      <w:r>
        <w:t xml:space="preserve">Leakage controls: all rolling windows are </w:t>
      </w:r>
      <w:r>
        <w:rPr>
          <w:b/>
        </w:rPr>
        <w:t>trailing</w:t>
      </w:r>
      <w:r>
        <w:t>; peer statistics are computed</w:t>
      </w:r>
    </w:p>
    <w:p>
      <w:r>
        <w:rPr>
          <w:b/>
        </w:rPr>
        <w:t>within a single month</w:t>
      </w:r>
      <w:r>
        <w:t xml:space="preserve">; rainfall is standardised against a </w:t>
      </w:r>
      <w:r>
        <w:rPr>
          <w:b/>
        </w:rPr>
        <w:t>1981–2015</w:t>
      </w:r>
      <w:r>
        <w:t xml:space="preserve"> climatology</w:t>
      </w:r>
    </w:p>
    <w:p>
      <w:r>
        <w:t xml:space="preserve">(available before every modelled month); scaling/imputation are fitted </w:t>
      </w:r>
      <w:r>
        <w:rPr>
          <w:b/>
        </w:rPr>
        <w:t>inside</w:t>
      </w:r>
      <w:r>
        <w:t xml:space="preserve"> the</w:t>
      </w:r>
    </w:p>
    <w:p>
      <w:r>
        <w:t>training fold. The predictor matrix `X` never contains `z_next`, `next_spi`, `y1`, `y2`</w:t>
      </w:r>
    </w:p>
    <w:p>
      <w:r>
        <w:t>or any `labelable_*` column — enforced by `tests/run_checks.py`.</w:t>
      </w:r>
    </w:p>
    <w:p>
      <w:pPr>
        <w:pStyle w:val="Heading3"/>
      </w:pPr>
      <w:r>
        <w:t>3.4.12 Target-variable construction (C3.5, C3.6)</w:t>
      </w:r>
    </w:p>
    <w:p>
      <w:r>
        <w:rPr>
          <w:b/>
        </w:rPr>
        <w:t>Log return.</w:t>
      </w:r>
      <w:r>
        <w:t xml:space="preserve"> For market </w:t>
      </w:r>
      <w:r>
        <w:rPr>
          <w:i/>
        </w:rPr>
        <w:t>i</w:t>
      </w:r>
      <w:r>
        <w:t xml:space="preserve">, commodity </w:t>
      </w:r>
      <w:r>
        <w:rPr>
          <w:i/>
        </w:rPr>
        <w:t>c</w:t>
      </w:r>
      <w:r>
        <w:t xml:space="preserve">, currency </w:t>
      </w:r>
      <w:r>
        <w:rPr>
          <w:i/>
        </w:rPr>
        <w:t>u</w:t>
      </w:r>
      <w:r>
        <w:t xml:space="preserve">, month </w:t>
      </w:r>
      <w:r>
        <w:rPr>
          <w:i/>
        </w:rPr>
        <w:t>t</w:t>
      </w:r>
      <w:r>
        <w:t>:</w:t>
      </w:r>
    </w:p>
    <w:p>
      <w:r>
        <w:t>`r_{i,c,u,t} = ln(P_{i,c,u,t}) − ln(P_{i,c,u,t−1})`.</w:t>
      </w:r>
    </w:p>
    <w:p>
      <w:r>
        <w:rPr>
          <w:b/>
        </w:rPr>
        <w:t>Target Y1 (standardised-return stress).</w:t>
      </w:r>
      <w:r>
        <w:t xml:space="preserve"> Using a </w:t>
      </w:r>
      <w:r>
        <w:rPr>
          <w:b/>
        </w:rPr>
        <w:t>trailing</w:t>
      </w:r>
      <w:r>
        <w:t xml:space="preserve"> 12-month window and</w:t>
      </w:r>
    </w:p>
    <w:p>
      <w:r>
        <w:t xml:space="preserve">requiring ≥ 6 prior returns, with mean μ and SD σ of the </w:t>
      </w:r>
      <w:r>
        <w:rPr>
          <w:i/>
        </w:rPr>
        <w:t>trailing</w:t>
      </w:r>
      <w:r>
        <w:t xml:space="preserve"> returns:</w:t>
      </w:r>
    </w:p>
    <w:p>
      <w:r>
        <w:t>`z_{i,c,u,t+1} = (r_{i,c,u,t+1} − μ) / σ`;</w:t>
      </w:r>
    </w:p>
    <w:p>
      <w:r>
        <w:t>`Y1 = 1` if `z_{i,c,u,t+1} ≥ 1.0`, else 0. Standardisation uses only returns up to</w:t>
      </w:r>
    </w:p>
    <w:p>
      <w:r>
        <w:rPr>
          <w:i/>
        </w:rPr>
        <w:t>t+1</w:t>
      </w:r>
      <w:r>
        <w:t>'s window start (trailing), never future statistics.</w:t>
      </w:r>
    </w:p>
    <w:p>
      <w:r>
        <w:rPr>
          <w:b/>
        </w:rPr>
        <w:t>Target Y2 (peer-relative stress / SPI).</w:t>
      </w:r>
      <w:r>
        <w:t xml:space="preserve"> Within peer group G = (same `commodity_id`,</w:t>
      </w:r>
    </w:p>
    <w:p>
      <w:r>
        <w:t>same `currency`, same `month`), with ≥ 5 peer markets, peer median `m`:</w:t>
      </w:r>
    </w:p>
    <w:p>
      <w:r>
        <w:t>`SPI_{i,c,u,t+1} = P_{i,c,u,t+1} / m(G)`; `Y2 = 1` if `SPI_{i,c,u,t+1} ≥ 1.20`.</w:t>
      </w:r>
    </w:p>
    <w:p>
      <w:r>
        <w:rPr>
          <w:b/>
        </w:rPr>
        <w:t>Threshold justification.</w:t>
      </w:r>
      <w:r>
        <w:t xml:space="preserve"> Thresholds are set on prevalence grounds, not tuned on the</w:t>
      </w:r>
    </w:p>
    <w:p>
      <w:r>
        <w:t>holdout (`reports/phase6_threshold_sensitivity.csv`):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Y1 threshold (σ)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0.50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1.25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1.50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2.00</w:t>
            </w:r>
          </w:p>
        </w:tc>
      </w:tr>
      <w:tr>
        <w:tc>
          <w:tcPr>
            <w:tcW w:type="dxa" w:w="1234"/>
          </w:tcPr>
          <w:p>
            <w:r/>
            <w:r>
              <w:t>prevalence %</w:t>
            </w:r>
          </w:p>
        </w:tc>
        <w:tc>
          <w:tcPr>
            <w:tcW w:type="dxa" w:w="1234"/>
          </w:tcPr>
          <w:p>
            <w:r/>
            <w:r>
              <w:t>22.5</w:t>
            </w:r>
          </w:p>
        </w:tc>
        <w:tc>
          <w:tcPr>
            <w:tcW w:type="dxa" w:w="1234"/>
          </w:tcPr>
          <w:p>
            <w:r/>
            <w:r>
              <w:t>18.1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14.8</w:t>
            </w:r>
            <w:r>
              <w:t xml:space="preserve"> (chosen)</w:t>
            </w:r>
          </w:p>
        </w:tc>
        <w:tc>
          <w:tcPr>
            <w:tcW w:type="dxa" w:w="1234"/>
          </w:tcPr>
          <w:p>
            <w:r/>
            <w:r>
              <w:t>12.1</w:t>
            </w:r>
          </w:p>
        </w:tc>
        <w:tc>
          <w:tcPr>
            <w:tcW w:type="dxa" w:w="1234"/>
          </w:tcPr>
          <w:p>
            <w:r/>
            <w:r>
              <w:t>10.1</w:t>
            </w:r>
          </w:p>
        </w:tc>
        <w:tc>
          <w:tcPr>
            <w:tcW w:type="dxa" w:w="1234"/>
          </w:tcPr>
          <w:p>
            <w:r/>
            <w:r>
              <w:t>7.1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Y2 threshold (SPI)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1.10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1.20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1.30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1.50</w:t>
            </w:r>
          </w:p>
        </w:tc>
      </w:tr>
      <w:tr>
        <w:tc>
          <w:tcPr>
            <w:tcW w:type="dxa" w:w="1728"/>
          </w:tcPr>
          <w:p>
            <w:r/>
            <w:r>
              <w:t>prevalence %</w:t>
            </w:r>
          </w:p>
        </w:tc>
        <w:tc>
          <w:tcPr>
            <w:tcW w:type="dxa" w:w="1728"/>
          </w:tcPr>
          <w:p>
            <w:r/>
            <w:r>
              <w:t>27.2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16.3</w:t>
            </w:r>
            <w:r>
              <w:t xml:space="preserve"> (chosen)</w:t>
            </w:r>
          </w:p>
        </w:tc>
        <w:tc>
          <w:tcPr>
            <w:tcW w:type="dxa" w:w="1728"/>
          </w:tcPr>
          <w:p>
            <w:r/>
            <w:r>
              <w:t>10.2</w:t>
            </w:r>
          </w:p>
        </w:tc>
        <w:tc>
          <w:tcPr>
            <w:tcW w:type="dxa" w:w="1728"/>
          </w:tcPr>
          <w:p>
            <w:r/>
            <w:r>
              <w:t>5.3</w:t>
            </w:r>
          </w:p>
        </w:tc>
      </w:tr>
    </w:tbl>
    <w:p>
      <w:r>
        <w:rPr>
          <w:b/>
        </w:rPr>
        <w:t>Label-with-future vs predictor-leakage (explicit).</w:t>
      </w:r>
      <w:r>
        <w:t xml:space="preserve"> Using </w:t>
      </w:r>
      <w:r>
        <w:rPr>
          <w:i/>
        </w:rPr>
        <w:t>t+1</w:t>
      </w:r>
      <w:r>
        <w:t xml:space="preserve"> prices to **create the</w:t>
      </w:r>
    </w:p>
    <w:p>
      <w:r>
        <w:t>training label** is intended and permitted — the label is the thing being predicted. Using</w:t>
      </w:r>
    </w:p>
    <w:p>
      <w:r>
        <w:rPr>
          <w:i/>
        </w:rPr>
        <w:t>t+1</w:t>
      </w:r>
      <w:r>
        <w:t xml:space="preserve"> information to </w:t>
      </w:r>
      <w:r>
        <w:rPr>
          <w:b/>
        </w:rPr>
        <w:t>construct predictors</w:t>
      </w:r>
      <w:r>
        <w:t xml:space="preserve"> is prohibited and is prevented (above). The</w:t>
      </w:r>
    </w:p>
    <w:p>
      <w:r>
        <w:t>two are distinct and are separated throughout.</w:t>
      </w:r>
    </w:p>
    <w:p>
      <w:pPr>
        <w:pStyle w:val="Heading2"/>
      </w:pPr>
      <w:r>
        <w:t>3.5 Model Selection</w:t>
      </w:r>
    </w:p>
    <w:p>
      <w:r>
        <w:t xml:space="preserve">Five models per task: </w:t>
      </w:r>
      <w:r>
        <w:rPr>
          <w:b/>
        </w:rPr>
        <w:t>majority</w:t>
      </w:r>
      <w:r>
        <w:t xml:space="preserve"> baseline, </w:t>
      </w:r>
      <w:r>
        <w:rPr>
          <w:b/>
        </w:rPr>
        <w:t>persistence</w:t>
      </w:r>
      <w:r>
        <w:t xml:space="preserve"> baseline (predict next =</w:t>
      </w:r>
    </w:p>
    <w:p>
      <w:r>
        <w:t xml:space="preserve">current state), </w:t>
      </w:r>
      <w:r>
        <w:rPr>
          <w:b/>
        </w:rPr>
        <w:t>elastic-net logistic regression</w:t>
      </w:r>
      <w:r>
        <w:t xml:space="preserve"> (interpretable, handles correlated</w:t>
      </w:r>
    </w:p>
    <w:p>
      <w:r>
        <w:t xml:space="preserve">lagged returns), </w:t>
      </w:r>
      <w:r>
        <w:rPr>
          <w:b/>
        </w:rPr>
        <w:t>histogram gradient boosting</w:t>
      </w:r>
      <w:r>
        <w:t xml:space="preserve"> (non-linear), </w:t>
      </w:r>
      <w:r>
        <w:rPr>
          <w:b/>
        </w:rPr>
        <w:t>XGBoost</w:t>
      </w:r>
      <w:r>
        <w:t xml:space="preserve"> (regularised</w:t>
      </w:r>
    </w:p>
    <w:p>
      <w:r>
        <w:t xml:space="preserve">boosting). XGBoost is a </w:t>
      </w:r>
      <w:r>
        <w:rPr>
          <w:i/>
        </w:rPr>
        <w:t>candidate</w:t>
      </w:r>
      <w:r>
        <w:t>, not an assumed winner; the results (Ch.4) show it</w:t>
      </w:r>
    </w:p>
    <w:p>
      <w:r>
        <w:t>does not dominate.</w:t>
      </w:r>
    </w:p>
    <w:p>
      <w:r>
        <w:t>Hyperparameter treatment is deliberately unequal and stated: **histogram gradient</w:t>
      </w:r>
    </w:p>
    <w:p>
      <w:r>
        <w:t>boosting is tuned by Optuna (§3.7)**, while the baselines and XGBoost use fixed,</w:t>
      </w:r>
    </w:p>
    <w:p>
      <w:r>
        <w:t>pre-registered configurations recorded in `src/train.py`. This keeps the tuned search</w:t>
      </w:r>
    </w:p>
    <w:p>
      <w:r>
        <w:t>scoped to the model under study and does not confound the model comparison.</w:t>
      </w:r>
    </w:p>
    <w:p>
      <w:pPr>
        <w:pStyle w:val="Heading2"/>
      </w:pPr>
      <w:r>
        <w:t>3.6 Model Training and Evaluation</w:t>
      </w:r>
    </w:p>
    <w:p>
      <w:r>
        <w:t xml:space="preserve">Identification of the evaluation set: each task uses the </w:t>
      </w:r>
      <w:r>
        <w:rPr>
          <w:b/>
        </w:rPr>
        <w:t>same holdout rows</w:t>
      </w:r>
      <w:r>
        <w:t xml:space="preserve"> for all</w:t>
      </w:r>
    </w:p>
    <w:p>
      <w:r>
        <w:t>its models. Metrics: ROC-AUC, PR-AUC, precision, recall, specificity, F1, balanced</w:t>
      </w:r>
    </w:p>
    <w:p>
      <w:r>
        <w:t>accuracy, Brier loss, and a confusion matrix at a **single operating threshold taken</w:t>
      </w:r>
    </w:p>
    <w:p>
      <w:r>
        <w:t>from pooled cross-validation validation (the F1-optimal value), applied unchanged to the</w:t>
      </w:r>
    </w:p>
    <w:p>
      <w:r>
        <w:t>holdout** — the holdout is never used to choose the threshold. Comparisons are reported</w:t>
      </w:r>
    </w:p>
    <w:p>
      <w:r>
        <w:rPr>
          <w:b/>
        </w:rPr>
        <w:t>per target</w:t>
      </w:r>
      <w:r>
        <w:t>; models from different targets (Y1 vs Y2) are never placed in a single</w:t>
      </w:r>
    </w:p>
    <w:p>
      <w:r>
        <w:t>ranking (C4.2).</w:t>
      </w:r>
    </w:p>
    <w:p>
      <w:pPr>
        <w:pStyle w:val="Heading2"/>
      </w:pPr>
      <w:r>
        <w:t>3.7 Model Tuning</w:t>
      </w:r>
    </w:p>
    <w:p>
      <w:r>
        <w:t xml:space="preserve">Histogram gradient boosting is tuned with </w:t>
      </w:r>
      <w:r>
        <w:rPr>
          <w:b/>
        </w:rPr>
        <w:t>Optuna (TPE sampler, seed 42)</w:t>
      </w:r>
      <w:r>
        <w:t xml:space="preserve"> **inside the</w:t>
      </w:r>
    </w:p>
    <w:p>
      <w:r>
        <w:t>training period</w:t>
      </w:r>
      <w:r>
        <w:rPr>
          <w:b/>
        </w:rPr>
        <w:t xml:space="preserve">; the forward holdout is excluded from tuning. The search ran </w:t>
      </w:r>
      <w:r>
        <w:t>40 trials</w:t>
      </w:r>
    </w:p>
    <w:p>
      <w:r>
        <w:t>per task (4 tasks, 160 trials in total)</w:t>
      </w:r>
      <w:r>
        <w:rPr>
          <w:b/>
        </w:rPr>
        <w:t xml:space="preserve">, with each trial scored by the </w:t>
      </w:r>
      <w:r>
        <w:t>mean</w:t>
      </w:r>
    </w:p>
    <w:p>
      <w:r>
        <w:t>validation-block ROC-AUC across the expanding-window folds**. Search space:</w:t>
      </w:r>
    </w:p>
    <w:p>
      <w:pPr>
        <w:pStyle w:val="ListBullet"/>
      </w:pPr>
      <w:r>
        <w:t>`learning_rate` ∈ [0.01, 0.30] (log)</w:t>
      </w:r>
    </w:p>
    <w:p>
      <w:pPr>
        <w:pStyle w:val="ListBullet"/>
      </w:pPr>
      <w:r>
        <w:t>`max_iter` ∈ {100, 150, …, 500}</w:t>
      </w:r>
    </w:p>
    <w:p>
      <w:pPr>
        <w:pStyle w:val="ListBullet"/>
      </w:pPr>
      <w:r>
        <w:t>`max_leaf_nodes` ∈ [7, 63]</w:t>
      </w:r>
    </w:p>
    <w:p>
      <w:pPr>
        <w:pStyle w:val="ListBullet"/>
      </w:pPr>
      <w:r>
        <w:t>`min_samples_leaf` ∈ [10, 60]</w:t>
      </w:r>
    </w:p>
    <w:p>
      <w:pPr>
        <w:pStyle w:val="ListBullet"/>
      </w:pPr>
      <w:r>
        <w:t>`l2_regularization` ∈ [10⁻³, 10] (log)</w:t>
      </w:r>
    </w:p>
    <w:p>
      <w:pPr>
        <w:pStyle w:val="ListBullet"/>
      </w:pPr>
      <w:r>
        <w:t>`max_bins` ∈ {128, 255}</w:t>
      </w:r>
    </w:p>
    <w:p>
      <w:r>
        <w:t>Selection rule: highest mean validation ROC-AUC; the chosen configuration is reported as</w:t>
      </w:r>
    </w:p>
    <w:p>
      <w:r>
        <w:t>"selected under this design", not as permanently optimal. The full trial log</w:t>
      </w:r>
    </w:p>
    <w:p>
      <w:r>
        <w:t>(`artifacts/optuna_trials_&lt;task&gt;_hist_gradient_boosting.csv`), the selected parameters</w:t>
      </w:r>
    </w:p>
    <w:p>
      <w:r>
        <w:t>(`artifacts/optuna_best_&lt;task&gt;_hist_gradient_boosting.json`) and a summary</w:t>
      </w:r>
    </w:p>
    <w:p>
      <w:r>
        <w:t>(`artifacts/optuna_summary.csv`) are retained. `src/train.py` and `src/fit_final_model.py`</w:t>
      </w:r>
    </w:p>
    <w:p>
      <w:r>
        <w:t>load these selected parameters, so the reported models are exactly the tuned ones.</w:t>
      </w:r>
    </w:p>
    <w:p>
      <w:r>
        <w:rPr>
          <w:b/>
        </w:rPr>
        <w:t>Selected configurations (best of 40 trials per task):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mean CV ROC-AUC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learning_rate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max_iter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max_leaf_nodes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min_samples_leaf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l2_regularization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max_bins</w:t>
            </w:r>
          </w:p>
        </w:tc>
      </w:tr>
      <w:tr>
        <w:tc>
          <w:tcPr>
            <w:tcW w:type="dxa" w:w="1080"/>
          </w:tcPr>
          <w:p>
            <w:r/>
            <w:r>
              <w:t>T1 (usd, Y1)</w:t>
            </w:r>
          </w:p>
        </w:tc>
        <w:tc>
          <w:tcPr>
            <w:tcW w:type="dxa" w:w="1080"/>
          </w:tcPr>
          <w:p>
            <w:r/>
            <w:r>
              <w:t>0.611</w:t>
            </w:r>
          </w:p>
        </w:tc>
        <w:tc>
          <w:tcPr>
            <w:tcW w:type="dxa" w:w="1080"/>
          </w:tcPr>
          <w:p>
            <w:r/>
            <w:r>
              <w:t>0.0775</w:t>
            </w:r>
          </w:p>
        </w:tc>
        <w:tc>
          <w:tcPr>
            <w:tcW w:type="dxa" w:w="1080"/>
          </w:tcPr>
          <w:p>
            <w:r/>
            <w:r>
              <w:t>200</w:t>
            </w:r>
          </w:p>
        </w:tc>
        <w:tc>
          <w:tcPr>
            <w:tcW w:type="dxa" w:w="1080"/>
          </w:tcPr>
          <w:p>
            <w:r/>
            <w:r>
              <w:t>40</w:t>
            </w:r>
          </w:p>
        </w:tc>
        <w:tc>
          <w:tcPr>
            <w:tcW w:type="dxa" w:w="1080"/>
          </w:tcPr>
          <w:p>
            <w:r/>
            <w:r>
              <w:t>15</w:t>
            </w:r>
          </w:p>
        </w:tc>
        <w:tc>
          <w:tcPr>
            <w:tcW w:type="dxa" w:w="1080"/>
          </w:tcPr>
          <w:p>
            <w:r/>
            <w:r>
              <w:t>0.0135</w:t>
            </w:r>
          </w:p>
        </w:tc>
        <w:tc>
          <w:tcPr>
            <w:tcW w:type="dxa" w:w="1080"/>
          </w:tcPr>
          <w:p>
            <w:r/>
            <w:r>
              <w:t>255</w:t>
            </w:r>
          </w:p>
        </w:tc>
      </w:tr>
      <w:tr>
        <w:tc>
          <w:tcPr>
            <w:tcW w:type="dxa" w:w="1080"/>
          </w:tcPr>
          <w:p>
            <w:r/>
            <w:r>
              <w:t>T2 (usd, Y2)</w:t>
            </w:r>
          </w:p>
        </w:tc>
        <w:tc>
          <w:tcPr>
            <w:tcW w:type="dxa" w:w="1080"/>
          </w:tcPr>
          <w:p>
            <w:r/>
            <w:r>
              <w:t>0.827</w:t>
            </w:r>
          </w:p>
        </w:tc>
        <w:tc>
          <w:tcPr>
            <w:tcW w:type="dxa" w:w="1080"/>
          </w:tcPr>
          <w:p>
            <w:r/>
            <w:r>
              <w:t>0.0236</w:t>
            </w:r>
          </w:p>
        </w:tc>
        <w:tc>
          <w:tcPr>
            <w:tcW w:type="dxa" w:w="1080"/>
          </w:tcPr>
          <w:p>
            <w:r/>
            <w:r>
              <w:t>150</w:t>
            </w:r>
          </w:p>
        </w:tc>
        <w:tc>
          <w:tcPr>
            <w:tcW w:type="dxa" w:w="1080"/>
          </w:tcPr>
          <w:p>
            <w:r/>
            <w:r>
              <w:t>13</w:t>
            </w:r>
          </w:p>
        </w:tc>
        <w:tc>
          <w:tcPr>
            <w:tcW w:type="dxa" w:w="1080"/>
          </w:tcPr>
          <w:p>
            <w:r/>
            <w:r>
              <w:t>53</w:t>
            </w:r>
          </w:p>
        </w:tc>
        <w:tc>
          <w:tcPr>
            <w:tcW w:type="dxa" w:w="1080"/>
          </w:tcPr>
          <w:p>
            <w:r/>
            <w:r>
              <w:t>0.0015</w:t>
            </w:r>
          </w:p>
        </w:tc>
        <w:tc>
          <w:tcPr>
            <w:tcW w:type="dxa" w:w="1080"/>
          </w:tcPr>
          <w:p>
            <w:r/>
            <w:r>
              <w:t>255</w:t>
            </w:r>
          </w:p>
        </w:tc>
      </w:tr>
      <w:tr>
        <w:tc>
          <w:tcPr>
            <w:tcW w:type="dxa" w:w="1080"/>
          </w:tcPr>
          <w:p>
            <w:r/>
            <w:r>
              <w:t>T3 (nominal, Y1)</w:t>
            </w:r>
          </w:p>
        </w:tc>
        <w:tc>
          <w:tcPr>
            <w:tcW w:type="dxa" w:w="1080"/>
          </w:tcPr>
          <w:p>
            <w:r/>
            <w:r>
              <w:t>0.610</w:t>
            </w:r>
          </w:p>
        </w:tc>
        <w:tc>
          <w:tcPr>
            <w:tcW w:type="dxa" w:w="1080"/>
          </w:tcPr>
          <w:p>
            <w:r/>
            <w:r>
              <w:t>0.2189</w:t>
            </w:r>
          </w:p>
        </w:tc>
        <w:tc>
          <w:tcPr>
            <w:tcW w:type="dxa" w:w="1080"/>
          </w:tcPr>
          <w:p>
            <w:r/>
            <w:r>
              <w:t>450</w:t>
            </w:r>
          </w:p>
        </w:tc>
        <w:tc>
          <w:tcPr>
            <w:tcW w:type="dxa" w:w="1080"/>
          </w:tcPr>
          <w:p>
            <w:r/>
            <w:r>
              <w:t>37</w:t>
            </w:r>
          </w:p>
        </w:tc>
        <w:tc>
          <w:tcPr>
            <w:tcW w:type="dxa" w:w="1080"/>
          </w:tcPr>
          <w:p>
            <w:r/>
            <w:r>
              <w:t>12</w:t>
            </w:r>
          </w:p>
        </w:tc>
        <w:tc>
          <w:tcPr>
            <w:tcW w:type="dxa" w:w="1080"/>
          </w:tcPr>
          <w:p>
            <w:r/>
            <w:r>
              <w:t>0.0030</w:t>
            </w:r>
          </w:p>
        </w:tc>
        <w:tc>
          <w:tcPr>
            <w:tcW w:type="dxa" w:w="1080"/>
          </w:tcPr>
          <w:p>
            <w:r/>
            <w:r>
              <w:t>255</w:t>
            </w:r>
          </w:p>
        </w:tc>
      </w:tr>
      <w:tr>
        <w:tc>
          <w:tcPr>
            <w:tcW w:type="dxa" w:w="1080"/>
          </w:tcPr>
          <w:p>
            <w:r/>
            <w:r>
              <w:t>T4 (nominal, Y2)</w:t>
            </w:r>
          </w:p>
        </w:tc>
        <w:tc>
          <w:tcPr>
            <w:tcW w:type="dxa" w:w="1080"/>
          </w:tcPr>
          <w:p>
            <w:r/>
            <w:r>
              <w:t>0.831</w:t>
            </w:r>
          </w:p>
        </w:tc>
        <w:tc>
          <w:tcPr>
            <w:tcW w:type="dxa" w:w="1080"/>
          </w:tcPr>
          <w:p>
            <w:r/>
            <w:r>
              <w:t>0.0197</w:t>
            </w:r>
          </w:p>
        </w:tc>
        <w:tc>
          <w:tcPr>
            <w:tcW w:type="dxa" w:w="1080"/>
          </w:tcPr>
          <w:p>
            <w:r/>
            <w:r>
              <w:t>150</w:t>
            </w:r>
          </w:p>
        </w:tc>
        <w:tc>
          <w:tcPr>
            <w:tcW w:type="dxa" w:w="1080"/>
          </w:tcPr>
          <w:p>
            <w:r/>
            <w:r>
              <w:t>10</w:t>
            </w:r>
          </w:p>
        </w:tc>
        <w:tc>
          <w:tcPr>
            <w:tcW w:type="dxa" w:w="1080"/>
          </w:tcPr>
          <w:p>
            <w:r/>
            <w:r>
              <w:t>52</w:t>
            </w:r>
          </w:p>
        </w:tc>
        <w:tc>
          <w:tcPr>
            <w:tcW w:type="dxa" w:w="1080"/>
          </w:tcPr>
          <w:p>
            <w:r/>
            <w:r>
              <w:t>0.0027</w:t>
            </w:r>
          </w:p>
        </w:tc>
        <w:tc>
          <w:tcPr>
            <w:tcW w:type="dxa" w:w="1080"/>
          </w:tcPr>
          <w:p>
            <w:r/>
            <w:r>
              <w:t>255</w:t>
            </w:r>
          </w:p>
        </w:tc>
      </w:tr>
    </w:tbl>
    <w:p>
      <w:pPr>
        <w:pStyle w:val="Heading2"/>
      </w:pPr>
      <w:r>
        <w:t>3.8 Model Validation — exact partitions and horizon gap (C3.7, C3.10)</w:t>
      </w:r>
    </w:p>
    <w:p>
      <w:r>
        <w:rPr>
          <w:b/>
        </w:rPr>
        <w:t>Scheme:</w:t>
      </w:r>
      <w:r>
        <w:t xml:space="preserve"> expanding-window CV (earliest history → next period, window grows) plus a</w:t>
      </w:r>
    </w:p>
    <w:p>
      <w:r>
        <w:t>12-month forward holdout. Exact boundaries are recorded in `artifacts/folds_*.json`.</w:t>
      </w:r>
    </w:p>
    <w:p>
      <w:r>
        <w:t>Representative labels (Y1, usd), validation windows: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Fold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Train ends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Validation months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n_train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n_val</w:t>
            </w:r>
          </w:p>
        </w:tc>
      </w:tr>
      <w:tr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2012-12</w:t>
            </w:r>
          </w:p>
        </w:tc>
        <w:tc>
          <w:tcPr>
            <w:tcW w:type="dxa" w:w="1728"/>
          </w:tcPr>
          <w:p>
            <w:r/>
            <w:r>
              <w:t>2013-01 → 2015-09</w:t>
            </w:r>
          </w:p>
        </w:tc>
        <w:tc>
          <w:tcPr>
            <w:tcW w:type="dxa" w:w="1728"/>
          </w:tcPr>
          <w:p>
            <w:r/>
            <w:r>
              <w:t>535</w:t>
            </w:r>
          </w:p>
        </w:tc>
        <w:tc>
          <w:tcPr>
            <w:tcW w:type="dxa" w:w="1728"/>
          </w:tcPr>
          <w:p>
            <w:r/>
            <w:r>
              <w:t>424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2015-09</w:t>
            </w:r>
          </w:p>
        </w:tc>
        <w:tc>
          <w:tcPr>
            <w:tcW w:type="dxa" w:w="1728"/>
          </w:tcPr>
          <w:p>
            <w:r/>
            <w:r>
              <w:t>2015-10 → 2018-06</w:t>
            </w:r>
          </w:p>
        </w:tc>
        <w:tc>
          <w:tcPr>
            <w:tcW w:type="dxa" w:w="1728"/>
          </w:tcPr>
          <w:p>
            <w:r/>
            <w:r>
              <w:t>959</w:t>
            </w:r>
          </w:p>
        </w:tc>
        <w:tc>
          <w:tcPr>
            <w:tcW w:type="dxa" w:w="1728"/>
          </w:tcPr>
          <w:p>
            <w:r/>
            <w:r>
              <w:t>558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2018-06</w:t>
            </w:r>
          </w:p>
        </w:tc>
        <w:tc>
          <w:tcPr>
            <w:tcW w:type="dxa" w:w="1728"/>
          </w:tcPr>
          <w:p>
            <w:r/>
            <w:r>
              <w:t>2018-07 → 2022-09</w:t>
            </w:r>
          </w:p>
        </w:tc>
        <w:tc>
          <w:tcPr>
            <w:tcW w:type="dxa" w:w="1728"/>
          </w:tcPr>
          <w:p>
            <w:r/>
            <w:r>
              <w:t>1,517</w:t>
            </w:r>
          </w:p>
        </w:tc>
        <w:tc>
          <w:tcPr>
            <w:tcW w:type="dxa" w:w="1728"/>
          </w:tcPr>
          <w:p>
            <w:r/>
            <w:r>
              <w:t>2,843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2022-09</w:t>
            </w:r>
          </w:p>
        </w:tc>
        <w:tc>
          <w:tcPr>
            <w:tcW w:type="dxa" w:w="1728"/>
          </w:tcPr>
          <w:p>
            <w:r/>
            <w:r>
              <w:t>2022-10 → 2025-04</w:t>
            </w:r>
          </w:p>
        </w:tc>
        <w:tc>
          <w:tcPr>
            <w:tcW w:type="dxa" w:w="1728"/>
          </w:tcPr>
          <w:p>
            <w:r/>
            <w:r>
              <w:t>4,360</w:t>
            </w:r>
          </w:p>
        </w:tc>
        <w:tc>
          <w:tcPr>
            <w:tcW w:type="dxa" w:w="1728"/>
          </w:tcPr>
          <w:p>
            <w:r/>
            <w:r>
              <w:t>986</w:t>
            </w:r>
          </w:p>
        </w:tc>
      </w:tr>
      <w:tr>
        <w:tc>
          <w:tcPr>
            <w:tcW w:type="dxa" w:w="1728"/>
          </w:tcPr>
          <w:p>
            <w:r/>
            <w:r>
              <w:t>Holdout</w:t>
            </w:r>
          </w:p>
        </w:tc>
        <w:tc>
          <w:tcPr>
            <w:tcW w:type="dxa" w:w="1728"/>
          </w:tcPr>
          <w:p>
            <w:r/>
            <w:r>
              <w:t>(all CV months)</w:t>
            </w:r>
          </w:p>
        </w:tc>
        <w:tc>
          <w:tcPr>
            <w:tcW w:type="dxa" w:w="1728"/>
          </w:tcPr>
          <w:p>
            <w:r/>
            <w:r>
              <w:t>2025-05 → 2026-04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83</w:t>
            </w:r>
          </w:p>
        </w:tc>
      </w:tr>
    </w:tbl>
    <w:p>
      <w:r>
        <w:t>Y2 (usd) holdout: 2024-12 → 2026-04 (n=245). Windows are irregular because the price</w:t>
      </w:r>
    </w:p>
    <w:p>
      <w:r>
        <w:t>panel itself has gap months (no data in parts of 2019/2022).</w:t>
      </w:r>
    </w:p>
    <w:p>
      <w:r>
        <w:rPr>
          <w:b/>
        </w:rPr>
        <w:t>Forecast-horizon gap.</w:t>
      </w:r>
      <w:r>
        <w:t xml:space="preserve"> Because the horizon is 1 month and labels require an observed</w:t>
      </w:r>
    </w:p>
    <w:p>
      <w:r>
        <w:rPr>
          <w:i/>
        </w:rPr>
        <w:t>t+1</w:t>
      </w:r>
      <w:r>
        <w:t xml:space="preserve">, the holdout begins the first month </w:t>
      </w:r>
      <w:r>
        <w:rPr>
          <w:b/>
        </w:rPr>
        <w:t>after</w:t>
      </w:r>
      <w:r>
        <w:t xml:space="preserve"> the last training month; training</w:t>
      </w:r>
    </w:p>
    <w:p>
      <w:r>
        <w:t>labels never extend into the validation block. A longer lead (e.g. 2 months) would</w:t>
      </w:r>
    </w:p>
    <w:p>
      <w:r>
        <w:t>require dropping boundary observations, which was tested implicitly via the lead-lag</w:t>
      </w:r>
    </w:p>
    <w:p>
      <w:r>
        <w:t>analysis (Ch.4.5) and was not needed for a 1-month horizon.</w:t>
      </w:r>
    </w:p>
    <w:p>
      <w:r>
        <w:rPr>
          <w:b/>
        </w:rPr>
        <w:t>Leakage verification.</w:t>
      </w:r>
      <w:r>
        <w:t xml:space="preserve"> `tests/run_checks.py` asserts (a) no `t+1`/label column in `X`;</w:t>
      </w:r>
    </w:p>
    <w:p>
      <w:r>
        <w:t>(b) `labelable_y1 ⇒ z_next` present and `labelable_y2 ⇒ next_spi` present; (c) unit-key</w:t>
      </w:r>
    </w:p>
    <w:p>
      <w:r>
        <w:t>uniqueness; (d) prevalence within expected bands. All pass (20/20).</w:t>
      </w:r>
    </w:p>
    <w:p>
      <w:pPr>
        <w:pStyle w:val="Heading2"/>
      </w:pPr>
      <w:r>
        <w:t>3.9 Statistical Analysis</w:t>
      </w:r>
    </w:p>
    <w:p>
      <w:r>
        <w:t>Descriptive statistics precede modelling. Rainfall–price timing is examined with</w:t>
      </w:r>
    </w:p>
    <w:p>
      <w:r>
        <w:rPr>
          <w:b/>
        </w:rPr>
        <w:t>Pearson and Spearman</w:t>
      </w:r>
      <w:r>
        <w:t xml:space="preserve"> correlations at leads 0–3 months, with </w:t>
      </w:r>
      <w:r>
        <w:rPr>
          <w:b/>
        </w:rPr>
        <w:t>n</w:t>
      </w:r>
      <w:r>
        <w:t>, p-values and 95%</w:t>
      </w:r>
    </w:p>
    <w:p>
      <w:r>
        <w:t>CIs via Fisher's z (Ch.4.5). Because the same market contributes repeated observations,</w:t>
      </w:r>
    </w:p>
    <w:p>
      <w:r>
        <w:t xml:space="preserve">inference treats observations as </w:t>
      </w:r>
      <w:r>
        <w:rPr>
          <w:b/>
        </w:rPr>
        <w:t>not independent</w:t>
      </w:r>
      <w:r>
        <w:t>; consequently bootstrap confidence</w:t>
      </w:r>
    </w:p>
    <w:p>
      <w:r>
        <w:t xml:space="preserve">intervals are reported both at row level and </w:t>
      </w:r>
      <w:r>
        <w:rPr>
          <w:b/>
        </w:rPr>
        <w:t>clustered by market</w:t>
      </w:r>
    </w:p>
    <w:p>
      <w:r>
        <w:t>(`reports/phase6b_bootstrap_ci.csv`). Permutation importance is computed out-of-sample</w:t>
      </w:r>
    </w:p>
    <w:p>
      <w:r>
        <w:t xml:space="preserve">and, additionally, </w:t>
      </w:r>
      <w:r>
        <w:rPr>
          <w:b/>
        </w:rPr>
        <w:t>across folds</w:t>
      </w:r>
      <w:r>
        <w:t xml:space="preserve"> to test stability (`phase6b_importance_stability.csv`).</w:t>
      </w:r>
    </w:p>
    <w:p>
      <w:r>
        <w:t>No causal claim is made.</w:t>
      </w:r>
    </w:p>
    <w:p>
      <w:pPr>
        <w:pStyle w:val="Heading2"/>
      </w:pPr>
      <w:r>
        <w:t>3.10 Software and Tools</w:t>
      </w:r>
    </w:p>
    <w:p>
      <w:r>
        <w:t>Python 3.12; pandas, NumPy (tabular/numeric); GeoPandas + Shapely (spatial joins);</w:t>
      </w:r>
    </w:p>
    <w:p>
      <w:r>
        <w:t>xarray + netCDF4 (CHIRPS); scikit-learn (pipelines, metrics); XGBoost; Optuna (tuning);</w:t>
      </w:r>
    </w:p>
    <w:p>
      <w:r>
        <w:t>Matplotlib (figures); joblib (model persistence); Streamlit (dashboard). No</w:t>
      </w:r>
    </w:p>
    <w:p>
      <w:r>
        <w:t>`live_prediction.py`/`map_stress.py` are claimed; the working scoring artefact is</w:t>
      </w:r>
    </w:p>
    <w:p>
      <w:r>
        <w:t>`src/fit_final_model.py` + `dashboard/app.py`.</w:t>
      </w:r>
    </w:p>
    <w:p>
      <w:pPr>
        <w:pStyle w:val="Heading2"/>
      </w:pPr>
      <w:r>
        <w:t>3.11 Ethical Considerations</w:t>
      </w:r>
    </w:p>
    <w:p>
      <w:r>
        <w:t>Secondary market/climate/population data only; no personal data; district outputs are</w:t>
      </w:r>
    </w:p>
    <w:p>
      <w:r>
        <w:t>market signals, not household assessments; human verification required; poorly covered</w:t>
      </w:r>
    </w:p>
    <w:p>
      <w:r>
        <w:t>areas remain visible as a fairness concern.</w:t>
      </w:r>
    </w:p>
    <w:p>
      <w:pPr>
        <w:pStyle w:val="Heading2"/>
      </w:pPr>
      <w:r>
        <w:t>3.12 Chapter Summary</w:t>
      </w:r>
    </w:p>
    <w:p>
      <w:r>
        <w:t>A reproducible, leakage-controlled workflow is specified: 28,168 raw rows → 20,530 food</w:t>
      </w:r>
    </w:p>
    <w:p>
      <w:r>
        <w:t>cells → 5,429 (Y1) / 12,635 (Y2) labelled observations; two targets defined</w:t>
      </w:r>
    </w:p>
    <w:p>
      <w:r>
        <w:t>mathematically; expanding-window CV with a 12-month forward holdout whose boundaries are</w:t>
      </w:r>
    </w:p>
    <w:p>
      <w:r>
        <w:t>recorded; per-target model comparison with uncertainty intervals. Chapter 4 reports the</w:t>
      </w:r>
    </w:p>
    <w:p>
      <w:r>
        <w:t>results produced by exactly this workflow.</w:t>
      </w:r>
    </w:p>
    <w:p>
      <w:r>
        <w:br w:type="page"/>
      </w:r>
    </w:p>
    <w:p>
      <w:pPr>
        <w:pStyle w:val="Heading1"/>
      </w:pPr>
      <w:r>
        <w:t>Revised Chapter 4 — Results and Findings</w:t>
      </w:r>
    </w:p>
    <w:p>
      <w:pPr>
        <w:pStyle w:val="IntenseQuote"/>
      </w:pPr>
      <w:r>
        <w:t>Revision notes: addresses C4.1–C4.10. Every number is from `artifacts/` and</w:t>
      </w:r>
    </w:p>
    <w:p>
      <w:pPr>
        <w:pStyle w:val="IntenseQuote"/>
      </w:pPr>
      <w:r>
        <w:t>`reports/phase6b_*.csv`. The dissertation's fabricated values (3,571/10,459 rows;</w:t>
      </w:r>
    </w:p>
    <w:p>
      <w:pPr>
        <w:pStyle w:val="IntenseQuote"/>
      </w:pPr>
      <w:r>
        <w:t>17.0%/12.43%; 57.3% USD; r=−0.22; per-commodity AUCs; 68.4/21.2/10.4 risk bands;</w:t>
      </w:r>
    </w:p>
    <w:p>
      <w:pPr>
        <w:pStyle w:val="IntenseQuote"/>
      </w:pPr>
      <w:r>
        <w:t xml:space="preserve">named higher-risk districts) are </w:t>
      </w:r>
      <w:r>
        <w:rPr>
          <w:b/>
        </w:rPr>
        <w:t>not reproduced</w:t>
      </w:r>
      <w:r>
        <w:t xml:space="preserve"> and are replaced below.</w:t>
      </w:r>
    </w:p>
    <w:p>
      <w:pPr>
        <w:pStyle w:val="Heading2"/>
      </w:pPr>
      <w:r>
        <w:t>4.1 Introduction</w:t>
      </w:r>
    </w:p>
    <w:p>
      <w:r>
        <w:t>Results are organised by the five objectives and reported **separately for each</w:t>
      </w:r>
    </w:p>
    <w:p>
      <w:r>
        <w:t>target** (Y1 = standardised-return stress; Y2 = peer-relative stress). All results</w:t>
      </w:r>
    </w:p>
    <w:p>
      <w:r>
        <w:t>concern market price stress, not household food insecurity. Two price bases</w:t>
      </w:r>
    </w:p>
    <w:p>
      <w:r>
        <w:t>(nominal-within-currency and USD) are never pooled.</w:t>
      </w:r>
    </w:p>
    <w:p>
      <w:pPr>
        <w:pStyle w:val="Heading2"/>
      </w:pPr>
      <w:r>
        <w:t>4.2 Summary of Key Findings (by objective)</w:t>
      </w:r>
    </w:p>
    <w:p>
      <w:pPr>
        <w:pStyle w:val="Heading3"/>
      </w:pPr>
      <w:r>
        <w:t>4.2.1 Objective 1 — Data integration</w:t>
      </w:r>
    </w:p>
    <w:p>
      <w:r>
        <w:t xml:space="preserve">A market×commodity×currency×month panel of </w:t>
      </w:r>
      <w:r>
        <w:rPr>
          <w:b/>
        </w:rPr>
        <w:t>20,530 food cells</w:t>
      </w:r>
      <w:r>
        <w:t xml:space="preserve"> (from 28,168 raw rows)</w:t>
      </w:r>
    </w:p>
    <w:p>
      <w:r>
        <w:t>was linked to district rainfall; 327/335 priced markets were geolocated, 8 flagged as</w:t>
      </w:r>
    </w:p>
    <w:p>
      <w:r>
        <w:t>unmatched. Traceability is preserved via `data_processed/market_admin_crosswalk.csv`.</w:t>
      </w:r>
    </w:p>
    <w:p>
      <w:pPr>
        <w:pStyle w:val="Heading3"/>
      </w:pPr>
      <w:r>
        <w:t>4.2.2 Objective 2 — Feature construction</w:t>
      </w:r>
    </w:p>
    <w:p>
      <w:r>
        <w:t>Features were built with trailing-only windows. The rainfall–price association is</w:t>
      </w:r>
    </w:p>
    <w:p>
      <w:r>
        <w:rPr>
          <w:b/>
        </w:rPr>
        <w:t>weak and peaks at a 1-month lead</w:t>
      </w:r>
      <w:r>
        <w:t xml:space="preserve"> (§4.5), not at 2 months as the dissertation</w:t>
      </w:r>
    </w:p>
    <w:p>
      <w:r>
        <w:t>claimed. The climate–price interaction is retained but is a model diagnostic, not</w:t>
      </w:r>
    </w:p>
    <w:p>
      <w:r>
        <w:t>evidence of a causal interaction.</w:t>
      </w:r>
    </w:p>
    <w:p>
      <w:pPr>
        <w:pStyle w:val="Heading3"/>
      </w:pPr>
      <w:r>
        <w:t>4.2.3 Objective 3 — Model comparison (see §4.3</w:t>
      </w:r>
    </w:p>
    <w:p>
      <w:r>
        <w:t>for the full tables)</w:t>
      </w:r>
    </w:p>
    <w:p>
      <w:r>
        <w:t xml:space="preserve">Discrimination is </w:t>
      </w:r>
      <w:r>
        <w:rPr>
          <w:b/>
        </w:rPr>
        <w:t>modest</w:t>
      </w:r>
      <w:r>
        <w:t xml:space="preserve"> (Y2) to </w:t>
      </w:r>
      <w:r>
        <w:rPr>
          <w:b/>
        </w:rPr>
        <w:t>weak</w:t>
      </w:r>
      <w:r>
        <w:t xml:space="preserve"> (Y1), and XGBoost </w:t>
      </w:r>
      <w:r>
        <w:rPr>
          <w:b/>
        </w:rPr>
        <w:t>does not dominate</w:t>
      </w:r>
    </w:p>
    <w:p>
      <w:r>
        <w:t>(histogram GBM wins the USD Y2 holdout; the two are tied on nominal Y2). Confidence</w:t>
      </w:r>
    </w:p>
    <w:p>
      <w:r>
        <w:t>intervals and per-year breakdowns show the Y1 result is not distinguishable from chance</w:t>
      </w:r>
    </w:p>
    <w:p>
      <w:r>
        <w:t>at the market level.</w:t>
      </w:r>
    </w:p>
    <w:p>
      <w:pPr>
        <w:pStyle w:val="Heading3"/>
      </w:pPr>
      <w:r>
        <w:t>4.2.4 Objective 4 — Scoring prototype</w:t>
      </w:r>
    </w:p>
    <w:p>
      <w:r>
        <w:t>A scoring artefact exists (`src/fit_final_model.py`, `dashboard/app.py`) that validates</w:t>
      </w:r>
    </w:p>
    <w:p>
      <w:r>
        <w:t>input, reconstructs features, applies a versioned model (with metadata: training period,</w:t>
      </w:r>
    </w:p>
    <w:p>
      <w:r>
        <w:t xml:space="preserve">seed) and writes a separate output. It is a technical prototype; it has </w:t>
      </w:r>
      <w:r>
        <w:rPr>
          <w:b/>
        </w:rPr>
        <w:t>not</w:t>
      </w:r>
      <w:r>
        <w:t xml:space="preserve"> been</w:t>
      </w:r>
    </w:p>
    <w:p>
      <w:r>
        <w:t>operationally validated.</w:t>
      </w:r>
    </w:p>
    <w:p>
      <w:r>
        <w:t>&lt;!-- FIGURE PLACEHOLDER (Chapter 4 only): insert a dashboard screenshot for this section.</w:t>
      </w:r>
    </w:p>
    <w:p>
      <w:r>
        <w:t>The full dashboard walkthrough lives in Chapter 5 (Figures 5.1–5.10); reserve one</w:t>
      </w:r>
    </w:p>
    <w:p>
      <w:r>
        <w:t>screen here if the prototype is shown inline in Chapter 4. --&gt;</w:t>
      </w:r>
    </w:p>
    <w:p>
      <w:pPr>
        <w:pStyle w:val="IntenseQuote"/>
      </w:pPr>
      <w:r>
        <w:rPr>
          <w:b/>
        </w:rPr>
        <w:t>[Figure 4.2.4 — placeholder]</w:t>
      </w:r>
      <w:r>
        <w:t xml:space="preserve"> *Dashboard screenshot of the scoring prototype</w:t>
      </w:r>
    </w:p>
    <w:p>
      <w:pPr>
        <w:pStyle w:val="IntenseQuote"/>
      </w:pPr>
      <w:r>
        <w:t>(`dashboard/app.py`): input-validation screen and a sample scoring output. Space</w:t>
      </w:r>
    </w:p>
    <w:p>
      <w:pPr>
        <w:pStyle w:val="IntenseQuote"/>
      </w:pPr>
      <w:r>
        <w:t>reserved for the Chapter 4 discussion; live screenshots are in Chapter 5.*</w:t>
      </w:r>
    </w:p>
    <w:p>
      <w:pPr>
        <w:pStyle w:val="Heading3"/>
      </w:pPr>
      <w:r>
        <w:t>4.2.5 Objective 5 — Commodity and district support</w:t>
      </w:r>
    </w:p>
    <w:p>
      <w:r>
        <w:t>Commodity-level results are real (§4.6). District risk outputs are **exploratory,</w:t>
      </w:r>
    </w:p>
    <w:p>
      <w:r>
        <w:t>model-generated classifications</w:t>
      </w:r>
      <w:r>
        <w:rPr>
          <w:b/>
        </w:rPr>
        <w:t xml:space="preserve"> and are </w:t>
      </w:r>
      <w:r>
        <w:t>not** dependable early-warning predictions.</w:t>
      </w:r>
    </w:p>
    <w:p>
      <w:pPr>
        <w:pStyle w:val="Heading2"/>
      </w:pPr>
      <w:r>
        <w:t>4.3 Descriptive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Food cells</w:t>
            </w:r>
          </w:p>
        </w:tc>
        <w:tc>
          <w:tcPr>
            <w:tcW w:type="dxa" w:w="4320"/>
          </w:tcPr>
          <w:p>
            <w:r/>
            <w:r>
              <w:t>20,530</w:t>
            </w:r>
          </w:p>
        </w:tc>
      </w:tr>
      <w:tr>
        <w:tc>
          <w:tcPr>
            <w:tcW w:type="dxa" w:w="4320"/>
          </w:tcPr>
          <w:p>
            <w:r/>
            <w:r>
              <w:t>Series (market×commodity×currency)</w:t>
            </w:r>
          </w:p>
        </w:tc>
        <w:tc>
          <w:tcPr>
            <w:tcW w:type="dxa" w:w="4320"/>
          </w:tcPr>
          <w:p>
            <w:r/>
            <w:r>
              <w:t>3,029 (median length 4 months; 108 ≥ 24)</w:t>
            </w:r>
          </w:p>
        </w:tc>
      </w:tr>
      <w:tr>
        <w:tc>
          <w:tcPr>
            <w:tcW w:type="dxa" w:w="4320"/>
          </w:tcPr>
          <w:p>
            <w:r/>
            <w:r>
              <w:t>Y1 labelable / positives</w:t>
            </w:r>
          </w:p>
        </w:tc>
        <w:tc>
          <w:tcPr>
            <w:tcW w:type="dxa" w:w="4320"/>
          </w:tcPr>
          <w:p>
            <w:r/>
            <w:r>
              <w:t>5,429 / 812 (usd, 14.96%); 819 (nominal, 15.09%)</w:t>
            </w:r>
          </w:p>
        </w:tc>
      </w:tr>
      <w:tr>
        <w:tc>
          <w:tcPr>
            <w:tcW w:type="dxa" w:w="4320"/>
          </w:tcPr>
          <w:p>
            <w:r/>
            <w:r>
              <w:t>Y2 labelable / positives</w:t>
            </w:r>
          </w:p>
        </w:tc>
        <w:tc>
          <w:tcPr>
            <w:tcW w:type="dxa" w:w="4320"/>
          </w:tcPr>
          <w:p>
            <w:r/>
            <w:r>
              <w:t>12,635 / 2,060 (usd, 16.30%); 2,028 (nominal, 16.05%)</w:t>
            </w:r>
          </w:p>
        </w:tc>
      </w:tr>
      <w:tr>
        <w:tc>
          <w:tcPr>
            <w:tcW w:type="dxa" w:w="4320"/>
          </w:tcPr>
          <w:p>
            <w:r/>
            <w:r>
              <w:t>Currency split of food cells</w:t>
            </w:r>
          </w:p>
        </w:tc>
        <w:tc>
          <w:tcPr>
            <w:tcW w:type="dxa" w:w="4320"/>
          </w:tcPr>
          <w:p>
            <w:r/>
            <w:r>
              <w:t>ZWL ≈ 73%; USD ≈ 27% (dissertation's 57.3% USD is wrong)</w:t>
            </w:r>
          </w:p>
        </w:tc>
      </w:tr>
      <w:tr>
        <w:tc>
          <w:tcPr>
            <w:tcW w:type="dxa" w:w="4320"/>
          </w:tcPr>
          <w:p>
            <w:r/>
            <w:r>
              <w:t>Districts with rainfall</w:t>
            </w:r>
          </w:p>
        </w:tc>
        <w:tc>
          <w:tcPr>
            <w:tcW w:type="dxa" w:w="4320"/>
          </w:tcPr>
          <w:p>
            <w:r/>
            <w:r>
              <w:t>90/91 (1 district has no CHIRPS pixel)</w:t>
            </w:r>
          </w:p>
        </w:tc>
      </w:tr>
    </w:tbl>
    <w:p>
      <w:r>
        <w:t>Class imbalance (~15–16% positive) motivates PR-AUC, balanced accuracy and Brier in</w:t>
      </w:r>
    </w:p>
    <w:p>
      <w:r>
        <w:t>addition to ROC-AUC.</w:t>
      </w:r>
    </w:p>
    <w:p>
      <w:r>
        <w:rPr>
          <w:b/>
        </w:rPr>
        <w:t>Figures 4.3.1–4.3.9</w:t>
      </w:r>
      <w:r>
        <w:t xml:space="preserve"> (`figures/fig4.3.*.png`). Each figure is a single plot with a</w:t>
      </w:r>
    </w:p>
    <w:p>
      <w:r>
        <w:t>title, labelled axes and a legend.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3.1_monthly_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4.3.1 </w:t>
      </w:r>
      <w:r>
        <w:rPr>
          <w:i/>
          <w:sz w:val="18"/>
        </w:rPr>
        <w:t>Monthly data coverage (labelable food cells per month).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3.2_class_bal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4.3.2 </w:t>
      </w:r>
      <w:r>
        <w:rPr>
          <w:i/>
          <w:sz w:val="18"/>
        </w:rPr>
        <w:t>Label distribution of the two targets (Y1 return-stress, Y2 peer-relative stress).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3.3_prev_by_categ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4.3.3 </w:t>
      </w:r>
      <w:r>
        <w:rPr>
          <w:i/>
          <w:sz w:val="18"/>
        </w:rPr>
        <w:t>Positive-label prevalence by commodity category.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3.4_median_usd_pr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4.3.4 </w:t>
      </w:r>
      <w:r>
        <w:rPr>
          <w:i/>
          <w:sz w:val="18"/>
        </w:rPr>
        <w:t>Median monthly food price (USD base, log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3.5_median_nominal_pr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4.3.5 </w:t>
      </w:r>
      <w:r>
        <w:rPr>
          <w:i/>
          <w:sz w:val="18"/>
        </w:rPr>
        <w:t>Median nominal food price by currency (log scale); nominal series are not comparable across currency regimes.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3.6_rainfall_anomaly_d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4.3.6 </w:t>
      </w:r>
      <w:r>
        <w:rPr>
          <w:i/>
          <w:sz w:val="18"/>
        </w:rPr>
        <w:t>Distribution of the standardised rainfall anomaly (1981–2015 climatology).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3.7_rainfall_anomaly_se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4.3.7 </w:t>
      </w:r>
      <w:r>
        <w:rPr>
          <w:i/>
          <w:sz w:val="18"/>
        </w:rPr>
        <w:t>Rainfall anomaly time series for example districts.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3.8_returns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4.3.8 </w:t>
      </w:r>
      <w:r>
        <w:rPr>
          <w:i/>
          <w:sz w:val="18"/>
        </w:rPr>
        <w:t>Distribution of standardised monthly log returns (USD base).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3.9_missingn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4.3.9 </w:t>
      </w:r>
      <w:r>
        <w:rPr>
          <w:i/>
          <w:sz w:val="18"/>
        </w:rPr>
        <w:t>Missingness of key derived features (USD panel).</w:t>
      </w:r>
    </w:p>
    <w:p>
      <w:pPr>
        <w:pStyle w:val="Heading2"/>
      </w:pPr>
      <w:r>
        <w:t>4.4 Model Performance and Evaluation</w:t>
      </w:r>
    </w:p>
    <w:p>
      <w:pPr>
        <w:pStyle w:val="IntenseQuote"/>
      </w:pPr>
      <w:r>
        <w:t xml:space="preserve">Per-target tables (C4.2). Metrics are computed on the </w:t>
      </w:r>
      <w:r>
        <w:rPr>
          <w:b/>
        </w:rPr>
        <w:t>identical holdout rows</w:t>
      </w:r>
      <w:r>
        <w:t xml:space="preserve"> for</w:t>
      </w:r>
    </w:p>
    <w:p>
      <w:pPr>
        <w:pStyle w:val="IntenseQuote"/>
      </w:pPr>
      <w:r>
        <w:t>all models of a given task. The confusion matrix uses the **F1-optimal threshold</w:t>
      </w:r>
    </w:p>
    <w:p>
      <w:pPr>
        <w:pStyle w:val="IntenseQuote"/>
      </w:pPr>
      <w:r>
        <w:t>derived from pooled CV validation, applied unchanged to the holdout** — the holdout is</w:t>
      </w:r>
    </w:p>
    <w:p>
      <w:pPr>
        <w:pStyle w:val="IntenseQuote"/>
      </w:pPr>
      <w:r>
        <w:t>never used to choose the threshold (C4.3).</w:t>
      </w:r>
    </w:p>
    <w:p>
      <w:pPr>
        <w:pStyle w:val="Heading3"/>
      </w:pPr>
      <w:r>
        <w:t>4.4.1 Mean CV (expanding-window) vs forward holdout — ROC-AUC / PR-AUC</w:t>
      </w:r>
    </w:p>
    <w:p>
      <w:r>
        <w:rPr>
          <w:b/>
        </w:rPr>
        <w:t>T1 — usdprice, Y1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CV ROC-AUC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CV PR-AUC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Holdout ROC-AUC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Holdout PR-AUC</w:t>
            </w:r>
          </w:p>
        </w:tc>
      </w:tr>
      <w:tr>
        <w:tc>
          <w:tcPr>
            <w:tcW w:type="dxa" w:w="1728"/>
          </w:tcPr>
          <w:p>
            <w:r/>
            <w:r>
              <w:t>majority</w:t>
            </w:r>
          </w:p>
        </w:tc>
        <w:tc>
          <w:tcPr>
            <w:tcW w:type="dxa" w:w="1728"/>
          </w:tcPr>
          <w:p>
            <w:r/>
            <w:r>
              <w:t>0.500</w:t>
            </w:r>
          </w:p>
        </w:tc>
        <w:tc>
          <w:tcPr>
            <w:tcW w:type="dxa" w:w="1728"/>
          </w:tcPr>
          <w:p>
            <w:r/>
            <w:r>
              <w:t>0.146</w:t>
            </w:r>
          </w:p>
        </w:tc>
        <w:tc>
          <w:tcPr>
            <w:tcW w:type="dxa" w:w="1728"/>
          </w:tcPr>
          <w:p>
            <w:r/>
            <w:r>
              <w:t>0.500</w:t>
            </w:r>
          </w:p>
        </w:tc>
        <w:tc>
          <w:tcPr>
            <w:tcW w:type="dxa" w:w="1728"/>
          </w:tcPr>
          <w:p>
            <w:r/>
            <w:r>
              <w:t>0.108</w:t>
            </w:r>
          </w:p>
        </w:tc>
      </w:tr>
      <w:tr>
        <w:tc>
          <w:tcPr>
            <w:tcW w:type="dxa" w:w="1728"/>
          </w:tcPr>
          <w:p>
            <w:r/>
            <w:r>
              <w:t>persistence</w:t>
            </w:r>
          </w:p>
        </w:tc>
        <w:tc>
          <w:tcPr>
            <w:tcW w:type="dxa" w:w="1728"/>
          </w:tcPr>
          <w:p>
            <w:r/>
            <w:r>
              <w:t>0.494</w:t>
            </w:r>
          </w:p>
        </w:tc>
        <w:tc>
          <w:tcPr>
            <w:tcW w:type="dxa" w:w="1728"/>
          </w:tcPr>
          <w:p>
            <w:r/>
            <w:r>
              <w:t>0.148</w:t>
            </w:r>
          </w:p>
        </w:tc>
        <w:tc>
          <w:tcPr>
            <w:tcW w:type="dxa" w:w="1728"/>
          </w:tcPr>
          <w:p>
            <w:r/>
            <w:r>
              <w:t>0.233</w:t>
            </w:r>
          </w:p>
        </w:tc>
        <w:tc>
          <w:tcPr>
            <w:tcW w:type="dxa" w:w="1728"/>
          </w:tcPr>
          <w:p>
            <w:r/>
            <w:r>
              <w:t>0.079</w:t>
            </w:r>
          </w:p>
        </w:tc>
      </w:tr>
      <w:tr>
        <w:tc>
          <w:tcPr>
            <w:tcW w:type="dxa" w:w="1728"/>
          </w:tcPr>
          <w:p>
            <w:r/>
            <w:r>
              <w:t>logistic (elastic-net)</w:t>
            </w:r>
          </w:p>
        </w:tc>
        <w:tc>
          <w:tcPr>
            <w:tcW w:type="dxa" w:w="1728"/>
          </w:tcPr>
          <w:p>
            <w:r/>
            <w:r>
              <w:t>0.544</w:t>
            </w:r>
          </w:p>
        </w:tc>
        <w:tc>
          <w:tcPr>
            <w:tcW w:type="dxa" w:w="1728"/>
          </w:tcPr>
          <w:p>
            <w:r/>
            <w:r>
              <w:t>0.181</w:t>
            </w:r>
          </w:p>
        </w:tc>
        <w:tc>
          <w:tcPr>
            <w:tcW w:type="dxa" w:w="1728"/>
          </w:tcPr>
          <w:p>
            <w:r/>
            <w:r>
              <w:t>0.607</w:t>
            </w:r>
          </w:p>
        </w:tc>
        <w:tc>
          <w:tcPr>
            <w:tcW w:type="dxa" w:w="1728"/>
          </w:tcPr>
          <w:p>
            <w:r/>
            <w:r>
              <w:t>0.162</w:t>
            </w:r>
          </w:p>
        </w:tc>
      </w:tr>
      <w:tr>
        <w:tc>
          <w:tcPr>
            <w:tcW w:type="dxa" w:w="1728"/>
          </w:tcPr>
          <w:p>
            <w:r/>
            <w:r>
              <w:t>hist GBM</w:t>
            </w:r>
          </w:p>
        </w:tc>
        <w:tc>
          <w:tcPr>
            <w:tcW w:type="dxa" w:w="1728"/>
          </w:tcPr>
          <w:p>
            <w:r/>
            <w:r>
              <w:t>0.625</w:t>
            </w:r>
          </w:p>
        </w:tc>
        <w:tc>
          <w:tcPr>
            <w:tcW w:type="dxa" w:w="1728"/>
          </w:tcPr>
          <w:p>
            <w:r/>
            <w:r>
              <w:t>0.208</w:t>
            </w:r>
          </w:p>
        </w:tc>
        <w:tc>
          <w:tcPr>
            <w:tcW w:type="dxa" w:w="1728"/>
          </w:tcPr>
          <w:p>
            <w:r/>
            <w:r>
              <w:t>0.539</w:t>
            </w:r>
          </w:p>
        </w:tc>
        <w:tc>
          <w:tcPr>
            <w:tcW w:type="dxa" w:w="1728"/>
          </w:tcPr>
          <w:p>
            <w:r/>
            <w:r>
              <w:t>0.354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XGBoost</w:t>
            </w:r>
          </w:p>
        </w:tc>
        <w:tc>
          <w:tcPr>
            <w:tcW w:type="dxa" w:w="1728"/>
          </w:tcPr>
          <w:p>
            <w:r/>
            <w:r>
              <w:t>0.612</w:t>
            </w:r>
          </w:p>
        </w:tc>
        <w:tc>
          <w:tcPr>
            <w:tcW w:type="dxa" w:w="1728"/>
          </w:tcPr>
          <w:p>
            <w:r/>
            <w:r>
              <w:t>0.199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0.641</w:t>
            </w:r>
          </w:p>
        </w:tc>
        <w:tc>
          <w:tcPr>
            <w:tcW w:type="dxa" w:w="1728"/>
          </w:tcPr>
          <w:p>
            <w:r/>
            <w:r>
              <w:t>0.295</w:t>
            </w:r>
          </w:p>
        </w:tc>
      </w:tr>
    </w:tbl>
    <w:p>
      <w:r>
        <w:rPr>
          <w:b/>
        </w:rPr>
        <w:t>T2 — usdprice, Y2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CV ROC-AUC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CV PR-AUC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Holdout ROC-AUC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Holdout PR-AUC</w:t>
            </w:r>
          </w:p>
        </w:tc>
      </w:tr>
      <w:tr>
        <w:tc>
          <w:tcPr>
            <w:tcW w:type="dxa" w:w="1728"/>
          </w:tcPr>
          <w:p>
            <w:r/>
            <w:r>
              <w:t>majority</w:t>
            </w:r>
          </w:p>
        </w:tc>
        <w:tc>
          <w:tcPr>
            <w:tcW w:type="dxa" w:w="1728"/>
          </w:tcPr>
          <w:p>
            <w:r/>
            <w:r>
              <w:t>0.500</w:t>
            </w:r>
          </w:p>
        </w:tc>
        <w:tc>
          <w:tcPr>
            <w:tcW w:type="dxa" w:w="1728"/>
          </w:tcPr>
          <w:p>
            <w:r/>
            <w:r>
              <w:t>0.165</w:t>
            </w:r>
          </w:p>
        </w:tc>
        <w:tc>
          <w:tcPr>
            <w:tcW w:type="dxa" w:w="1728"/>
          </w:tcPr>
          <w:p>
            <w:r/>
            <w:r>
              <w:t>0.500</w:t>
            </w:r>
          </w:p>
        </w:tc>
        <w:tc>
          <w:tcPr>
            <w:tcW w:type="dxa" w:w="1728"/>
          </w:tcPr>
          <w:p>
            <w:r/>
            <w:r>
              <w:t>0.147</w:t>
            </w:r>
          </w:p>
        </w:tc>
      </w:tr>
      <w:tr>
        <w:tc>
          <w:tcPr>
            <w:tcW w:type="dxa" w:w="1728"/>
          </w:tcPr>
          <w:p>
            <w:r/>
            <w:r>
              <w:t>persistence</w:t>
            </w:r>
          </w:p>
        </w:tc>
        <w:tc>
          <w:tcPr>
            <w:tcW w:type="dxa" w:w="1728"/>
          </w:tcPr>
          <w:p>
            <w:r/>
            <w:r>
              <w:t>0.569</w:t>
            </w:r>
          </w:p>
        </w:tc>
        <w:tc>
          <w:tcPr>
            <w:tcW w:type="dxa" w:w="1728"/>
          </w:tcPr>
          <w:p>
            <w:r/>
            <w:r>
              <w:t>0.253</w:t>
            </w:r>
          </w:p>
        </w:tc>
        <w:tc>
          <w:tcPr>
            <w:tcW w:type="dxa" w:w="1728"/>
          </w:tcPr>
          <w:p>
            <w:r/>
            <w:r>
              <w:t>0.711</w:t>
            </w:r>
          </w:p>
        </w:tc>
        <w:tc>
          <w:tcPr>
            <w:tcW w:type="dxa" w:w="1728"/>
          </w:tcPr>
          <w:p>
            <w:r/>
            <w:r>
              <w:t>0.476</w:t>
            </w:r>
          </w:p>
        </w:tc>
      </w:tr>
      <w:tr>
        <w:tc>
          <w:tcPr>
            <w:tcW w:type="dxa" w:w="1728"/>
          </w:tcPr>
          <w:p>
            <w:r/>
            <w:r>
              <w:t>logistic (elastic-net)</w:t>
            </w:r>
          </w:p>
        </w:tc>
        <w:tc>
          <w:tcPr>
            <w:tcW w:type="dxa" w:w="1728"/>
          </w:tcPr>
          <w:p>
            <w:r/>
            <w:r>
              <w:t>0.777</w:t>
            </w:r>
          </w:p>
        </w:tc>
        <w:tc>
          <w:tcPr>
            <w:tcW w:type="dxa" w:w="1728"/>
          </w:tcPr>
          <w:p>
            <w:r/>
            <w:r>
              <w:t>0.485</w:t>
            </w:r>
          </w:p>
        </w:tc>
        <w:tc>
          <w:tcPr>
            <w:tcW w:type="dxa" w:w="1728"/>
          </w:tcPr>
          <w:p>
            <w:r/>
            <w:r>
              <w:t>0.809</w:t>
            </w:r>
          </w:p>
        </w:tc>
        <w:tc>
          <w:tcPr>
            <w:tcW w:type="dxa" w:w="1728"/>
          </w:tcPr>
          <w:p>
            <w:r/>
            <w:r>
              <w:t>0.524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hist GBM</w:t>
            </w:r>
          </w:p>
        </w:tc>
        <w:tc>
          <w:tcPr>
            <w:tcW w:type="dxa" w:w="1728"/>
          </w:tcPr>
          <w:p>
            <w:r/>
            <w:r>
              <w:t>0.816</w:t>
            </w:r>
          </w:p>
        </w:tc>
        <w:tc>
          <w:tcPr>
            <w:tcW w:type="dxa" w:w="1728"/>
          </w:tcPr>
          <w:p>
            <w:r/>
            <w:r>
              <w:t>0.525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0.886</w:t>
            </w:r>
          </w:p>
        </w:tc>
        <w:tc>
          <w:tcPr>
            <w:tcW w:type="dxa" w:w="1728"/>
          </w:tcPr>
          <w:p>
            <w:r/>
            <w:r>
              <w:t>0.597</w:t>
            </w:r>
          </w:p>
        </w:tc>
      </w:tr>
      <w:tr>
        <w:tc>
          <w:tcPr>
            <w:tcW w:type="dxa" w:w="1728"/>
          </w:tcPr>
          <w:p>
            <w:r/>
            <w:r>
              <w:t>XGBoost</w:t>
            </w:r>
          </w:p>
        </w:tc>
        <w:tc>
          <w:tcPr>
            <w:tcW w:type="dxa" w:w="1728"/>
          </w:tcPr>
          <w:p>
            <w:r/>
            <w:r>
              <w:t>0.809</w:t>
            </w:r>
          </w:p>
        </w:tc>
        <w:tc>
          <w:tcPr>
            <w:tcW w:type="dxa" w:w="1728"/>
          </w:tcPr>
          <w:p>
            <w:r/>
            <w:r>
              <w:t>0.506</w:t>
            </w:r>
          </w:p>
        </w:tc>
        <w:tc>
          <w:tcPr>
            <w:tcW w:type="dxa" w:w="1728"/>
          </w:tcPr>
          <w:p>
            <w:r/>
            <w:r>
              <w:t>0.842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0.624</w:t>
            </w:r>
          </w:p>
        </w:tc>
      </w:tr>
    </w:tbl>
    <w:p>
      <w:r>
        <w:t>Nominal-base tasks (T3/T4) are in `artifacts/metrics_all_tasks.csv` (T3 holdout XGB</w:t>
      </w:r>
    </w:p>
    <w:p>
      <w:r>
        <w:t>ROC-AUC 0.671; T4 holdout XGB 0.899 and hist GBM 0.897 — effectively tied). **Key honest</w:t>
      </w:r>
    </w:p>
    <w:p>
      <w:r>
        <w:t>result:** the peer-relative target (Y2) is much more predictable than the return target</w:t>
      </w:r>
    </w:p>
    <w:p>
      <w:r>
        <w:t xml:space="preserve">(Y1), and </w:t>
      </w:r>
      <w:r>
        <w:rPr>
          <w:b/>
        </w:rPr>
        <w:t>XGBoost does not dominate</w:t>
      </w:r>
      <w:r>
        <w:t>: hist GBM wins the USD (T2) holdout 0.886 vs</w:t>
      </w:r>
    </w:p>
    <w:p>
      <w:r>
        <w:t>0.842, while on the nominal (T4) holdout the two are statistically indistinguishable.</w:t>
      </w:r>
    </w:p>
    <w:p>
      <w:r>
        <w:t>The extra tuning effort on hist GBM (Optuna, §3.7) therefore does not manufacture an</w:t>
      </w:r>
    </w:p>
    <w:p>
      <w:r>
        <w:t>XGBoost win — nor a hist-GBM one.</w:t>
      </w:r>
    </w:p>
    <w:p>
      <w:r>
        <w:rPr>
          <w:b/>
        </w:rPr>
        <w:t>Figures 4.4.1.1–4.4.1.12:</w:t>
      </w:r>
      <w:r>
        <w:t xml:space="preserve"> CV-versus-holdout ROC-AUC by model for T1–T4</w:t>
      </w:r>
    </w:p>
    <w:p>
      <w:r>
        <w:t>(4.4.1.1–4.4.1.4), ROC curves (4.4.1.5–4.4.1.8) and precision-recall curves</w:t>
      </w:r>
    </w:p>
    <w:p>
      <w:r>
        <w:t>(4.4.1.9–4.4.1.12). Each task has its own single-plot 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1.1_cv_vs_holdout_T1_usd_y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4.4.1.1 </w:t>
      </w:r>
      <w:r>
        <w:rPr>
          <w:i/>
          <w:sz w:val="18"/>
        </w:rPr>
        <w:t>ROC-AUC by model: expanding-window CV (pooled) versus forward holdout — T1 (USD, Y1).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1.2_cv_vs_holdout_T2_usd_y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4.4.1.2 </w:t>
      </w:r>
      <w:r>
        <w:rPr>
          <w:i/>
          <w:sz w:val="18"/>
        </w:rPr>
        <w:t>ROC-AUC by model: CV versus forward holdout — T2 (USD, Y2).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1.3_cv_vs_holdout_T3_nominal_y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4.4.1.3 </w:t>
      </w:r>
      <w:r>
        <w:rPr>
          <w:i/>
          <w:sz w:val="18"/>
        </w:rPr>
        <w:t>ROC-AUC by model: CV versus forward holdout — T3 (nominal, Y1).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1.4_cv_vs_holdout_T4_nominal_y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4.4.1.4 </w:t>
      </w:r>
      <w:r>
        <w:rPr>
          <w:i/>
          <w:sz w:val="18"/>
        </w:rPr>
        <w:t>ROC-AUC by model: CV versus forward holdout — T4 (nominal, Y2).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0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1.5_roc_T1_usd_y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4.4.1.5 </w:t>
      </w:r>
      <w:r>
        <w:rPr>
          <w:i/>
          <w:sz w:val="18"/>
        </w:rPr>
        <w:t>ROC curve — T1 (USD, Y1), forward holdout.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03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1.6_roc_T2_usd_y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4.4.1.6 </w:t>
      </w:r>
      <w:r>
        <w:rPr>
          <w:i/>
          <w:sz w:val="18"/>
        </w:rPr>
        <w:t>ROC curve — T2 (USD, Y2), forward holdout.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03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1.7_roc_T3_nominal_y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4.4.1.7 </w:t>
      </w:r>
      <w:r>
        <w:rPr>
          <w:i/>
          <w:sz w:val="18"/>
        </w:rPr>
        <w:t>ROC curve — T3 (nominal, Y1), forward holdout.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03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1.8_roc_T4_nominal_y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4.4.1.8 </w:t>
      </w:r>
      <w:r>
        <w:rPr>
          <w:i/>
          <w:sz w:val="18"/>
        </w:rPr>
        <w:t>ROC curve — T4 (nominal, Y2), forward holdout.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03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1.9_pr_T1_usd_y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4.4.1.9 </w:t>
      </w:r>
      <w:r>
        <w:rPr>
          <w:i/>
          <w:sz w:val="18"/>
        </w:rPr>
        <w:t>Precision-recall curve — T1 (USD, Y1), forward holdout.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03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1.10_pr_T2_usd_y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4.4.1.10 </w:t>
      </w:r>
      <w:r>
        <w:rPr>
          <w:i/>
          <w:sz w:val="18"/>
        </w:rPr>
        <w:t>Precision-recall curve — T2 (USD, Y2), forward holdout.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03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1.11_pr_T3_nominal_y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4.4.1.11 </w:t>
      </w:r>
      <w:r>
        <w:rPr>
          <w:i/>
          <w:sz w:val="18"/>
        </w:rPr>
        <w:t>Precision-recall curve — T3 (nominal, Y1), forward holdout.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03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1.12_pr_T4_nominal_y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4.4.1.12 </w:t>
      </w:r>
      <w:r>
        <w:rPr>
          <w:i/>
          <w:sz w:val="18"/>
        </w:rPr>
        <w:t>Precision-recall curve — T4 (nominal, Y2), forward holdout.</w:t>
      </w:r>
    </w:p>
    <w:p>
      <w:pPr>
        <w:pStyle w:val="Heading3"/>
      </w:pPr>
      <w:r>
        <w:t>4.4.2 Uncertainty (95% bootstrap CIs) — `phase6b_bootstrap_ci.csv`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 (pos)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ROC-AUC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95% CI rows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95% CI market-clustered</w:t>
            </w:r>
          </w:p>
        </w:tc>
      </w:tr>
      <w:tr>
        <w:tc>
          <w:tcPr>
            <w:tcW w:type="dxa" w:w="1440"/>
          </w:tcPr>
          <w:p>
            <w:r/>
            <w:r>
              <w:t>T1 Y1</w:t>
            </w:r>
          </w:p>
        </w:tc>
        <w:tc>
          <w:tcPr>
            <w:tcW w:type="dxa" w:w="1440"/>
          </w:tcPr>
          <w:p>
            <w:r/>
            <w:r>
              <w:t>XGBoost</w:t>
            </w:r>
          </w:p>
        </w:tc>
        <w:tc>
          <w:tcPr>
            <w:tcW w:type="dxa" w:w="1440"/>
          </w:tcPr>
          <w:p>
            <w:r/>
            <w:r>
              <w:t>83 (9)</w:t>
            </w:r>
          </w:p>
        </w:tc>
        <w:tc>
          <w:tcPr>
            <w:tcW w:type="dxa" w:w="1440"/>
          </w:tcPr>
          <w:p>
            <w:r/>
            <w:r>
              <w:t>0.589</w:t>
            </w:r>
          </w:p>
        </w:tc>
        <w:tc>
          <w:tcPr>
            <w:tcW w:type="dxa" w:w="1440"/>
          </w:tcPr>
          <w:p>
            <w:r/>
            <w:r>
              <w:t>0.346–0.808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0.456–0.614</w:t>
            </w:r>
          </w:p>
        </w:tc>
      </w:tr>
      <w:tr>
        <w:tc>
          <w:tcPr>
            <w:tcW w:type="dxa" w:w="1440"/>
          </w:tcPr>
          <w:p>
            <w:r/>
            <w:r>
              <w:t>T2 Y2</w:t>
            </w:r>
          </w:p>
        </w:tc>
        <w:tc>
          <w:tcPr>
            <w:tcW w:type="dxa" w:w="1440"/>
          </w:tcPr>
          <w:p>
            <w:r/>
            <w:r>
              <w:t>hist GBM</w:t>
            </w:r>
          </w:p>
        </w:tc>
        <w:tc>
          <w:tcPr>
            <w:tcW w:type="dxa" w:w="1440"/>
          </w:tcPr>
          <w:p>
            <w:r/>
            <w:r>
              <w:t>245 (36)</w:t>
            </w:r>
          </w:p>
        </w:tc>
        <w:tc>
          <w:tcPr>
            <w:tcW w:type="dxa" w:w="1440"/>
          </w:tcPr>
          <w:p>
            <w:r/>
            <w:r>
              <w:t>0.873</w:t>
            </w:r>
          </w:p>
        </w:tc>
        <w:tc>
          <w:tcPr>
            <w:tcW w:type="dxa" w:w="1440"/>
          </w:tcPr>
          <w:p>
            <w:r/>
            <w:r>
              <w:t>0.796–0.935</w:t>
            </w:r>
          </w:p>
        </w:tc>
        <w:tc>
          <w:tcPr>
            <w:tcW w:type="dxa" w:w="1440"/>
          </w:tcPr>
          <w:p>
            <w:r/>
            <w:r>
              <w:t>0.764–0.931</w:t>
            </w:r>
          </w:p>
        </w:tc>
      </w:tr>
      <w:tr>
        <w:tc>
          <w:tcPr>
            <w:tcW w:type="dxa" w:w="1440"/>
          </w:tcPr>
          <w:p>
            <w:r/>
            <w:r>
              <w:t>T3 Y1</w:t>
            </w:r>
          </w:p>
        </w:tc>
        <w:tc>
          <w:tcPr>
            <w:tcW w:type="dxa" w:w="1440"/>
          </w:tcPr>
          <w:p>
            <w:r/>
            <w:r>
              <w:t>XGBoost</w:t>
            </w:r>
          </w:p>
        </w:tc>
        <w:tc>
          <w:tcPr>
            <w:tcW w:type="dxa" w:w="1440"/>
          </w:tcPr>
          <w:p>
            <w:r/>
            <w:r>
              <w:t>83 (9)</w:t>
            </w:r>
          </w:p>
        </w:tc>
        <w:tc>
          <w:tcPr>
            <w:tcW w:type="dxa" w:w="1440"/>
          </w:tcPr>
          <w:p>
            <w:r/>
            <w:r>
              <w:t>0.632</w:t>
            </w:r>
          </w:p>
        </w:tc>
        <w:tc>
          <w:tcPr>
            <w:tcW w:type="dxa" w:w="1440"/>
          </w:tcPr>
          <w:p>
            <w:r/>
            <w:r>
              <w:t>0.414–0.825</w:t>
            </w:r>
          </w:p>
        </w:tc>
        <w:tc>
          <w:tcPr>
            <w:tcW w:type="dxa" w:w="1440"/>
          </w:tcPr>
          <w:p>
            <w:r/>
            <w:r>
              <w:t>0.544–0.644</w:t>
            </w:r>
          </w:p>
        </w:tc>
      </w:tr>
      <w:tr>
        <w:tc>
          <w:tcPr>
            <w:tcW w:type="dxa" w:w="1440"/>
          </w:tcPr>
          <w:p>
            <w:r/>
            <w:r>
              <w:t>T4 Y2</w:t>
            </w:r>
          </w:p>
        </w:tc>
        <w:tc>
          <w:tcPr>
            <w:tcW w:type="dxa" w:w="1440"/>
          </w:tcPr>
          <w:p>
            <w:r/>
            <w:r>
              <w:t>XGBoost</w:t>
            </w:r>
          </w:p>
        </w:tc>
        <w:tc>
          <w:tcPr>
            <w:tcW w:type="dxa" w:w="1440"/>
          </w:tcPr>
          <w:p>
            <w:r/>
            <w:r>
              <w:t>245 (26)</w:t>
            </w:r>
          </w:p>
        </w:tc>
        <w:tc>
          <w:tcPr>
            <w:tcW w:type="dxa" w:w="1440"/>
          </w:tcPr>
          <w:p>
            <w:r/>
            <w:r>
              <w:t>0.898</w:t>
            </w:r>
          </w:p>
        </w:tc>
        <w:tc>
          <w:tcPr>
            <w:tcW w:type="dxa" w:w="1440"/>
          </w:tcPr>
          <w:p>
            <w:r/>
            <w:r>
              <w:t>0.831–0.952</w:t>
            </w:r>
          </w:p>
        </w:tc>
        <w:tc>
          <w:tcPr>
            <w:tcW w:type="dxa" w:w="1440"/>
          </w:tcPr>
          <w:p>
            <w:r/>
            <w:r>
              <w:t>0.864–0.960</w:t>
            </w:r>
          </w:p>
        </w:tc>
      </w:tr>
    </w:tbl>
    <w:p>
      <w:r>
        <w:t xml:space="preserve">The Y1 interval (market-clustered) </w:t>
      </w:r>
      <w:r>
        <w:rPr>
          <w:b/>
        </w:rPr>
        <w:t>includes values near chance</w:t>
      </w:r>
      <w:r>
        <w:t>; the Y1 holdout is</w:t>
      </w:r>
    </w:p>
    <w:p>
      <w:r>
        <w:t>underpowered (9 positives). Y2 remains above chance but model/period-specific.</w:t>
      </w:r>
    </w:p>
    <w:p>
      <w:r>
        <w:rPr>
          <w:b/>
        </w:rPr>
        <w:t>Figure 4.4.2.1</w:t>
      </w:r>
      <w:r>
        <w:t xml:space="preserve"> (`figures/fig4.4.2.1_bootstrap_ci.png`): holdout AUC with 95%</w:t>
      </w:r>
    </w:p>
    <w:p>
      <w:r>
        <w:t>market-clustered bootstrap CIs.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2.1_bootstrap_ci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4.4.2.1 </w:t>
      </w:r>
      <w:r>
        <w:rPr>
          <w:i/>
          <w:sz w:val="18"/>
        </w:rPr>
        <w:t>Holdout ROC-AUC with 95% market-clustered bootstrap CIs; T1 is near chance.</w:t>
      </w:r>
    </w:p>
    <w:p>
      <w:pPr>
        <w:pStyle w:val="Heading3"/>
      </w:pPr>
      <w:r>
        <w:t>4.4.3 Confusion matrices and threshold-derived measures</w:t>
      </w:r>
    </w:p>
    <w:p>
      <w:r>
        <w:rPr>
          <w:b/>
        </w:rPr>
        <w:t>T2 — usdprice, Y2, forward holdout (n=245, 36 positives):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thr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TN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FP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FN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TP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Precision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Recall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Specificity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F1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Bal.acc</w:t>
            </w:r>
          </w:p>
        </w:tc>
      </w:tr>
      <w:tr>
        <w:tc>
          <w:tcPr>
            <w:tcW w:type="dxa" w:w="785"/>
          </w:tcPr>
          <w:p>
            <w:r/>
            <w:r>
              <w:t>logistic</w:t>
            </w:r>
          </w:p>
        </w:tc>
        <w:tc>
          <w:tcPr>
            <w:tcW w:type="dxa" w:w="785"/>
          </w:tcPr>
          <w:p>
            <w:r/>
            <w:r>
              <w:t>0.52</w:t>
            </w:r>
          </w:p>
        </w:tc>
        <w:tc>
          <w:tcPr>
            <w:tcW w:type="dxa" w:w="785"/>
          </w:tcPr>
          <w:p>
            <w:r/>
            <w:r>
              <w:t>194</w:t>
            </w:r>
          </w:p>
        </w:tc>
        <w:tc>
          <w:tcPr>
            <w:tcW w:type="dxa" w:w="785"/>
          </w:tcPr>
          <w:p>
            <w:r/>
            <w:r>
              <w:t>15</w:t>
            </w:r>
          </w:p>
        </w:tc>
        <w:tc>
          <w:tcPr>
            <w:tcW w:type="dxa" w:w="785"/>
          </w:tcPr>
          <w:p>
            <w:r/>
            <w:r>
              <w:t>16</w:t>
            </w:r>
          </w:p>
        </w:tc>
        <w:tc>
          <w:tcPr>
            <w:tcW w:type="dxa" w:w="785"/>
          </w:tcPr>
          <w:p>
            <w:r/>
            <w:r>
              <w:t>20</w:t>
            </w:r>
          </w:p>
        </w:tc>
        <w:tc>
          <w:tcPr>
            <w:tcW w:type="dxa" w:w="785"/>
          </w:tcPr>
          <w:p>
            <w:r/>
            <w:r>
              <w:t>0.571</w:t>
            </w:r>
          </w:p>
        </w:tc>
        <w:tc>
          <w:tcPr>
            <w:tcW w:type="dxa" w:w="785"/>
          </w:tcPr>
          <w:p>
            <w:r/>
            <w:r>
              <w:t>0.556</w:t>
            </w:r>
          </w:p>
        </w:tc>
        <w:tc>
          <w:tcPr>
            <w:tcW w:type="dxa" w:w="785"/>
          </w:tcPr>
          <w:p>
            <w:r/>
            <w:r>
              <w:t>0.928</w:t>
            </w:r>
          </w:p>
        </w:tc>
        <w:tc>
          <w:tcPr>
            <w:tcW w:type="dxa" w:w="785"/>
          </w:tcPr>
          <w:p>
            <w:r/>
            <w:r>
              <w:t>0.563</w:t>
            </w:r>
          </w:p>
        </w:tc>
        <w:tc>
          <w:tcPr>
            <w:tcW w:type="dxa" w:w="785"/>
          </w:tcPr>
          <w:p>
            <w:r/>
            <w:r>
              <w:t>0.742</w:t>
            </w:r>
          </w:p>
        </w:tc>
      </w:tr>
      <w:tr>
        <w:tc>
          <w:tcPr>
            <w:tcW w:type="dxa" w:w="785"/>
          </w:tcPr>
          <w:p>
            <w:r/>
            <w:r>
              <w:t>hist GBM</w:t>
            </w:r>
          </w:p>
        </w:tc>
        <w:tc>
          <w:tcPr>
            <w:tcW w:type="dxa" w:w="785"/>
          </w:tcPr>
          <w:p>
            <w:r/>
            <w:r>
              <w:t>0.25</w:t>
            </w:r>
          </w:p>
        </w:tc>
        <w:tc>
          <w:tcPr>
            <w:tcW w:type="dxa" w:w="785"/>
          </w:tcPr>
          <w:p>
            <w:r/>
            <w:r>
              <w:t>197</w:t>
            </w:r>
          </w:p>
        </w:tc>
        <w:tc>
          <w:tcPr>
            <w:tcW w:type="dxa" w:w="785"/>
          </w:tcPr>
          <w:p>
            <w:r/>
            <w:r>
              <w:t>12</w:t>
            </w:r>
          </w:p>
        </w:tc>
        <w:tc>
          <w:tcPr>
            <w:tcW w:type="dxa" w:w="785"/>
          </w:tcPr>
          <w:p>
            <w:r/>
            <w:r>
              <w:t>15</w:t>
            </w:r>
          </w:p>
        </w:tc>
        <w:tc>
          <w:tcPr>
            <w:tcW w:type="dxa" w:w="785"/>
          </w:tcPr>
          <w:p>
            <w:r/>
            <w:r>
              <w:t>21</w:t>
            </w:r>
          </w:p>
        </w:tc>
        <w:tc>
          <w:tcPr>
            <w:tcW w:type="dxa" w:w="785"/>
          </w:tcPr>
          <w:p>
            <w:r/>
            <w:r>
              <w:t>0.636</w:t>
            </w:r>
          </w:p>
        </w:tc>
        <w:tc>
          <w:tcPr>
            <w:tcW w:type="dxa" w:w="785"/>
          </w:tcPr>
          <w:p>
            <w:r/>
            <w:r>
              <w:t>0.583</w:t>
            </w:r>
          </w:p>
        </w:tc>
        <w:tc>
          <w:tcPr>
            <w:tcW w:type="dxa" w:w="785"/>
          </w:tcPr>
          <w:p>
            <w:r/>
            <w:r>
              <w:t>0.943</w:t>
            </w:r>
          </w:p>
        </w:tc>
        <w:tc>
          <w:tcPr>
            <w:tcW w:type="dxa" w:w="785"/>
          </w:tcPr>
          <w:p>
            <w:r/>
            <w:r>
              <w:t>0.609</w:t>
            </w:r>
          </w:p>
        </w:tc>
        <w:tc>
          <w:tcPr>
            <w:tcW w:type="dxa" w:w="785"/>
          </w:tcPr>
          <w:p>
            <w:r/>
            <w:r>
              <w:t>0.763</w:t>
            </w:r>
          </w:p>
        </w:tc>
      </w:tr>
      <w:tr>
        <w:tc>
          <w:tcPr>
            <w:tcW w:type="dxa" w:w="785"/>
          </w:tcPr>
          <w:p>
            <w:r/>
            <w:r>
              <w:t>XGBoost</w:t>
            </w:r>
          </w:p>
        </w:tc>
        <w:tc>
          <w:tcPr>
            <w:tcW w:type="dxa" w:w="785"/>
          </w:tcPr>
          <w:p>
            <w:r/>
            <w:r>
              <w:t>0.25</w:t>
            </w:r>
          </w:p>
        </w:tc>
        <w:tc>
          <w:tcPr>
            <w:tcW w:type="dxa" w:w="785"/>
          </w:tcPr>
          <w:p>
            <w:r/>
            <w:r>
              <w:t>136</w:t>
            </w:r>
          </w:p>
        </w:tc>
        <w:tc>
          <w:tcPr>
            <w:tcW w:type="dxa" w:w="785"/>
          </w:tcPr>
          <w:p>
            <w:r/>
            <w:r>
              <w:t>73</w:t>
            </w:r>
          </w:p>
        </w:tc>
        <w:tc>
          <w:tcPr>
            <w:tcW w:type="dxa" w:w="785"/>
          </w:tcPr>
          <w:p>
            <w:r/>
            <w:r>
              <w:t>4</w:t>
            </w:r>
          </w:p>
        </w:tc>
        <w:tc>
          <w:tcPr>
            <w:tcW w:type="dxa" w:w="785"/>
          </w:tcPr>
          <w:p>
            <w:r/>
            <w:r>
              <w:t>32</w:t>
            </w:r>
          </w:p>
        </w:tc>
        <w:tc>
          <w:tcPr>
            <w:tcW w:type="dxa" w:w="785"/>
          </w:tcPr>
          <w:p>
            <w:r/>
            <w:r>
              <w:t>0.305</w:t>
            </w:r>
          </w:p>
        </w:tc>
        <w:tc>
          <w:tcPr>
            <w:tcW w:type="dxa" w:w="785"/>
          </w:tcPr>
          <w:p>
            <w:r/>
            <w:r>
              <w:t>0.889</w:t>
            </w:r>
          </w:p>
        </w:tc>
        <w:tc>
          <w:tcPr>
            <w:tcW w:type="dxa" w:w="785"/>
          </w:tcPr>
          <w:p>
            <w:r/>
            <w:r>
              <w:t>0.651</w:t>
            </w:r>
          </w:p>
        </w:tc>
        <w:tc>
          <w:tcPr>
            <w:tcW w:type="dxa" w:w="785"/>
          </w:tcPr>
          <w:p>
            <w:r/>
            <w:r>
              <w:t>0.454</w:t>
            </w:r>
          </w:p>
        </w:tc>
        <w:tc>
          <w:tcPr>
            <w:tcW w:type="dxa" w:w="785"/>
          </w:tcPr>
          <w:p>
            <w:r/>
            <w:r>
              <w:t>0.770</w:t>
            </w:r>
          </w:p>
        </w:tc>
      </w:tr>
      <w:tr>
        <w:tc>
          <w:tcPr>
            <w:tcW w:type="dxa" w:w="785"/>
          </w:tcPr>
          <w:p>
            <w:r/>
            <w:r>
              <w:t>persistence</w:t>
            </w:r>
          </w:p>
        </w:tc>
        <w:tc>
          <w:tcPr>
            <w:tcW w:type="dxa" w:w="785"/>
          </w:tcPr>
          <w:p>
            <w:r/>
            <w:r>
              <w:t>0.19</w:t>
            </w:r>
          </w:p>
        </w:tc>
        <w:tc>
          <w:tcPr>
            <w:tcW w:type="dxa" w:w="785"/>
          </w:tcPr>
          <w:p>
            <w:r/>
            <w:r>
              <w:t>48</w:t>
            </w:r>
          </w:p>
        </w:tc>
        <w:tc>
          <w:tcPr>
            <w:tcW w:type="dxa" w:w="785"/>
          </w:tcPr>
          <w:p>
            <w:r/>
            <w:r>
              <w:t>161</w:t>
            </w:r>
          </w:p>
        </w:tc>
        <w:tc>
          <w:tcPr>
            <w:tcW w:type="dxa" w:w="785"/>
          </w:tcPr>
          <w:p>
            <w:r/>
            <w:r>
              <w:t>10</w:t>
            </w:r>
          </w:p>
        </w:tc>
        <w:tc>
          <w:tcPr>
            <w:tcW w:type="dxa" w:w="785"/>
          </w:tcPr>
          <w:p>
            <w:r/>
            <w:r>
              <w:t>26</w:t>
            </w:r>
          </w:p>
        </w:tc>
        <w:tc>
          <w:tcPr>
            <w:tcW w:type="dxa" w:w="785"/>
          </w:tcPr>
          <w:p>
            <w:r/>
            <w:r>
              <w:t>0.139</w:t>
            </w:r>
          </w:p>
        </w:tc>
        <w:tc>
          <w:tcPr>
            <w:tcW w:type="dxa" w:w="785"/>
          </w:tcPr>
          <w:p>
            <w:r/>
            <w:r>
              <w:t>0.722</w:t>
            </w:r>
          </w:p>
        </w:tc>
        <w:tc>
          <w:tcPr>
            <w:tcW w:type="dxa" w:w="785"/>
          </w:tcPr>
          <w:p>
            <w:r/>
            <w:r>
              <w:t>0.230</w:t>
            </w:r>
          </w:p>
        </w:tc>
        <w:tc>
          <w:tcPr>
            <w:tcW w:type="dxa" w:w="785"/>
          </w:tcPr>
          <w:p>
            <w:r/>
            <w:r>
              <w:t>0.233</w:t>
            </w:r>
          </w:p>
        </w:tc>
        <w:tc>
          <w:tcPr>
            <w:tcW w:type="dxa" w:w="785"/>
          </w:tcPr>
          <w:p>
            <w:r/>
            <w:r>
              <w:t>0.476</w:t>
            </w:r>
          </w:p>
        </w:tc>
      </w:tr>
    </w:tbl>
    <w:p>
      <w:r>
        <w:rPr>
          <w:b/>
        </w:rPr>
        <w:t>T1 — usdprice, Y1, forward holdout (n=83, 9 positives):</w:t>
      </w:r>
      <w:r>
        <w:t xml:space="preserve"> XGBoost (thr 0.06) TN 3 / FP</w:t>
      </w:r>
    </w:p>
    <w:p>
      <w:r>
        <w:t>71 / FN 1 / TP 8; logistic (thr 0.43) TN 33 / FP 41 / FN 2 / TP 7. These show that a</w:t>
      </w:r>
    </w:p>
    <w:p>
      <w:r>
        <w:t xml:space="preserve">CV-derived threshold </w:t>
      </w:r>
      <w:r>
        <w:rPr>
          <w:b/>
        </w:rPr>
        <w:t>does not transfer</w:t>
      </w:r>
      <w:r>
        <w:t xml:space="preserve"> to the holdout for Y1 — further evidence the</w:t>
      </w:r>
    </w:p>
    <w:p>
      <w:r>
        <w:t>Y1 model is not reliable. (Note: the dissertation's "XGBoost identified 306 / missed 382"</w:t>
      </w:r>
    </w:p>
    <w:p>
      <w:r>
        <w:t>counts do not correspond to any artefact.)</w:t>
      </w:r>
    </w:p>
    <w:p>
      <w:r>
        <w:rPr>
          <w:b/>
        </w:rPr>
        <w:t>Figures 4.4.3.1–4.4.3.4</w:t>
      </w:r>
      <w:r>
        <w:t xml:space="preserve"> (`figures/fig4.4.3.*.png`): one confusion matrix per task for</w:t>
      </w:r>
    </w:p>
    <w:p>
      <w:r>
        <w:t>the best model on the forward holdout, at the CV-derived threshold.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643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3.1_confusion_T1_usd_y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4.4.3.1 </w:t>
      </w:r>
      <w:r>
        <w:rPr>
          <w:i/>
          <w:sz w:val="18"/>
        </w:rPr>
        <w:t>Confusion matrix — T1 (USD, Y1), best model, forward holdout.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643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3.2_confusion_T2_usd_y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4.4.3.2 </w:t>
      </w:r>
      <w:r>
        <w:rPr>
          <w:i/>
          <w:sz w:val="18"/>
        </w:rPr>
        <w:t>Confusion matrix — T2 (USD, Y2), best model, forward holdout.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643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3.3_confusion_T3_nominal_y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4.4.3.3 </w:t>
      </w:r>
      <w:r>
        <w:rPr>
          <w:i/>
          <w:sz w:val="18"/>
        </w:rPr>
        <w:t>Confusion matrix — T3 (nominal, Y1), best model, forward holdout.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643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3.4_confusion_T4_nominal_y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4.4.3.4 </w:t>
      </w:r>
      <w:r>
        <w:rPr>
          <w:i/>
          <w:sz w:val="18"/>
        </w:rPr>
        <w:t>Confusion matrix — T4 (nominal, Y2), best model, forward holdout.</w:t>
      </w:r>
    </w:p>
    <w:p>
      <w:pPr>
        <w:pStyle w:val="Heading3"/>
      </w:pPr>
      <w:r>
        <w:t>4.4.4 Calibration</w:t>
      </w:r>
    </w:p>
    <w:p>
      <w:r>
        <w:t>Per-task Brier scores (holdout) are reported in `artifacts/metrics_*.csv` (e.g. T2 hist</w:t>
      </w:r>
    </w:p>
    <w:p>
      <w:r>
        <w:t>GBM 0.084; T1 hist GBM 0.085). Calibration and ROC/PR curves are in</w:t>
      </w:r>
    </w:p>
    <w:p>
      <w:r>
        <w:t xml:space="preserve">`figures/phase7_y2_diagnostics.png`. Brier is </w:t>
      </w:r>
      <w:r>
        <w:rPr>
          <w:b/>
        </w:rPr>
        <w:t>never</w:t>
      </w:r>
      <w:r>
        <w:t xml:space="preserve"> compared across different</w:t>
      </w:r>
    </w:p>
    <w:p>
      <w:r>
        <w:t>targets (C4.4). Recalibration (Platt) did not improve the holdout (§4.7).</w:t>
      </w:r>
    </w:p>
    <w:p>
      <w:r>
        <w:rPr>
          <w:b/>
        </w:rPr>
        <w:t>Figures 4.4.4.1–4.4.4.4</w:t>
      </w:r>
      <w:r>
        <w:t xml:space="preserve"> (`figures/fig4.4.4.*.png`): reliability diagrams, one per task</w:t>
      </w:r>
    </w:p>
    <w:p>
      <w:r>
        <w:t>on the forward holdout.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030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4.1_calibration_T1_usd_y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4.4.4.1 </w:t>
      </w:r>
      <w:r>
        <w:rPr>
          <w:i/>
          <w:sz w:val="18"/>
        </w:rPr>
        <w:t>Calibration (reliability) curve — T1 (USD, Y1), forward holdout.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030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4.2_calibration_T2_usd_y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4.4.4.2 </w:t>
      </w:r>
      <w:r>
        <w:rPr>
          <w:i/>
          <w:sz w:val="18"/>
        </w:rPr>
        <w:t>Calibration (reliability) curve — T2 (USD, Y2), forward holdout.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03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4.3_calibration_T3_nominal_y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4.4.4.3 </w:t>
      </w:r>
      <w:r>
        <w:rPr>
          <w:i/>
          <w:sz w:val="18"/>
        </w:rPr>
        <w:t>Calibration (reliability) curve — T3 (nominal, Y1), forward holdout.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030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4.4.4_calibration_T4_nominal_y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4.4.4.4 </w:t>
      </w:r>
      <w:r>
        <w:rPr>
          <w:i/>
          <w:sz w:val="18"/>
        </w:rPr>
        <w:t>Calibration (reliability) curve — T4 (nominal, Y2), forward holdout.</w:t>
      </w:r>
    </w:p>
    <w:p>
      <w:pPr>
        <w:pStyle w:val="Heading2"/>
      </w:pPr>
      <w:r>
        <w:t>4.5 Inferential Statistics — Rainfall and price (C4.5)</w:t>
      </w:r>
    </w:p>
    <w:p>
      <w:r>
        <w:t xml:space="preserve">Pearson </w:t>
      </w:r>
      <w:r>
        <w:rPr>
          <w:b/>
        </w:rPr>
        <w:t>and</w:t>
      </w:r>
      <w:r>
        <w:t xml:space="preserve"> Spearman correlations between rainfall anomaly and the current return,</w:t>
      </w:r>
    </w:p>
    <w:p>
      <w:r>
        <w:t>at leads 0–3 months (`reports/phase6_lead_lag.csv`):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Lead (months)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Base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Pearson r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95% CI (Fisher z)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Spearman 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1234"/>
          </w:tcPr>
          <w:p>
            <w:r/>
            <w:r>
              <w:t>usdprice</w:t>
            </w:r>
          </w:p>
        </w:tc>
        <w:tc>
          <w:tcPr>
            <w:tcW w:type="dxa" w:w="1234"/>
          </w:tcPr>
          <w:p>
            <w:r/>
            <w:r>
              <w:t>12,520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−0.112</w:t>
            </w:r>
          </w:p>
        </w:tc>
        <w:tc>
          <w:tcPr>
            <w:tcW w:type="dxa" w:w="1234"/>
          </w:tcPr>
          <w:p>
            <w:r/>
            <w:r>
              <w:t>[−0.129, −0.094]</w:t>
            </w:r>
          </w:p>
        </w:tc>
        <w:tc>
          <w:tcPr>
            <w:tcW w:type="dxa" w:w="1234"/>
          </w:tcPr>
          <w:p>
            <w:r/>
            <w:r>
              <w:t>&lt;0.001</w:t>
            </w:r>
          </w:p>
        </w:tc>
        <w:tc>
          <w:tcPr>
            <w:tcW w:type="dxa" w:w="1234"/>
          </w:tcPr>
          <w:p>
            <w:r/>
            <w:r>
              <w:t>−0.134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nominal</w:t>
            </w:r>
          </w:p>
        </w:tc>
        <w:tc>
          <w:tcPr>
            <w:tcW w:type="dxa" w:w="1234"/>
          </w:tcPr>
          <w:p>
            <w:r/>
            <w:r>
              <w:t>12,520</w:t>
            </w:r>
          </w:p>
        </w:tc>
        <w:tc>
          <w:tcPr>
            <w:tcW w:type="dxa" w:w="1234"/>
          </w:tcPr>
          <w:p>
            <w:r/>
            <w:r>
              <w:t>−0.124</w:t>
            </w:r>
          </w:p>
        </w:tc>
        <w:tc>
          <w:tcPr>
            <w:tcW w:type="dxa" w:w="1234"/>
          </w:tcPr>
          <w:p>
            <w:r/>
            <w:r>
              <w:t>[−0.142, −0.107]</w:t>
            </w:r>
          </w:p>
        </w:tc>
        <w:tc>
          <w:tcPr>
            <w:tcW w:type="dxa" w:w="1234"/>
          </w:tcPr>
          <w:p>
            <w:r/>
            <w:r>
              <w:t>&lt;0.001</w:t>
            </w:r>
          </w:p>
        </w:tc>
        <w:tc>
          <w:tcPr>
            <w:tcW w:type="dxa" w:w="1234"/>
          </w:tcPr>
          <w:p>
            <w:r/>
            <w:r>
              <w:t>−0.135</w:t>
            </w:r>
          </w:p>
        </w:tc>
      </w:tr>
      <w:tr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usdprice</w:t>
            </w:r>
          </w:p>
        </w:tc>
        <w:tc>
          <w:tcPr>
            <w:tcW w:type="dxa" w:w="1234"/>
          </w:tcPr>
          <w:p>
            <w:r/>
            <w:r>
              <w:t>12,520</w:t>
            </w:r>
          </w:p>
        </w:tc>
        <w:tc>
          <w:tcPr>
            <w:tcW w:type="dxa" w:w="1234"/>
          </w:tcPr>
          <w:p>
            <w:r/>
            <w:r>
              <w:t>−0.066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&lt;0.001</w:t>
            </w:r>
          </w:p>
        </w:tc>
        <w:tc>
          <w:tcPr>
            <w:tcW w:type="dxa" w:w="1234"/>
          </w:tcPr>
          <w:p>
            <w:r/>
            <w:r>
              <w:t>−0.076</w:t>
            </w:r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usdprice</w:t>
            </w:r>
          </w:p>
        </w:tc>
        <w:tc>
          <w:tcPr>
            <w:tcW w:type="dxa" w:w="1234"/>
          </w:tcPr>
          <w:p>
            <w:r/>
            <w:r>
              <w:t>12,520</w:t>
            </w:r>
          </w:p>
        </w:tc>
        <w:tc>
          <w:tcPr>
            <w:tcW w:type="dxa" w:w="1234"/>
          </w:tcPr>
          <w:p>
            <w:r/>
            <w:r>
              <w:t>−0.084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&lt;0.001</w:t>
            </w:r>
          </w:p>
        </w:tc>
        <w:tc>
          <w:tcPr>
            <w:tcW w:type="dxa" w:w="1234"/>
          </w:tcPr>
          <w:p>
            <w:r/>
            <w:r>
              <w:t>−0.084</w:t>
            </w:r>
          </w:p>
        </w:tc>
      </w:tr>
    </w:tbl>
    <w:p>
      <w:r>
        <w:t xml:space="preserve">Lower rainfall anomalies are </w:t>
      </w:r>
      <w:r>
        <w:rPr>
          <w:i/>
        </w:rPr>
        <w:t>weakly</w:t>
      </w:r>
      <w:r>
        <w:t xml:space="preserve"> associated with </w:t>
      </w:r>
      <w:r>
        <w:rPr>
          <w:i/>
        </w:rPr>
        <w:t>higher</w:t>
      </w:r>
      <w:r>
        <w:t xml:space="preserve"> next-month returns; the</w:t>
      </w:r>
    </w:p>
    <w:p>
      <w:r>
        <w:t xml:space="preserve">association is strongest at </w:t>
      </w:r>
      <w:r>
        <w:rPr>
          <w:b/>
        </w:rPr>
        <w:t>1 month</w:t>
      </w:r>
      <w:r>
        <w:t>, not 2 as the dissertation reported, and is about</w:t>
      </w:r>
    </w:p>
    <w:p>
      <w:r>
        <w:rPr>
          <w:b/>
        </w:rPr>
        <w:t>half the size</w:t>
      </w:r>
      <w:r>
        <w:t xml:space="preserve"> of the claimed −0.22. Observations are repeated by market, so the true</w:t>
      </w:r>
    </w:p>
    <w:p>
      <w:r>
        <w:t>uncertainty is wider than the parametric CI; the effect is statistically detectable but</w:t>
      </w:r>
    </w:p>
    <w:p>
      <w:r>
        <w:rPr>
          <w:b/>
        </w:rPr>
        <w:t>not</w:t>
      </w:r>
      <w:r>
        <w:t xml:space="preserve"> of obvious predictive value on its own.</w:t>
      </w:r>
    </w:p>
    <w:p>
      <w:r>
        <w:rPr>
          <w:b/>
        </w:rPr>
        <w:t>Figure 4.5.1</w:t>
      </w:r>
      <w:r>
        <w:t xml:space="preserve"> (`figures/fig4.5.1_lead_lag.png`): rainfall–return correlation by lead</w:t>
      </w:r>
    </w:p>
    <w:p>
      <w:r>
        <w:t>lag, showing the 1-month peak.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827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5.1_lead_la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4.5.1 </w:t>
      </w:r>
      <w:r>
        <w:rPr>
          <w:i/>
          <w:sz w:val="18"/>
        </w:rPr>
        <w:t>Rainfall anomaly versus next-month price return by lead lag.</w:t>
      </w:r>
    </w:p>
    <w:p>
      <w:pPr>
        <w:pStyle w:val="Heading2"/>
      </w:pPr>
      <w:r>
        <w:t>4.6 Statistical Analysis and Feature Importance (C4.6, C4.7)</w:t>
      </w:r>
    </w:p>
    <w:p>
      <w:pPr>
        <w:pStyle w:val="ListBullet"/>
      </w:pPr>
      <w:r>
        <w:rPr>
          <w:b/>
        </w:rPr>
        <w:t>Tuning:</w:t>
      </w:r>
      <w:r>
        <w:t xml:space="preserve"> histogram GBM tuned by Optuna (TPE, seed 42) inside the training period</w:t>
      </w:r>
    </w:p>
    <w:p>
      <w:r>
        <w:t xml:space="preserve">only — </w:t>
      </w:r>
      <w:r>
        <w:rPr>
          <w:b/>
        </w:rPr>
        <w:t>40 trials per task (160 total)</w:t>
      </w:r>
      <w:r>
        <w:t>; objective = mean validation-block ROC-AUC</w:t>
      </w:r>
    </w:p>
    <w:p>
      <w:r>
        <w:t>across the expanding-window folds. Search space and the four selected configurations</w:t>
      </w:r>
    </w:p>
    <w:p>
      <w:r>
        <w:t>are in §3.7; every parameter value is quoted from the real run</w:t>
      </w:r>
    </w:p>
    <w:p>
      <w:r>
        <w:t>(`artifacts/optuna_best_</w:t>
      </w:r>
      <w:r>
        <w:rPr>
          <w:i/>
        </w:rPr>
        <w:t>.json`, `artifacts/optuna_trials_</w:t>
      </w:r>
      <w:r>
        <w:t>.csv`), not fabricated.</w:t>
      </w:r>
    </w:p>
    <w:p>
      <w:r>
        <w:t>XGBoost and the baselines use fixed, pre-registered settings (§3.5).</w:t>
      </w:r>
    </w:p>
    <w:p>
      <w:pPr>
        <w:pStyle w:val="ListBullet"/>
      </w:pPr>
      <w:r>
        <w:rPr>
          <w:b/>
        </w:rPr>
        <w:t>Permutation importance (holdout):</w:t>
      </w:r>
      <w:r>
        <w:t xml:space="preserve"> Y1 — `spi` (+0.088), `ret_lag1` (+0.038),</w:t>
      </w:r>
    </w:p>
    <w:p>
      <w:r>
        <w:t>`rain_anom_lag3` (+0.033), `rain_anom_z` (+0.014). Y2 — `spi` dominates (+0.244), then</w:t>
      </w:r>
    </w:p>
    <w:p>
      <w:r>
        <w:t>`category`, `peer_count`. This replaces the dissertation's fabricated Table 4.3.</w:t>
      </w:r>
    </w:p>
    <w:p>
      <w:pPr>
        <w:pStyle w:val="ListBullet"/>
      </w:pPr>
      <w:r>
        <w:rPr>
          <w:b/>
        </w:rPr>
        <w:t>Importance stability across folds</w:t>
      </w:r>
      <w:r>
        <w:t xml:space="preserve"> (`phase6b_importance_stability.csv`): `spi` is</w:t>
      </w:r>
    </w:p>
    <w:p>
      <w:r>
        <w:t xml:space="preserve">rank 1 in every fold for both targets, but </w:t>
      </w:r>
      <w:r>
        <w:rPr>
          <w:b/>
        </w:rPr>
        <w:t>rainfall-importance is unstable</w:t>
      </w:r>
    </w:p>
    <w:p>
      <w:r>
        <w:t>(ranks 8–15, sign changes). Single-holdout importance rankings must therefore not be</w:t>
      </w:r>
    </w:p>
    <w:p>
      <w:r>
        <w:t>presented as fixed (C4.7).</w:t>
      </w:r>
    </w:p>
    <w:p>
      <w:r>
        <w:rPr>
          <w:b/>
        </w:rPr>
        <w:t>Figures 4.6.1–4.6.2</w:t>
      </w:r>
      <w:r>
        <w:t xml:space="preserve"> (`figures/fig4.6.*.png`): permutation importance with SD, one image</w:t>
      </w:r>
    </w:p>
    <w:p>
      <w:r>
        <w:t>per target.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6.1_importance_T1_usd_y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4.6.1 </w:t>
      </w:r>
      <w:r>
        <w:rPr>
          <w:i/>
          <w:sz w:val="18"/>
        </w:rPr>
        <w:t>Permutation importance (mean ROC-AUC decrease ± SD) — T1 (USD, Y1), holdout.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6.2_importance_T2_usd_y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4.6.2 </w:t>
      </w:r>
      <w:r>
        <w:rPr>
          <w:i/>
          <w:sz w:val="18"/>
        </w:rPr>
        <w:t>Permutation importance (mean ROC-AUC decrease ± SD) — T2 (USD, Y2), holdout.</w:t>
      </w:r>
    </w:p>
    <w:p>
      <w:pPr>
        <w:pStyle w:val="Heading2"/>
      </w:pPr>
      <w:r>
        <w:t>4.7 Robustness and Sensitivity (C4.9, C4.8)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By year</w:t>
            </w:r>
            <w:r>
              <w:t xml:space="preserve"> (OOF)</w:t>
            </w:r>
          </w:p>
        </w:tc>
        <w:tc>
          <w:tcPr>
            <w:tcW w:type="dxa" w:w="4320"/>
          </w:tcPr>
          <w:p>
            <w:r/>
            <w:r>
              <w:t xml:space="preserve">Y1 AUC falls </w:t>
            </w:r>
            <w:r>
              <w:rPr>
                <w:b/>
              </w:rPr>
              <w:t>below 0.5</w:t>
            </w:r>
            <w:r>
              <w:t xml:space="preserve"> in 2020 (0.415), 2022 (0.480), 2023 (0.484) — the currency-change years; Y2 stable 0.68–0.99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By currency</w:t>
            </w:r>
            <w:r>
              <w:t xml:space="preserve"> (OOF)</w:t>
            </w:r>
          </w:p>
        </w:tc>
        <w:tc>
          <w:tcPr>
            <w:tcW w:type="dxa" w:w="4320"/>
          </w:tcPr>
          <w:p>
            <w:r/>
            <w:r>
              <w:t>Y1: USD 0.602 / ZWL 0.586; Y2: USD 0.834 / ZWL 0.789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By commodity</w:t>
            </w:r>
            <w:r>
              <w:t xml:space="preserve"> (OOF)</w:t>
            </w:r>
          </w:p>
        </w:tc>
        <w:tc>
          <w:tcPr>
            <w:tcW w:type="dxa" w:w="4320"/>
          </w:tcPr>
          <w:p>
            <w:r/>
            <w:r>
              <w:t>Y1 best pulses 0.667, worst meat 0.548; Y2 best oils 0.856, worst meat 0.729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Alternative thresholds</w:t>
            </w:r>
          </w:p>
        </w:tc>
        <w:tc>
          <w:tcPr>
            <w:tcW w:type="dxa" w:w="4320"/>
          </w:tcPr>
          <w:p>
            <w:r/>
            <w:r>
              <w:t>Y1 noisy (0.52–0.66); Y2 peaks at 1.20–1.30 (0.85–0.88)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Feature exclusion</w:t>
            </w:r>
          </w:p>
        </w:tc>
        <w:tc>
          <w:tcPr>
            <w:tcW w:type="dxa" w:w="4320"/>
          </w:tcPr>
          <w:p>
            <w:r/>
            <w:r>
              <w:t>Drop rainfall: T1 −0.078, T2 +0.001; Drop peer: T1 −0.074, T2 −0.165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Recalibration (Platt)</w:t>
            </w:r>
          </w:p>
        </w:tc>
        <w:tc>
          <w:tcPr>
            <w:tcW w:type="dxa" w:w="4320"/>
          </w:tcPr>
          <w:p>
            <w:r/>
            <w:r>
              <w:t>AUC unchanged (monotone); Brier slightly worse (T1 0.081→0.092; T2 0.084→0.092)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Recent-window retrain (24m)</w:t>
            </w:r>
          </w:p>
        </w:tc>
        <w:tc>
          <w:tcPr>
            <w:tcW w:type="dxa" w:w="4320"/>
          </w:tcPr>
          <w:p>
            <w:r/>
            <w:r>
              <w:t>Worse: T2 0.873→0.768; T1 0.521→0.550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Outlier winsorisation (1/99)</w:t>
            </w:r>
          </w:p>
        </w:tc>
        <w:tc>
          <w:tcPr>
            <w:tcW w:type="dxa" w:w="4320"/>
          </w:tcPr>
          <w:p>
            <w:r/>
            <w:r>
              <w:t>Negligible (−0.017 to +0.002)</w:t>
            </w:r>
          </w:p>
        </w:tc>
      </w:tr>
    </w:tbl>
    <w:p>
      <w:r>
        <w:rPr>
          <w:b/>
        </w:rPr>
        <w:t>Interpretation:</w:t>
      </w:r>
      <w:r>
        <w:t xml:space="preserve"> the deterioration between CV and holdout is best explained by</w:t>
      </w:r>
    </w:p>
    <w:p>
      <w:r>
        <w:rPr>
          <w:b/>
        </w:rPr>
        <w:t>temporal distribution shift tied to currency-regime change</w:t>
      </w:r>
      <w:r>
        <w:t>, not by a single</w:t>
      </w:r>
    </w:p>
    <w:p>
      <w:r>
        <w:t>implementation error. Neither retraining nor recalibration rescued the holdout.</w:t>
      </w:r>
    </w:p>
    <w:p>
      <w:r>
        <w:rPr>
          <w:b/>
        </w:rPr>
        <w:t>Figures 4.7.1–4.7.4:</w:t>
      </w:r>
      <w:r>
        <w:t xml:space="preserve"> threshold sensitivity (prevalence, 4.7.1; holdout AUC, 4.7.2),</w:t>
      </w:r>
    </w:p>
    <w:p>
      <w:r>
        <w:t>feature-exclusion sensitivity (4.7.3) and out-of-fold AUC by year (4.7.4).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7.1_threshold_prevalen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4.7.1 </w:t>
      </w:r>
      <w:r>
        <w:rPr>
          <w:i/>
          <w:sz w:val="18"/>
        </w:rPr>
        <w:t>Threshold sensitivity: positive-label prevalence versus threshold.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7.2_threshold_holdout_auc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4.7.2 </w:t>
      </w:r>
      <w:r>
        <w:rPr>
          <w:i/>
          <w:sz w:val="18"/>
        </w:rPr>
        <w:t>Threshold sensitivity: holdout ROC-AUC versus threshold.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7.3_feature_exclusio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4.7.3 </w:t>
      </w:r>
      <w:r>
        <w:rPr>
          <w:i/>
          <w:sz w:val="18"/>
        </w:rPr>
        <w:t>Feature-exclusion sensitivity: change in holdout AUC versus the full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7.4_oof_by_yea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4.7.4 </w:t>
      </w:r>
      <w:r>
        <w:rPr>
          <w:i/>
          <w:sz w:val="18"/>
        </w:rPr>
        <w:t>Out-of-fold AUC by year; Y1 falls below chance in currency-transition years.</w:t>
      </w:r>
    </w:p>
    <w:p>
      <w:pPr>
        <w:pStyle w:val="Heading2"/>
      </w:pPr>
      <w:r>
        <w:t>4.8 Outliers and Anomalies</w:t>
      </w:r>
    </w:p>
    <w:p>
      <w:r>
        <w:t>Large positive returns are genuine price shocks, not errors; 1,182–1,191 rows exceed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1.0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in the return features. Winsorising them changed Y1 holdout AUC by at most 0.017,</w:t>
            </w:r>
          </w:p>
        </w:tc>
      </w:tr>
    </w:tbl>
    <w:p>
      <w:r>
        <w:t>so they are not driving the results; they are retained by design.</w:t>
      </w:r>
    </w:p>
    <w:p>
      <w:pPr>
        <w:pStyle w:val="Heading2"/>
      </w:pPr>
      <w:r>
        <w:t>4.9 District Risk Outputs (exploratory)</w:t>
      </w:r>
    </w:p>
    <w:p>
      <w:r>
        <w:t>Any district-level bands derived from these scores are **exploratory, model-generated</w:t>
      </w:r>
    </w:p>
    <w:p>
      <w:r>
        <w:t>classifications</w:t>
      </w:r>
      <w:r>
        <w:rPr>
          <w:b/>
        </w:rPr>
        <w:t xml:space="preserve">. Given the Y1 instability and the small holdout, they are </w:t>
      </w:r>
      <w:r>
        <w:t>not**</w:t>
      </w:r>
    </w:p>
    <w:p>
      <w:r>
        <w:t>dependable early-warning predictions. The dissertation's specific "higher-risk"</w:t>
      </w:r>
    </w:p>
    <w:p>
      <w:r>
        <w:t>districts (Beitbridge, Chiredzi, Bikita, Buhera) and the 68.4/21.2/10.4 band split have</w:t>
      </w:r>
    </w:p>
    <w:p>
      <w:r>
        <w:t>no supporting artefact and must be withdrawn.</w:t>
      </w:r>
    </w:p>
    <w:p>
      <w:r>
        <w:t>&lt;!-- FIGURE PLACEHOLDER (Chapter 4 only): insert the dashboard district-risk view here</w:t>
      </w:r>
    </w:p>
    <w:p>
      <w:r>
        <w:t>if district outputs are shown inline in Chapter 4. The live screenshots are in</w:t>
      </w:r>
    </w:p>
    <w:p>
      <w:r>
        <w:t>Chapter 5 (Figures 5.1–5.10). --&gt;</w:t>
      </w:r>
    </w:p>
    <w:p>
      <w:pPr>
        <w:pStyle w:val="IntenseQuote"/>
      </w:pPr>
      <w:r>
        <w:rPr>
          <w:b/>
        </w:rPr>
        <w:t>[Figure 4.9.1 — placeholder]</w:t>
      </w:r>
      <w:r>
        <w:t xml:space="preserve"> *Dashboard screenshot of the district-risk view</w:t>
      </w:r>
    </w:p>
    <w:p>
      <w:pPr>
        <w:pStyle w:val="IntenseQuote"/>
      </w:pPr>
      <w:r>
        <w:t>(`dashboard/app.py`). Space reserved for the Chapter 4 discussion; live screenshots</w:t>
      </w:r>
    </w:p>
    <w:p>
      <w:pPr>
        <w:pStyle w:val="IntenseQuote"/>
      </w:pPr>
      <w:r>
        <w:t>are in Chapter 5.*</w:t>
      </w:r>
    </w:p>
    <w:p>
      <w:pPr>
        <w:pStyle w:val="Heading2"/>
      </w:pPr>
      <w:r>
        <w:t>4.10 Discussion</w:t>
      </w:r>
    </w:p>
    <w:p>
      <w:r>
        <w:t xml:space="preserve">The results support a </w:t>
      </w:r>
      <w:r>
        <w:rPr>
          <w:b/>
        </w:rPr>
        <w:t>compound</w:t>
      </w:r>
      <w:r>
        <w:t xml:space="preserve"> view of food price stress (price momentum + peer</w:t>
      </w:r>
    </w:p>
    <w:p>
      <w:r>
        <w:t>position + weak rainfall signal), consistent with storage- and market-transmission</w:t>
      </w:r>
    </w:p>
    <w:p>
      <w:r>
        <w:t>theory. But the dominant conclusion is methodological: **historical (CV) performance does</w:t>
      </w:r>
    </w:p>
    <w:p>
      <w:r>
        <w:t>not transfer reliably to later periods**, and the target definition strongly affects</w:t>
      </w:r>
    </w:p>
    <w:p>
      <w:r>
        <w:t>apparent predictability (Y2 ≫ Y1). This reframes the contribution from "a working</w:t>
      </w:r>
    </w:p>
    <w:p>
      <w:r>
        <w:t>early-warning model" to "a reproducible workflow plus an honest diagnosis of why reliable</w:t>
      </w:r>
    </w:p>
    <w:p>
      <w:r>
        <w:t>prediction is not yet demonstrated".</w:t>
      </w:r>
    </w:p>
    <w:p>
      <w:pPr>
        <w:pStyle w:val="Heading2"/>
      </w:pPr>
      <w:r>
        <w:t>4.11 Chapter Summary</w:t>
      </w:r>
    </w:p>
    <w:p>
      <w:r>
        <w:t>Real results: ~15–16% positive prevalence; Y1 weak and unstable (holdout CI reaches</w:t>
      </w:r>
    </w:p>
    <w:p>
      <w:r>
        <w:t>chance; fails in currency-change years); Y2 moderate (~0.85 AUC) but persistence-driven;</w:t>
      </w:r>
    </w:p>
    <w:p>
      <w:r>
        <w:t>rainfall weak and unstable; XGBoost not dominant; recalibration/retraining unhelpful.</w:t>
      </w:r>
    </w:p>
    <w:p>
      <w:r>
        <w:br w:type="page"/>
      </w:r>
    </w:p>
    <w:p>
      <w:pPr>
        <w:pStyle w:val="Heading1"/>
      </w:pPr>
      <w:r>
        <w:t>Revised Chapter 5 — Conclusion and Recommendations</w:t>
      </w:r>
    </w:p>
    <w:p>
      <w:pPr>
        <w:pStyle w:val="IntenseQuote"/>
      </w:pPr>
      <w:r>
        <w:t>Revision notes: addresses C5.1–C5.6. The poor forward-holdout result is made a</w:t>
      </w:r>
    </w:p>
    <w:p>
      <w:pPr>
        <w:pStyle w:val="IntenseQuote"/>
      </w:pPr>
      <w:r>
        <w:rPr>
          <w:b/>
        </w:rPr>
        <w:t>central finding</w:t>
      </w:r>
      <w:r>
        <w:t>; objective achievement is split into three tiers; theory claims are</w:t>
      </w:r>
    </w:p>
    <w:p>
      <w:pPr>
        <w:pStyle w:val="IntenseQuote"/>
      </w:pPr>
      <w:r>
        <w:t>softened; limitations are tied to validity; recommendations are re-prioritised.</w:t>
      </w:r>
    </w:p>
    <w:p>
      <w:pPr>
        <w:pStyle w:val="Heading2"/>
      </w:pPr>
      <w:r>
        <w:t>5.1 Introduction</w:t>
      </w:r>
    </w:p>
    <w:p>
      <w:r>
        <w:t>This chapter concludes the project, evaluates objectives in three tiers (technical</w:t>
      </w:r>
    </w:p>
    <w:p>
      <w:r>
        <w:t>implementation / experimental validation / operational readiness), states implications,</w:t>
      </w:r>
    </w:p>
    <w:p>
      <w:r>
        <w:t>ties each limitation to the validity of the conclusions, and prioritises</w:t>
      </w:r>
    </w:p>
    <w:p>
      <w:r>
        <w:t>recommendations. Conclusions are restricted to the evidence in Chapter 4. The model</w:t>
      </w:r>
    </w:p>
    <w:p>
      <w:r>
        <w:t xml:space="preserve">predicts a </w:t>
      </w:r>
      <w:r>
        <w:rPr>
          <w:b/>
        </w:rPr>
        <w:t>market price stress</w:t>
      </w:r>
      <w:r>
        <w:t xml:space="preserve"> condition; it does not predict household food</w:t>
      </w:r>
    </w:p>
    <w:p>
      <w:r>
        <w:t>insecurity, poverty, malnutrition or famine.</w:t>
      </w:r>
    </w:p>
    <w:p>
      <w:pPr>
        <w:pStyle w:val="Heading2"/>
      </w:pPr>
      <w:r>
        <w:t>5.2 Summary of Findings (holdout failure as central)</w:t>
      </w:r>
    </w:p>
    <w:p>
      <w:r>
        <w:t xml:space="preserve">The project </w:t>
      </w:r>
      <w:r>
        <w:rPr>
          <w:b/>
        </w:rPr>
        <w:t>developed</w:t>
      </w:r>
      <w:r>
        <w:t xml:space="preserve"> a complete, reproducible pipeline: 28,168 raw price rows →</w:t>
      </w:r>
    </w:p>
    <w:p>
      <w:r>
        <w:t>20,530 food cells → 5,429 (Y1) / 12,635 (Y2) labelled observations, joined to district</w:t>
      </w:r>
    </w:p>
    <w:p>
      <w:r>
        <w:t>rainfall, with leakage-controlled features and two mathematically defined targets.</w:t>
      </w:r>
    </w:p>
    <w:p>
      <w:r>
        <w:t xml:space="preserve">The project </w:t>
      </w:r>
      <w:r>
        <w:rPr>
          <w:b/>
        </w:rPr>
        <w:t>validated</w:t>
      </w:r>
      <w:r>
        <w:t>, however, only weak-to-moderate and unstable predictive skill:</w:t>
      </w:r>
    </w:p>
    <w:p>
      <w:pPr>
        <w:pStyle w:val="ListBullet"/>
      </w:pPr>
      <w:r>
        <w:rPr>
          <w:b/>
        </w:rPr>
        <w:t>Y1 (standardised-return stress):</w:t>
      </w:r>
      <w:r>
        <w:t xml:space="preserve"> forward-holdout ROC-AUC 0.589 (XGBoost),</w:t>
      </w:r>
    </w:p>
    <w:p>
      <w:r>
        <w:t xml:space="preserve">95% market-clustered CI </w:t>
      </w:r>
      <w:r>
        <w:rPr>
          <w:b/>
        </w:rPr>
        <w:t>0.456–0.614</w:t>
      </w:r>
      <w:r>
        <w:t xml:space="preserve"> — indistinguishable from chance; OOF AUC</w:t>
      </w:r>
    </w:p>
    <w:p>
      <w:r>
        <w:rPr>
          <w:b/>
        </w:rPr>
        <w:t>below 0.5 in 2020, 2022 and 2023</w:t>
      </w:r>
      <w:r>
        <w:t>, the currency-change years.</w:t>
      </w:r>
    </w:p>
    <w:p>
      <w:pPr>
        <w:pStyle w:val="ListBullet"/>
      </w:pPr>
      <w:r>
        <w:rPr>
          <w:b/>
        </w:rPr>
        <w:t>Y2 (peer-relative stress):</w:t>
      </w:r>
      <w:r>
        <w:t xml:space="preserve"> holdout ROC-AUC 0.886 (USD) / 0.897–0.899 (nominal),</w:t>
      </w:r>
    </w:p>
    <w:p>
      <w:r>
        <w:t>but largely carried by the persistence of the peer-relative price itself (persistence</w:t>
      </w:r>
    </w:p>
    <w:p>
      <w:r>
        <w:t>baseline holdout 0.711).</w:t>
      </w:r>
    </w:p>
    <w:p>
      <w:pPr>
        <w:pStyle w:val="ListBullet"/>
      </w:pPr>
      <w:r>
        <w:t xml:space="preserve">Rainfall is a </w:t>
      </w:r>
      <w:r>
        <w:rPr>
          <w:b/>
        </w:rPr>
        <w:t>weak and unstable</w:t>
      </w:r>
      <w:r>
        <w:t xml:space="preserve"> signal (lead-1 r ≈ −0.11).</w:t>
      </w:r>
    </w:p>
    <w:p>
      <w:pPr>
        <w:pStyle w:val="ListBullet"/>
      </w:pPr>
      <w:r>
        <w:rPr>
          <w:b/>
        </w:rPr>
        <w:t>XGBoost does not dominate</w:t>
      </w:r>
      <w:r>
        <w:t xml:space="preserve"> (histogram GBM wins the USD Y2 holdout 0.886 vs 0.842;</w:t>
      </w:r>
    </w:p>
    <w:p>
      <w:r>
        <w:t>the two are statistically tied on nominal Y2).</w:t>
      </w:r>
    </w:p>
    <w:p>
      <w:pPr>
        <w:pStyle w:val="ListBullet"/>
      </w:pPr>
      <w:r>
        <w:t xml:space="preserve">Recalibration and recent-window retraining did </w:t>
      </w:r>
      <w:r>
        <w:rPr>
          <w:b/>
        </w:rPr>
        <w:t>not</w:t>
      </w:r>
      <w:r>
        <w:t xml:space="preserve"> improve later-period performance.</w:t>
      </w:r>
    </w:p>
    <w:p>
      <w:r>
        <w:t>**The single most important finding is that a functioning pipeline did not produce a</w:t>
      </w:r>
    </w:p>
    <w:p>
      <w:r>
        <w:t>reliably generalisable predictive model.** This is foregrounded rather than treated as a</w:t>
      </w:r>
    </w:p>
    <w:p>
      <w:r>
        <w:t>qualification.</w:t>
      </w:r>
    </w:p>
    <w:p>
      <w:pPr>
        <w:pStyle w:val="Heading2"/>
      </w:pPr>
      <w:r>
        <w:t>5.3 Achievement of Objectives — three-tier assessment (C5.2)</w:t>
      </w:r>
    </w:p>
    <w:p>
      <w:r>
        <w:t>The dissertation's binary "highly/substantially met" scheme was too favourable. The</w:t>
      </w:r>
    </w:p>
    <w:p>
      <w:r>
        <w:t xml:space="preserve">revised table separates </w:t>
      </w:r>
      <w:r>
        <w:rPr>
          <w:i/>
        </w:rPr>
        <w:t>implementation</w:t>
      </w:r>
      <w:r>
        <w:t xml:space="preserve">, </w:t>
      </w:r>
      <w:r>
        <w:rPr>
          <w:i/>
        </w:rPr>
        <w:t>validation</w:t>
      </w:r>
      <w:r>
        <w:t xml:space="preserve"> and </w:t>
      </w:r>
      <w:r>
        <w:rPr>
          <w:i/>
        </w:rPr>
        <w:t>operational readiness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Implementation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Experimental validation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Operational readiness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Supporting evidence</w:t>
            </w:r>
          </w:p>
        </w:tc>
      </w:tr>
      <w:tr>
        <w:tc>
          <w:tcPr>
            <w:tcW w:type="dxa" w:w="1728"/>
          </w:tcPr>
          <w:p>
            <w:r/>
            <w:r>
              <w:t>1. Data integration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Met</w:t>
            </w:r>
          </w:p>
        </w:tc>
        <w:tc>
          <w:tcPr>
            <w:tcW w:type="dxa" w:w="1728"/>
          </w:tcPr>
          <w:p>
            <w:r/>
            <w:r>
              <w:t>Met (panel auditable)</w:t>
            </w:r>
          </w:p>
        </w:tc>
        <w:tc>
          <w:tcPr>
            <w:tcW w:type="dxa" w:w="1728"/>
          </w:tcPr>
          <w:p>
            <w:r/>
            <w:r>
              <w:t>Not applicable</w:t>
            </w:r>
          </w:p>
        </w:tc>
        <w:tc>
          <w:tcPr>
            <w:tcW w:type="dxa" w:w="1728"/>
          </w:tcPr>
          <w:p>
            <w:r/>
            <w:r>
              <w:t>20,530 cells; 327/335 markets matched; build log</w:t>
            </w:r>
          </w:p>
        </w:tc>
      </w:tr>
      <w:tr>
        <w:tc>
          <w:tcPr>
            <w:tcW w:type="dxa" w:w="1728"/>
          </w:tcPr>
          <w:p>
            <w:r/>
            <w:r>
              <w:t>2. Feature construction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Met</w:t>
            </w:r>
          </w:p>
        </w:tc>
        <w:tc>
          <w:tcPr>
            <w:tcW w:type="dxa" w:w="1728"/>
          </w:tcPr>
          <w:p>
            <w:r/>
            <w:r>
              <w:t>Partial (rainfall weak/unstable)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Leakage tests pass; feature-exclusion + stability results</w:t>
            </w:r>
          </w:p>
        </w:tc>
      </w:tr>
      <w:tr>
        <w:tc>
          <w:tcPr>
            <w:tcW w:type="dxa" w:w="1728"/>
          </w:tcPr>
          <w:p>
            <w:r/>
            <w:r>
              <w:t>3. Model comparison (time-ordered)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Met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 met</w:t>
            </w:r>
            <w:r>
              <w:t xml:space="preserve"> — no reliable prospective discrimination</w:t>
            </w:r>
          </w:p>
        </w:tc>
        <w:tc>
          <w:tcPr>
            <w:tcW w:type="dxa" w:w="1728"/>
          </w:tcPr>
          <w:p>
            <w:r/>
            <w:r>
              <w:t>Not met</w:t>
            </w:r>
          </w:p>
        </w:tc>
        <w:tc>
          <w:tcPr>
            <w:tcW w:type="dxa" w:w="1728"/>
          </w:tcPr>
          <w:p>
            <w:r/>
            <w:r>
              <w:t>Holdout CIs; by-year OOF (&lt;0.5 in transition years)</w:t>
            </w:r>
          </w:p>
        </w:tc>
      </w:tr>
      <w:tr>
        <w:tc>
          <w:tcPr>
            <w:tcW w:type="dxa" w:w="1728"/>
          </w:tcPr>
          <w:p>
            <w:r/>
            <w:r>
              <w:t>4. Prospective scoring prototype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Met (prototype)</w:t>
            </w:r>
          </w:p>
        </w:tc>
        <w:tc>
          <w:tcPr>
            <w:tcW w:type="dxa" w:w="1728"/>
          </w:tcPr>
          <w:p>
            <w:r/>
            <w:r>
              <w:t>Not validated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 met</w:t>
            </w:r>
          </w:p>
        </w:tc>
        <w:tc>
          <w:tcPr>
            <w:tcW w:type="dxa" w:w="1728"/>
          </w:tcPr>
          <w:p>
            <w:r/>
            <w:r>
              <w:t>`src/fit_final_model.py`, `dashboard/app.py`</w:t>
            </w:r>
          </w:p>
        </w:tc>
      </w:tr>
      <w:tr>
        <w:tc>
          <w:tcPr>
            <w:tcW w:type="dxa" w:w="1728"/>
          </w:tcPr>
          <w:p>
            <w:r/>
            <w:r>
              <w:t>5. Commodity/district support</w:t>
            </w:r>
          </w:p>
        </w:tc>
        <w:tc>
          <w:tcPr>
            <w:tcW w:type="dxa" w:w="1728"/>
          </w:tcPr>
          <w:p>
            <w:r/>
            <w:r>
              <w:t>Met (outputs exist)</w:t>
            </w:r>
          </w:p>
        </w:tc>
        <w:tc>
          <w:tcPr>
            <w:tcW w:type="dxa" w:w="1728"/>
          </w:tcPr>
          <w:p>
            <w:r/>
            <w:r>
              <w:t>Not validated for districts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 met</w:t>
            </w:r>
          </w:p>
        </w:tc>
        <w:tc>
          <w:tcPr>
            <w:tcW w:type="dxa" w:w="1728"/>
          </w:tcPr>
          <w:p>
            <w:r/>
            <w:r>
              <w:t>Commodity OOF results; district bands exploratory</w:t>
            </w:r>
          </w:p>
        </w:tc>
      </w:tr>
    </w:tbl>
    <w:p>
      <w:r>
        <w:t xml:space="preserve">The honest conclusion is that </w:t>
      </w:r>
      <w:r>
        <w:rPr>
          <w:b/>
        </w:rPr>
        <w:t>implementation succeeded</w:t>
      </w:r>
      <w:r>
        <w:t xml:space="preserve"> while **validation and</w:t>
      </w:r>
    </w:p>
    <w:p>
      <w:r>
        <w:t>operational readiness did not**.</w:t>
      </w:r>
    </w:p>
    <w:p>
      <w:pPr>
        <w:pStyle w:val="Heading2"/>
      </w:pPr>
      <w:r>
        <w:t>5.4 Implications and Impact (C5.3)</w:t>
      </w:r>
    </w:p>
    <w:p>
      <w:r>
        <w:rPr>
          <w:b/>
        </w:rPr>
        <w:t>Theory.</w:t>
      </w:r>
      <w:r>
        <w:t xml:space="preserve"> The project does </w:t>
      </w:r>
      <w:r>
        <w:rPr>
          <w:b/>
        </w:rPr>
        <w:t>not</w:t>
      </w:r>
      <w:r>
        <w:t xml:space="preserve"> establish new causal relationships between rainfall</w:t>
      </w:r>
    </w:p>
    <w:p>
      <w:r>
        <w:t>and food price stress. Its theoretical value is limited to demonstrating an integrated,</w:t>
      </w:r>
    </w:p>
    <w:p>
      <w:r>
        <w:t>validation-aware applied workflow and to the observation that target definition</w:t>
      </w:r>
    </w:p>
    <w:p>
      <w:r>
        <w:t>(return-based vs peer-relative) massively changes apparent predictability.</w:t>
      </w:r>
    </w:p>
    <w:p>
      <w:r>
        <w:rPr>
          <w:b/>
        </w:rPr>
        <w:t>Practice.</w:t>
      </w:r>
      <w:r>
        <w:t xml:space="preserve"> A market stress signal, if developed further, could support **prioritising</w:t>
      </w:r>
    </w:p>
    <w:p>
      <w:r>
        <w:t>verification** — not automatic action. The primary user (a market-monitoring analyst)</w:t>
      </w:r>
    </w:p>
    <w:p>
      <w:r>
        <w:t>should treat any high probability as a prompt to check local information and existing</w:t>
      </w:r>
    </w:p>
    <w:p>
      <w:r>
        <w:t>assessments.</w:t>
      </w:r>
    </w:p>
    <w:p>
      <w:r>
        <w:rPr>
          <w:b/>
        </w:rPr>
        <w:t>Education 5.0.</w:t>
      </w:r>
      <w:r>
        <w:t xml:space="preserve"> The concrete innovation demonstrated here is </w:t>
      </w:r>
      <w:r>
        <w:rPr>
          <w:b/>
        </w:rPr>
        <w:t>not</w:t>
      </w:r>
      <w:r>
        <w:t xml:space="preserve"> a working</w:t>
      </w:r>
    </w:p>
    <w:p>
      <w:r>
        <w:t>early-warning model but a **reproducible, leakage-controlled pipeline with an honest</w:t>
      </w:r>
    </w:p>
    <w:p>
      <w:r>
        <w:t>validation protocol** (`src/`, `tests/run_checks.py`, dashboard). The study is a</w:t>
      </w:r>
    </w:p>
    <w:p>
      <w:r>
        <w:t>retrospective, model-development exercise: it develops and packages the workflow and</w:t>
      </w:r>
    </w:p>
    <w:p>
      <w:r>
        <w:t>specifies how a market-monitoring analyst could use a future stress signal, but does not</w:t>
      </w:r>
    </w:p>
    <w:p>
      <w:r>
        <w:t>itself include field deployment or end-user engagement. Translating the workflow into a</w:t>
      </w:r>
    </w:p>
    <w:p>
      <w:r>
        <w:t xml:space="preserve">community or industry setting is therefore presented as </w:t>
      </w:r>
      <w:r>
        <w:rPr>
          <w:b/>
        </w:rPr>
        <w:t>proposed future work</w:t>
      </w:r>
      <w:r>
        <w:t xml:space="preserve"> rather</w:t>
      </w:r>
    </w:p>
    <w:p>
      <w:r>
        <w:t>than a completed outcome, and would require the stakeholder testing and governance steps</w:t>
      </w:r>
    </w:p>
    <w:p>
      <w:r>
        <w:t>set out in §5.6.</w:t>
      </w:r>
    </w:p>
    <w:p>
      <w:r>
        <w:rPr>
          <w:b/>
        </w:rPr>
        <w:t>Prototype evidence.</w:t>
      </w:r>
      <w:r>
        <w:t xml:space="preserve"> The scoring workflow is packaged as a working research dashboard</w:t>
      </w:r>
    </w:p>
    <w:p>
      <w:r>
        <w:t>(`dashboard/app.py`); screenshots of all ten pages are shown below</w:t>
      </w:r>
    </w:p>
    <w:p>
      <w:r>
        <w:t>(</w:t>
      </w:r>
      <w:r>
        <w:rPr>
          <w:b/>
        </w:rPr>
        <w:t>Figures 5.1–5.10</w:t>
      </w:r>
      <w:r>
        <w:t>). The dashboard reads only real pipeline artefacts, labels every</w:t>
      </w:r>
    </w:p>
    <w:p>
      <w:r>
        <w:t xml:space="preserve">page as a research prototype, and is </w:t>
      </w:r>
      <w:r>
        <w:rPr>
          <w:b/>
        </w:rPr>
        <w:t>not</w:t>
      </w:r>
      <w:r>
        <w:t xml:space="preserve"> an operational early-warning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5.1 </w:t>
      </w:r>
      <w:r>
        <w:rPr>
          <w:i/>
          <w:sz w:val="18"/>
        </w:rPr>
        <w:t>Dashboard overview: data scale, target definitions and headline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coverage___quality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5.2 </w:t>
      </w:r>
      <w:r>
        <w:rPr>
          <w:i/>
          <w:sz w:val="18"/>
        </w:rPr>
        <w:t>Data coverage and quality page, including documented quality flags.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_trend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5.3 </w:t>
      </w:r>
      <w:r>
        <w:rPr>
          <w:i/>
          <w:sz w:val="18"/>
        </w:rPr>
        <w:t>Median monthly price by category (USD base).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nfal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5.4 </w:t>
      </w:r>
      <w:r>
        <w:rPr>
          <w:i/>
          <w:sz w:val="18"/>
        </w:rPr>
        <w:t>District rainfall anomaly and the real lead-lag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___commodity_explorer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5.5 </w:t>
      </w:r>
      <w:r>
        <w:rPr>
          <w:i/>
          <w:sz w:val="18"/>
        </w:rPr>
        <w:t>Market and commodity explorer.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performanc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5.6 </w:t>
      </w:r>
      <w:r>
        <w:rPr>
          <w:i/>
          <w:sz w:val="18"/>
        </w:rPr>
        <w:t>Model performance: CV versus holdout ROC-AUC and permutation importance.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al_holdout_prediction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5.7 </w:t>
      </w:r>
      <w:r>
        <w:rPr>
          <w:i/>
          <w:sz w:val="18"/>
        </w:rPr>
        <w:t>Historical holdout scores with an adjustable decision threshold.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5.8 </w:t>
      </w:r>
      <w:r>
        <w:rPr>
          <w:i/>
          <w:sz w:val="18"/>
        </w:rPr>
        <w:t>Prediction screen: single-point forecasting for a chosen target (Y1/Y2) using the persisted, Optuna-tuned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phic_view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5.9 </w:t>
      </w:r>
      <w:r>
        <w:rPr>
          <w:i/>
          <w:sz w:val="18"/>
        </w:rPr>
        <w:t>Geographic view: holdout-period mean score / stress share by market.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itations___disclaimer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5.10 </w:t>
      </w:r>
      <w:r>
        <w:rPr>
          <w:i/>
          <w:sz w:val="18"/>
        </w:rPr>
        <w:t>Limitations and disclaimers page, including the traceability statement.</w:t>
      </w:r>
    </w:p>
    <w:p>
      <w:pPr>
        <w:pStyle w:val="Heading2"/>
      </w:pPr>
      <w:r>
        <w:t>5.5 Limitations and their Effect on Validity (C5.4)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Limitation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Effect on the conclusions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Temporal generalisation</w:t>
            </w:r>
            <w:r>
              <w:t xml:space="preserve"> (CV ≫ holdout; &lt;0.5 in transition years)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Directly undermines operational suitability</w:t>
            </w:r>
            <w:r>
              <w:t xml:space="preserve"> — later-period predictions cannot be trusted as reliable; this is why the district outputs are exploratory.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Small holdout / few positives</w:t>
            </w:r>
            <w:r>
              <w:t xml:space="preserve"> (Y1: 9 positives)</w:t>
            </w:r>
          </w:p>
        </w:tc>
        <w:tc>
          <w:tcPr>
            <w:tcW w:type="dxa" w:w="4320"/>
          </w:tcPr>
          <w:p>
            <w:r/>
            <w:r>
              <w:t>Estimates have wide intervals; Y1 skill cannot be distinguished from chance.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Target validity</w:t>
            </w:r>
            <w:r>
              <w:t xml:space="preserve"> (market price ≠ household food insecurity)</w:t>
            </w:r>
          </w:p>
        </w:tc>
        <w:tc>
          <w:tcPr>
            <w:tcW w:type="dxa" w:w="4320"/>
          </w:tcPr>
          <w:p>
            <w:r/>
            <w:r>
              <w:t>Conclusions apply to market prices only; no welfare inference.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Currency/inflation instability</w:t>
            </w:r>
          </w:p>
        </w:tc>
        <w:tc>
          <w:tcPr>
            <w:tcW w:type="dxa" w:w="4320"/>
          </w:tcPr>
          <w:p>
            <w:r/>
            <w:r>
              <w:t>Structural breaks distort the relationship; historical features do not capture regime change.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Sparse series</w:t>
            </w:r>
            <w:r>
              <w:t xml:space="preserve"> (median length 4 months)</w:t>
            </w:r>
          </w:p>
        </w:tc>
        <w:tc>
          <w:tcPr>
            <w:tcW w:type="dxa" w:w="4320"/>
          </w:tcPr>
          <w:p>
            <w:r/>
            <w:r>
              <w:t>Few labels per series; less stable learning.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Geographic matching</w:t>
            </w:r>
            <w:r>
              <w:t xml:space="preserve"> (8 markets unmatched; 1 district no rainfall; name vs coordinate)</w:t>
            </w:r>
          </w:p>
        </w:tc>
        <w:tc>
          <w:tcPr>
            <w:tcW w:type="dxa" w:w="4320"/>
          </w:tcPr>
          <w:p>
            <w:r/>
            <w:r>
              <w:t>District outputs have spatial uncertainty; treated as screening only.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Feature omission</w:t>
            </w:r>
            <w:r>
              <w:t xml:space="preserve"> (fuel, transport, stocks, informal FX…)</w:t>
            </w:r>
          </w:p>
        </w:tc>
        <w:tc>
          <w:tcPr>
            <w:tcW w:type="dxa" w:w="4320"/>
          </w:tcPr>
          <w:p>
            <w:r/>
            <w:r>
              <w:t>Explains part of the model error; results are lower bounds on achievable skill.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Permutation-importance instability</w:t>
            </w:r>
          </w:p>
        </w:tc>
        <w:tc>
          <w:tcPr>
            <w:tcW w:type="dxa" w:w="4320"/>
          </w:tcPr>
          <w:p>
            <w:r/>
            <w:r>
              <w:t>Feature rankings must not be read as a fixed importance order or as causal.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 operational testing</w:t>
            </w:r>
          </w:p>
        </w:tc>
        <w:tc>
          <w:tcPr>
            <w:tcW w:type="dxa" w:w="4320"/>
          </w:tcPr>
          <w:p>
            <w:r/>
            <w:r>
              <w:t>No claim of institutional readiness.</w:t>
            </w:r>
          </w:p>
        </w:tc>
      </w:tr>
    </w:tbl>
    <w:p>
      <w:pPr>
        <w:pStyle w:val="Heading2"/>
      </w:pPr>
      <w:r>
        <w:t>5.6 Recommendations (re-prioritised) (C5.5)</w:t>
      </w:r>
    </w:p>
    <w:p>
      <w:r>
        <w:rPr>
          <w:b/>
        </w:rPr>
        <w:t>Immediate (before any operational use):</w:t>
      </w:r>
    </w:p>
    <w:p>
      <w:pPr>
        <w:pStyle w:val="ListNumber"/>
      </w:pPr>
      <w:r>
        <w:rPr>
          <w:b/>
        </w:rPr>
        <w:t>Investigate and stabilise the holdout.</w:t>
      </w:r>
      <w:r>
        <w:t xml:space="preserve"> Diagnose the currency-regime distribution</w:t>
      </w:r>
    </w:p>
    <w:p>
      <w:r>
        <w:t>shift (already begun, `phase6b_*`); consider regime-specific or regime-aware models</w:t>
      </w:r>
    </w:p>
    <w:p>
      <w:r>
        <w:t>and rolling-origin evaluation over longer periods.</w:t>
      </w:r>
    </w:p>
    <w:p>
      <w:pPr>
        <w:pStyle w:val="ListNumber"/>
      </w:pPr>
      <w:r>
        <w:rPr>
          <w:b/>
        </w:rPr>
        <w:t>Validate and possibly redefine the targets.</w:t>
      </w:r>
      <w:r>
        <w:t xml:space="preserve"> Re-examine Y1 (unreliable) and</w:t>
      </w:r>
    </w:p>
    <w:p>
      <w:r>
        <w:t>justify/refine thresholds with domain users and observed outcomes.</w:t>
      </w:r>
    </w:p>
    <w:p>
      <w:pPr>
        <w:pStyle w:val="ListNumber"/>
      </w:pPr>
      <w:r>
        <w:rPr>
          <w:b/>
        </w:rPr>
        <w:t>Repeat the model evaluation using the same target, evaluation set and metrics</w:t>
      </w:r>
    </w:p>
    <w:p>
      <w:r>
        <w:t>before any superiority claim.</w:t>
      </w:r>
    </w:p>
    <w:p>
      <w:r>
        <w:rPr>
          <w:b/>
        </w:rPr>
        <w:t>Subsequent:</w:t>
      </w:r>
    </w:p>
    <w:p>
      <w:pPr>
        <w:pStyle w:val="ListNumber"/>
      </w:pPr>
      <w:r>
        <w:t>Recalibrate and monitor drift once new outcomes are available.</w:t>
      </w:r>
    </w:p>
    <w:p>
      <w:pPr>
        <w:pStyle w:val="ListNumber"/>
      </w:pPr>
      <w:r>
        <w:t>Improve data quality and coverage (remote/informal markets; the 8 unmatched markets;</w:t>
      </w:r>
    </w:p>
    <w:p>
      <w:r>
        <w:t>the missing district; suspicious `usdprice` values; FX basis clarity).</w:t>
      </w:r>
    </w:p>
    <w:p>
      <w:pPr>
        <w:pStyle w:val="ListNumber"/>
      </w:pPr>
      <w:r>
        <w:t>Conduct user-centred evaluation and establish governance (model registry, alert-review</w:t>
      </w:r>
    </w:p>
    <w:p>
      <w:r>
        <w:t>protocol, withdrawal process).</w:t>
      </w:r>
    </w:p>
    <w:p>
      <w:pPr>
        <w:pStyle w:val="Heading2"/>
      </w:pPr>
      <w:r>
        <w:t>5.7 Future Research</w:t>
      </w:r>
    </w:p>
    <w:p>
      <w:r>
        <w:t>Extend features (soil moisture, vegetation, temperature, fuel/transport, stocks, FX);</w:t>
      </w:r>
    </w:p>
    <w:p>
      <w:r>
        <w:t>compare targets against household food-consumption and market-function indicators;</w:t>
      </w:r>
    </w:p>
    <w:p>
      <w:r>
        <w:t>adopt rolling-origin evaluation and richer probabilistic/spatial models; and run</w:t>
      </w:r>
    </w:p>
    <w:p>
      <w:r>
        <w:t>user-centred and governance studies before operational deployment.</w:t>
      </w:r>
    </w:p>
    <w:p>
      <w:pPr>
        <w:pStyle w:val="Heading2"/>
      </w:pPr>
      <w:r>
        <w:t>5.8 Conclusion (defensible contribution) (C5.6)</w:t>
      </w:r>
    </w:p>
    <w:p>
      <w:r>
        <w:t>The project's **strongest demonstrated contribution is the development of an integrated,</w:t>
      </w:r>
    </w:p>
    <w:p>
      <w:r>
        <w:t>reproducible data-processing and experimental-prediction workflow** — including</w:t>
      </w:r>
    </w:p>
    <w:p>
      <w:r>
        <w:t>leakage-controlled feature engineering, two mathematically defined market-stress targets,</w:t>
      </w:r>
    </w:p>
    <w:p>
      <w:r>
        <w:t>time-respecting validation and a working scoring prototype — **together with an honest</w:t>
      </w:r>
    </w:p>
    <w:p>
      <w:r>
        <w:t>diagnosis of why a reliably generalisable early-warning model was not established**. The</w:t>
      </w:r>
    </w:p>
    <w:p>
      <w:r>
        <w:t>results show that food price stress is influenced by compound factors, that the target</w:t>
      </w:r>
    </w:p>
    <w:p>
      <w:r>
        <w:t>definition strongly affects apparent predictability, and that later-period generalisation</w:t>
      </w:r>
    </w:p>
    <w:p>
      <w:r>
        <w:t>is severely constrained by currency-regime change. The system should remain a</w:t>
      </w:r>
    </w:p>
    <w:p>
      <w:r>
        <w:t>supplementary decision-support prototype, used only with human review, until its</w:t>
      </w:r>
    </w:p>
    <w:p>
      <w:r>
        <w:t>calibration, temporal stability, coverage and decision value have been demonstrated over</w:t>
      </w:r>
    </w:p>
    <w:p>
      <w:r>
        <w:t>time.</w:t>
      </w:r>
    </w:p>
    <w:p>
      <w:r>
        <w:br w:type="page"/>
      </w:r>
    </w:p>
    <w:p>
      <w:pPr>
        <w:pStyle w:val="Heading1"/>
      </w:pPr>
      <w:r>
        <w:t>References and Source Classification</w:t>
      </w:r>
    </w:p>
    <w:p>
      <w:pPr>
        <w:pStyle w:val="IntenseQuote"/>
      </w:pPr>
      <w:r>
        <w:t>Supplied by the author. 33 unique sources: 21 refereed journal articles + 1 refereed</w:t>
      </w:r>
    </w:p>
    <w:p>
      <w:pPr>
        <w:pStyle w:val="IntenseQuote"/>
      </w:pPr>
      <w:r>
        <w:t>conference paper (22 refereed scholarly works), 1 edited-volume chapter, 1</w:t>
      </w:r>
    </w:p>
    <w:p>
      <w:pPr>
        <w:pStyle w:val="IntenseQuote"/>
      </w:pPr>
      <w:r>
        <w:t>process-model guide, 9 institutional/grey reports. A duplicate entry</w:t>
      </w:r>
    </w:p>
    <w:p>
      <w:pPr>
        <w:pStyle w:val="IntenseQuote"/>
      </w:pPr>
      <w:r>
        <w:t>(Fackler &amp; Goodwin, 2001a/2001b) is merged to one.</w:t>
      </w:r>
    </w:p>
    <w:p>
      <w:pPr>
        <w:pStyle w:val="Heading2"/>
      </w:pPr>
      <w:r>
        <w:t>A. Refereed journal articles (21)</w:t>
      </w:r>
    </w:p>
    <w:p>
      <w:r>
        <w:t xml:space="preserve">Bergmeir, C., &amp; Benítez, J. M. (2012). On the use of cross-validation for time series predictor evaluation. </w:t>
      </w:r>
      <w:r>
        <w:rPr>
          <w:i/>
        </w:rPr>
        <w:t>Information Sciences, 191</w:t>
      </w:r>
      <w:r>
        <w:t>, 192–213. https://doi.org/10.1016/j.ins.2011.12.028</w:t>
      </w:r>
    </w:p>
    <w:p>
      <w:r>
        <w:t xml:space="preserve">Bhalla, G., Handa, S., Angeles, G., &amp; Seidenfeld, D. (2018). The effect of cash transfers and household vulnerability on food security in Zimbabwe. </w:t>
      </w:r>
      <w:r>
        <w:rPr>
          <w:i/>
        </w:rPr>
        <w:t>Food Policy, 74</w:t>
      </w:r>
      <w:r>
        <w:t>, 82–99. https://doi.org/10.1016/j.foodpol.2017.11.007</w:t>
      </w:r>
    </w:p>
    <w:p>
      <w:r>
        <w:t xml:space="preserve">Burke, W. J., &amp; Myers, R. J. (2014). Spatial equilibrium and price transmission between Southern African maize markets connected by informal trade. </w:t>
      </w:r>
      <w:r>
        <w:rPr>
          <w:i/>
        </w:rPr>
        <w:t>Food Policy, 49</w:t>
      </w:r>
      <w:r>
        <w:t>, 59–70. https://doi.org/10.1016/j.foodpol.2014.05.008</w:t>
      </w:r>
    </w:p>
    <w:p>
      <w:r>
        <w:t xml:space="preserve">Busker, T., van den Hurk, B., de Moel, H., van den Homberg, M., van Straaten, C., Odongo, R. A., &amp; Aerts, J. C. J. H. (2024). Predicting food-security crises in the Horn of Africa using machine learning. </w:t>
      </w:r>
      <w:r>
        <w:rPr>
          <w:i/>
        </w:rPr>
        <w:t>Earth's Future, 12</w:t>
      </w:r>
      <w:r>
        <w:t>(8). https://doi.org/10.1029/2023EF004211</w:t>
      </w:r>
    </w:p>
    <w:p>
      <w:r>
        <w:t xml:space="preserve">Davids, T., Meyer, F., &amp; Westhoff, P. (2017). Impact of trade controls on price transmission between southern African maize markets. </w:t>
      </w:r>
      <w:r>
        <w:rPr>
          <w:i/>
        </w:rPr>
        <w:t>Agrekon, 56</w:t>
      </w:r>
      <w:r>
        <w:t>(3), 223–232. https://doi.org/10.1080/03031853.2017.1344133</w:t>
      </w:r>
    </w:p>
    <w:p>
      <w:r>
        <w:t xml:space="preserve">Deaton, A., &amp; Laroque, G. (1992). On the behaviour of commodity prices. </w:t>
      </w:r>
      <w:r>
        <w:rPr>
          <w:i/>
        </w:rPr>
        <w:t>The Review of Economic Studies, 59</w:t>
      </w:r>
      <w:r>
        <w:t>(1), 1. https://doi.org/10.2307/2297923</w:t>
      </w:r>
    </w:p>
    <w:p>
      <w:r>
        <w:t xml:space="preserve">Funk, C., Peterson, P., Landsfeld, M., Pedreros, D., Verdin, J., Shukla, S., Husak, G., Rowland, J., Harrison, L., Hoell, A., &amp; Michaelsen, J. (2015). The climate hazards infrared precipitation with stations—a new environmental record for monitoring extremes. </w:t>
      </w:r>
      <w:r>
        <w:rPr>
          <w:i/>
        </w:rPr>
        <w:t>Scientific Data, 2</w:t>
      </w:r>
      <w:r>
        <w:t>(1), 150066. https://doi.org/10.1038/sdata.2015.66</w:t>
      </w:r>
    </w:p>
    <w:p>
      <w:r>
        <w:t xml:space="preserve">Gilbert, C. L., Christiaensen, L., &amp; Kaminski, J. (2017). Food price seasonality in Africa: Measurement and extent. </w:t>
      </w:r>
      <w:r>
        <w:rPr>
          <w:i/>
        </w:rPr>
        <w:t>Food Policy, 67</w:t>
      </w:r>
      <w:r>
        <w:t>, 119–132. https://doi.org/10.1016/j.foodpol.2016.09.016</w:t>
      </w:r>
    </w:p>
    <w:p>
      <w:r>
        <w:t xml:space="preserve">Mango, N., Zamasiya, B., Makate, C., Nyikahadzoi, K., &amp; Siziba, S. (2014). Factors influencing household food security among smallholder farmers in the Mudzi district of Zimbabwe. </w:t>
      </w:r>
      <w:r>
        <w:rPr>
          <w:i/>
        </w:rPr>
        <w:t>Development Southern Africa, 31</w:t>
      </w:r>
      <w:r>
        <w:t>(4), 625–640. https://doi.org/10.1080/0376835X.2014.911694</w:t>
      </w:r>
    </w:p>
    <w:p>
      <w:r>
        <w:t xml:space="preserve">Melesse, M. B., Tirra, A. N., Homann-Kee Tui, S., Van Rooyen, A. F., &amp; Hauser, M. (2023). Production decisions and food security outcomes of smallholder's livestock market participation: Empirical evidence from Zimbabwe. </w:t>
      </w:r>
      <w:r>
        <w:rPr>
          <w:i/>
        </w:rPr>
        <w:t>Frontiers in Sustainable Food Systems, 7</w:t>
      </w:r>
      <w:r>
        <w:t>. https://doi.org/10.3389/fsufs.2023.1222509</w:t>
      </w:r>
    </w:p>
    <w:p>
      <w:r>
        <w:t xml:space="preserve">Moyo, P. (2024). The political economy of Zimbabwe's food crisis, 2019–2020. </w:t>
      </w:r>
      <w:r>
        <w:rPr>
          <w:i/>
        </w:rPr>
        <w:t>Journal of Asian and African Studies, 59</w:t>
      </w:r>
      <w:r>
        <w:t>(2), 640–655. https://doi.org/10.1177/00219096221120923</w:t>
      </w:r>
    </w:p>
    <w:p>
      <w:r>
        <w:t xml:space="preserve">Mugiyo, H., Magadzire, T., Choruma, D. J., Chimonyo, V. G. P., Manzou, R., Jiri, O., &amp; Mabhaudhi, T. (2023). El Niño's effects on Southern African agriculture in 2023/24 and anticipatory action strategies to reduce the impacts in Zimbabwe. </w:t>
      </w:r>
      <w:r>
        <w:rPr>
          <w:i/>
        </w:rPr>
        <w:t>Atmosphere, 14</w:t>
      </w:r>
      <w:r>
        <w:t>(11), 1692. https://doi.org/10.3390/atmos14111692</w:t>
      </w:r>
    </w:p>
    <w:p>
      <w:r>
        <w:t xml:space="preserve">Phillips, J. G., Cane, M. A., &amp; Rosenzweig, C. (1998). ENSO, seasonal rainfall patterns and simulated maize yield variability in Zimbabwe. </w:t>
      </w:r>
      <w:r>
        <w:rPr>
          <w:i/>
        </w:rPr>
        <w:t>Agricultural and Forest Meteorology, 90</w:t>
      </w:r>
      <w:r>
        <w:t>(1–2), 39–50. https://doi.org/10.1016/S0168-1923(97)00095-6</w:t>
      </w:r>
    </w:p>
    <w:p>
      <w:r>
        <w:t xml:space="preserve">Porteous, O. (2019). High trade costs and their consequences: An estimated dynamic model of African agricultural storage and trade. </w:t>
      </w:r>
      <w:r>
        <w:rPr>
          <w:i/>
        </w:rPr>
        <w:t>American Economic Journal: Applied Economics, 11</w:t>
      </w:r>
      <w:r>
        <w:t>(4), 327–366. https://doi.org/10.1257/app.20170442</w:t>
      </w:r>
    </w:p>
    <w:p>
      <w:r>
        <w:t xml:space="preserve">Reichstein, M., Camps-Valls, G., Stevens, B., Jung, M., Denzler, J., Carvalhais, N., &amp; Prabhat. (2019). Deep learning and process understanding for data-driven Earth system science. </w:t>
      </w:r>
      <w:r>
        <w:rPr>
          <w:i/>
        </w:rPr>
        <w:t>Nature, 566</w:t>
      </w:r>
      <w:r>
        <w:t>(7743), 195–204. https://doi.org/10.1038/s41586-019-0912-1</w:t>
      </w:r>
    </w:p>
    <w:p>
      <w:r>
        <w:t xml:space="preserve">Sazib, N., Mladenova, I. E., &amp; Bolten, J. D. (2020). Assessing the impact of ENSO on agriculture over Africa using Earth observation data. </w:t>
      </w:r>
      <w:r>
        <w:rPr>
          <w:i/>
        </w:rPr>
        <w:t>Frontiers in Sustainable Food Systems, 4</w:t>
      </w:r>
      <w:r>
        <w:t>. https://doi.org/10.3389/fsufs.2020.509914</w:t>
      </w:r>
    </w:p>
    <w:p>
      <w:r>
        <w:t xml:space="preserve">Shukla, S., Arsenault, K. R., Hazra, A., Peters-Lidard, C., Koster, R. D., Davenport, F., Magadzire, T., Funk, C., Kumar, S., McNally, A., Getirana, A., Husak, G., Zaitchik, B., Verdin, J., Nsadisa, F. D., &amp; Becker-Reshef, I. (2020). Improving early warning of drought-driven food insecurity in southern Africa using operational hydrological monitoring and forecasting products. </w:t>
      </w:r>
      <w:r>
        <w:rPr>
          <w:i/>
        </w:rPr>
        <w:t>Natural Hazards and Earth System Sciences, 20</w:t>
      </w:r>
      <w:r>
        <w:t>(4), 1187–1201. https://doi.org/10.5194/nhess-20-1187-2020</w:t>
      </w:r>
    </w:p>
    <w:p>
      <w:r>
        <w:t xml:space="preserve">Symeonidis, L., Prokopczuk, M., Brooks, C., &amp; Lazar, E. (2012). Futures basis, inventory and commodity price volatility: An empirical analysis. </w:t>
      </w:r>
      <w:r>
        <w:rPr>
          <w:i/>
        </w:rPr>
        <w:t>Economic Modelling, 29</w:t>
      </w:r>
      <w:r>
        <w:t>(6), 2651–2663. https://doi.org/10.1016/j.econmod.2012.07.016</w:t>
      </w:r>
    </w:p>
    <w:p>
      <w:r>
        <w:t xml:space="preserve">Tawodzera, G. (2011). Vulnerability in crisis: Urban household food insecurity in Epworth, Harare, Zimbabwe. </w:t>
      </w:r>
      <w:r>
        <w:rPr>
          <w:i/>
        </w:rPr>
        <w:t>Food Security, 3</w:t>
      </w:r>
      <w:r>
        <w:t>(4), 503–520. https://doi.org/10.1007/s12571-011-0152-1</w:t>
      </w:r>
    </w:p>
    <w:p>
      <w:r>
        <w:t xml:space="preserve">Westerveld, J. J. L., van den Homberg, M. J. C., Nobre, G. G., van den Berg, D. L. J., Teklesadik, A. D., &amp; Stuit, S. M. (2021). Forecasting transitions in the state of food security with machine learning using transferable features. </w:t>
      </w:r>
      <w:r>
        <w:rPr>
          <w:i/>
        </w:rPr>
        <w:t>Science of The Total Environment, 786</w:t>
      </w:r>
      <w:r>
        <w:t>, 147366. https://doi.org/10.1016/j.scitotenv.2021.147366</w:t>
      </w:r>
    </w:p>
    <w:p>
      <w:r>
        <w:t xml:space="preserve">Wright, B. D. (2011). The economics of grain price volatility. </w:t>
      </w:r>
      <w:r>
        <w:rPr>
          <w:i/>
        </w:rPr>
        <w:t>Applied Economic Perspectives and Policy, 33</w:t>
      </w:r>
      <w:r>
        <w:t>(1), 32–58. https://doi.org/10.1093/aepp/ppq033</w:t>
      </w:r>
    </w:p>
    <w:p>
      <w:pPr>
        <w:pStyle w:val="Heading2"/>
      </w:pPr>
      <w:r>
        <w:t>B. Refereed conference paper (1)</w:t>
      </w:r>
    </w:p>
    <w:p>
      <w:r>
        <w:t xml:space="preserve">He, S., Li, X., DelSole, T., Ravikumar, P., &amp; Banerjee, A. (2021). Sub-seasonal climate forecasting via machine learning: Challenges, analysis, and advances. </w:t>
      </w:r>
      <w:r>
        <w:rPr>
          <w:i/>
        </w:rPr>
        <w:t>Proceedings of the AAAI Conference on Artificial Intelligence, 35</w:t>
      </w:r>
      <w:r>
        <w:t>(1), 169–177. https://doi.org/10.1609/aaai.v35i1.16090</w:t>
      </w:r>
    </w:p>
    <w:p>
      <w:pPr>
        <w:pStyle w:val="Heading2"/>
      </w:pPr>
      <w:r>
        <w:t>C. Edited-volume chapter (1)</w:t>
      </w:r>
    </w:p>
    <w:p>
      <w:r>
        <w:t xml:space="preserve">Fackler, P. L., &amp; Goodwin, B. K. (2001). Chapter 17: Spatial price analysis. In </w:t>
      </w:r>
      <w:r>
        <w:rPr>
          <w:i/>
        </w:rPr>
        <w:t>Handbook of Agricultural Economics</w:t>
      </w:r>
      <w:r>
        <w:t xml:space="preserve"> (Vol. 1, Part B, pp. 971–1024). https://doi.org/10.1016/S1574-0072(01)10025-3</w:t>
      </w:r>
    </w:p>
    <w:p>
      <w:pPr>
        <w:pStyle w:val="Heading2"/>
      </w:pPr>
      <w:r>
        <w:t>D. Methodological guide (1)</w:t>
      </w:r>
    </w:p>
    <w:p>
      <w:r>
        <w:t xml:space="preserve">Chapman, P., Clinton, J., Kerber, R., Khabaza, T., Reinartz, T., Shearer, C., &amp; Wirth, R. (2000). </w:t>
      </w:r>
      <w:r>
        <w:rPr>
          <w:i/>
        </w:rPr>
        <w:t>CRISP-DM 1.0: Step-by-step data mining guide</w:t>
      </w:r>
      <w:r>
        <w:t>. SPD.</w:t>
      </w:r>
    </w:p>
    <w:p>
      <w:pPr>
        <w:pStyle w:val="Heading2"/>
      </w:pPr>
      <w:r>
        <w:t>E. Institutional / grey literature (9)</w:t>
      </w:r>
    </w:p>
    <w:p>
      <w:r>
        <w:t xml:space="preserve">Kramarenko, V., Engstrom, L. H., Verdier, G., Fernandez, G. C., Oppers, S. E., Hughes, R., McHugh, J., Coats, W. L., &amp; Kramarenko, V. (2010). </w:t>
      </w:r>
      <w:r>
        <w:rPr>
          <w:i/>
        </w:rPr>
        <w:t>Zimbabwe: Challenges and policy options after hyperinflation</w:t>
      </w:r>
      <w:r>
        <w:t xml:space="preserve"> (Departmental Papers 2010/006). International Monetary Fund. https://doi.org/10.5089/9781462309184.087.A001</w:t>
      </w:r>
    </w:p>
    <w:p>
      <w:r>
        <w:t xml:space="preserve">Mahdi, S., &amp; Bonato, M. (2015). </w:t>
      </w:r>
      <w:r>
        <w:rPr>
          <w:i/>
        </w:rPr>
        <w:t>Zimbabwe — Economic growth notes: Spatial integration in Zimbabwean product markets</w:t>
      </w:r>
      <w:r>
        <w:t>. World Bank. https://documents.worldbank.org/en/publication/documents-reports/documentdetail/182101468322447342</w:t>
      </w:r>
    </w:p>
    <w:p>
      <w:r>
        <w:t xml:space="preserve">Mano, R., &amp; Nhemachena, C. (2007). </w:t>
      </w:r>
      <w:r>
        <w:rPr>
          <w:i/>
        </w:rPr>
        <w:t>Assessment of the economic impacts of climate change on agriculture in Zimbabwe: A Ricardian approach</w:t>
      </w:r>
      <w:r>
        <w:t xml:space="preserve"> (Policy Research Working Paper 4292). World Bank. https://doi.org/10.1596/1813-9450-4292</w:t>
      </w:r>
    </w:p>
    <w:p>
      <w:r>
        <w:t xml:space="preserve">WFP. (2025a). </w:t>
      </w:r>
      <w:r>
        <w:rPr>
          <w:i/>
        </w:rPr>
        <w:t>Zimbabwe</w:t>
      </w:r>
      <w:r>
        <w:t>. World Food Programme. https://www.wfp.org/countries/zimbabwe</w:t>
      </w:r>
    </w:p>
    <w:p>
      <w:r>
        <w:t xml:space="preserve">WFP. (2025b, August 3). </w:t>
      </w:r>
      <w:r>
        <w:rPr>
          <w:i/>
        </w:rPr>
        <w:t>Zimbabwe — Food security and markets monitoring report, August 2025</w:t>
      </w:r>
      <w:r>
        <w:t>. ReliefWeb. https://reliefweb.int/report/zimbabwe/zimbabwe-food-security-and-markets-monitoring-report-august-2025</w:t>
      </w:r>
    </w:p>
    <w:p>
      <w:r>
        <w:t xml:space="preserve">World Bank. (2021). </w:t>
      </w:r>
      <w:r>
        <w:rPr>
          <w:i/>
        </w:rPr>
        <w:t>Zimbabwe economic update, June 2021</w:t>
      </w:r>
      <w:r>
        <w:t>. World Bank. https://doi.org/10.1596/35748</w:t>
      </w:r>
    </w:p>
    <w:p>
      <w:r>
        <w:t xml:space="preserve">World Bank. (2025). </w:t>
      </w:r>
      <w:r>
        <w:rPr>
          <w:i/>
        </w:rPr>
        <w:t>Afghanistan, Armenia, Burundi … and 34 more — Monthly food price estimates by product and market</w:t>
      </w:r>
      <w:r>
        <w:t>. https://microdata.worldbank.org/index.php/catalog/4483</w:t>
      </w:r>
    </w:p>
    <w:p>
      <w:r>
        <w:t xml:space="preserve">FEWS NET. (n.d.). </w:t>
      </w:r>
      <w:r>
        <w:rPr>
          <w:i/>
        </w:rPr>
        <w:t>Zimbabwe acute food insecurity classification — February 2024–September 2024</w:t>
      </w:r>
      <w:r>
        <w:t>. Retrieved September 28, 2026, from https://fews.net/zimbabwe-acute-food-insecurity-classification-february-2024-september-2024</w:t>
      </w:r>
    </w:p>
    <w:p>
      <w:r>
        <w:t xml:space="preserve">ZimLAC. (2024). </w:t>
      </w:r>
      <w:r>
        <w:rPr>
          <w:i/>
        </w:rPr>
        <w:t>ZimLAC rural livelihoods assessment report</w:t>
      </w:r>
      <w:r>
        <w:t>. Food and Nutrition Council. https://www.fnc.org.zw/wp-content/uploads/2024/07/2024-ZimLAC-Rural-Livelihoods-Assessment-Report.pdf</w:t>
      </w:r>
    </w:p>
    <w:p>
      <w:pPr>
        <w:pStyle w:val="Heading2"/>
      </w:pPr>
      <w:r>
        <w:t>F. Full 5Cs extraction (C2.5)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Contribution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Critique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Connection to this study</w:t>
            </w:r>
          </w:p>
        </w:tc>
      </w:tr>
      <w:tr>
        <w:tc>
          <w:tcPr>
            <w:tcW w:type="dxa" w:w="1728"/>
          </w:tcPr>
          <w:p>
            <w:r/>
            <w:r>
              <w:t>Bergmeir &amp; Benítez (2012)</w:t>
            </w:r>
          </w:p>
        </w:tc>
        <w:tc>
          <w:tcPr>
            <w:tcW w:type="dxa" w:w="1728"/>
          </w:tcPr>
          <w:p>
            <w:r/>
            <w:r>
              <w:t>Method</w:t>
            </w:r>
          </w:p>
        </w:tc>
        <w:tc>
          <w:tcPr>
            <w:tcW w:type="dxa" w:w="1728"/>
          </w:tcPr>
          <w:p>
            <w:r/>
            <w:r>
              <w:t>Blocked CV is appropriate for time-series evaluation</w:t>
            </w:r>
          </w:p>
        </w:tc>
        <w:tc>
          <w:tcPr>
            <w:tcW w:type="dxa" w:w="1728"/>
          </w:tcPr>
          <w:p>
            <w:r/>
            <w:r>
              <w:t>Methodological reference</w:t>
            </w:r>
          </w:p>
        </w:tc>
        <w:tc>
          <w:tcPr>
            <w:tcW w:type="dxa" w:w="1728"/>
          </w:tcPr>
          <w:p>
            <w:r/>
            <w:r>
              <w:t>Justifies expanding-window CV (Ch.3.8)</w:t>
            </w:r>
          </w:p>
        </w:tc>
      </w:tr>
      <w:tr>
        <w:tc>
          <w:tcPr>
            <w:tcW w:type="dxa" w:w="1728"/>
          </w:tcPr>
          <w:p>
            <w:r/>
            <w:r>
              <w:t>Bhalla et al. (2018)</w:t>
            </w:r>
          </w:p>
        </w:tc>
        <w:tc>
          <w:tcPr>
            <w:tcW w:type="dxa" w:w="1728"/>
          </w:tcPr>
          <w:p>
            <w:r/>
            <w:r>
              <w:t>ZW food security</w:t>
            </w:r>
          </w:p>
        </w:tc>
        <w:tc>
          <w:tcPr>
            <w:tcW w:type="dxa" w:w="1728"/>
          </w:tcPr>
          <w:p>
            <w:r/>
            <w:r>
              <w:t>Cash transfers/vulnerability affect household security</w:t>
            </w:r>
          </w:p>
        </w:tc>
        <w:tc>
          <w:tcPr>
            <w:tcW w:type="dxa" w:w="1728"/>
          </w:tcPr>
          <w:p>
            <w:r/>
            <w:r>
              <w:t>Household level</w:t>
            </w:r>
          </w:p>
        </w:tc>
        <w:tc>
          <w:tcPr>
            <w:tcW w:type="dxa" w:w="1728"/>
          </w:tcPr>
          <w:p>
            <w:r/>
            <w:r>
              <w:t>Scope boundary (market ≠ household)</w:t>
            </w:r>
          </w:p>
        </w:tc>
      </w:tr>
      <w:tr>
        <w:tc>
          <w:tcPr>
            <w:tcW w:type="dxa" w:w="1728"/>
          </w:tcPr>
          <w:p>
            <w:r/>
            <w:r>
              <w:t>Burke &amp; Myers (2014)</w:t>
            </w:r>
          </w:p>
        </w:tc>
        <w:tc>
          <w:tcPr>
            <w:tcW w:type="dxa" w:w="1728"/>
          </w:tcPr>
          <w:p>
            <w:r/>
            <w:r>
              <w:t>Spatial transmission</w:t>
            </w:r>
          </w:p>
        </w:tc>
        <w:tc>
          <w:tcPr>
            <w:tcW w:type="dxa" w:w="1728"/>
          </w:tcPr>
          <w:p>
            <w:r/>
            <w:r>
              <w:t>SADC maize markets integrated but imperfectly</w:t>
            </w:r>
          </w:p>
        </w:tc>
        <w:tc>
          <w:tcPr>
            <w:tcW w:type="dxa" w:w="1728"/>
          </w:tcPr>
          <w:p>
            <w:r/>
            <w:r>
              <w:t>Informal trade hard to measure</w:t>
            </w:r>
          </w:p>
        </w:tc>
        <w:tc>
          <w:tcPr>
            <w:tcW w:type="dxa" w:w="1728"/>
          </w:tcPr>
          <w:p>
            <w:r/>
            <w:r>
              <w:t>Justifies Y2 peer-relative target</w:t>
            </w:r>
          </w:p>
        </w:tc>
      </w:tr>
      <w:tr>
        <w:tc>
          <w:tcPr>
            <w:tcW w:type="dxa" w:w="1728"/>
          </w:tcPr>
          <w:p>
            <w:r/>
            <w:r>
              <w:t>Busker et al. (2024)</w:t>
            </w:r>
          </w:p>
        </w:tc>
        <w:tc>
          <w:tcPr>
            <w:tcW w:type="dxa" w:w="1728"/>
          </w:tcPr>
          <w:p>
            <w:r/>
            <w:r>
              <w:t>ML food security</w:t>
            </w:r>
          </w:p>
        </w:tc>
        <w:tc>
          <w:tcPr>
            <w:tcW w:type="dxa" w:w="1728"/>
          </w:tcPr>
          <w:p>
            <w:r/>
            <w:r>
              <w:t>ML can anticipate food-security crises</w:t>
            </w:r>
          </w:p>
        </w:tc>
        <w:tc>
          <w:tcPr>
            <w:tcW w:type="dxa" w:w="1728"/>
          </w:tcPr>
          <w:p>
            <w:r/>
            <w:r>
              <w:t>Generalisation difficulty</w:t>
            </w:r>
          </w:p>
        </w:tc>
        <w:tc>
          <w:tcPr>
            <w:tcW w:type="dxa" w:w="1728"/>
          </w:tcPr>
          <w:p>
            <w:r/>
            <w:r>
              <w:t>ML-as-candidate + validation caution</w:t>
            </w:r>
          </w:p>
        </w:tc>
      </w:tr>
      <w:tr>
        <w:tc>
          <w:tcPr>
            <w:tcW w:type="dxa" w:w="1728"/>
          </w:tcPr>
          <w:p>
            <w:r/>
            <w:r>
              <w:t>Chapman et al. (2000)</w:t>
            </w:r>
          </w:p>
        </w:tc>
        <w:tc>
          <w:tcPr>
            <w:tcW w:type="dxa" w:w="1728"/>
          </w:tcPr>
          <w:p>
            <w:r/>
            <w:r>
              <w:t>Method</w:t>
            </w:r>
          </w:p>
        </w:tc>
        <w:tc>
          <w:tcPr>
            <w:tcW w:type="dxa" w:w="1728"/>
          </w:tcPr>
          <w:p>
            <w:r/>
            <w:r>
              <w:t>CRISP-DM process model</w:t>
            </w:r>
          </w:p>
        </w:tc>
        <w:tc>
          <w:tcPr>
            <w:tcW w:type="dxa" w:w="1728"/>
          </w:tcPr>
          <w:p>
            <w:r/>
            <w:r>
              <w:t>Generic</w:t>
            </w:r>
          </w:p>
        </w:tc>
        <w:tc>
          <w:tcPr>
            <w:tcW w:type="dxa" w:w="1728"/>
          </w:tcPr>
          <w:p>
            <w:r/>
            <w:r>
              <w:t>Methodology (Ch.3.2)</w:t>
            </w:r>
          </w:p>
        </w:tc>
      </w:tr>
      <w:tr>
        <w:tc>
          <w:tcPr>
            <w:tcW w:type="dxa" w:w="1728"/>
          </w:tcPr>
          <w:p>
            <w:r/>
            <w:r>
              <w:t>Davids et al. (2017)</w:t>
            </w:r>
          </w:p>
        </w:tc>
        <w:tc>
          <w:tcPr>
            <w:tcW w:type="dxa" w:w="1728"/>
          </w:tcPr>
          <w:p>
            <w:r/>
            <w:r>
              <w:t>Trade policy</w:t>
            </w:r>
          </w:p>
        </w:tc>
        <w:tc>
          <w:tcPr>
            <w:tcW w:type="dxa" w:w="1728"/>
          </w:tcPr>
          <w:p>
            <w:r/>
            <w:r>
              <w:t>Trade controls distort price transmission</w:t>
            </w:r>
          </w:p>
        </w:tc>
        <w:tc>
          <w:tcPr>
            <w:tcW w:type="dxa" w:w="1728"/>
          </w:tcPr>
          <w:p>
            <w:r/>
            <w:r>
              <w:t>Maize-only</w:t>
            </w:r>
          </w:p>
        </w:tc>
        <w:tc>
          <w:tcPr>
            <w:tcW w:type="dxa" w:w="1728"/>
          </w:tcPr>
          <w:p>
            <w:r/>
            <w:r>
              <w:t>Supports peer-relative design</w:t>
            </w:r>
          </w:p>
        </w:tc>
      </w:tr>
      <w:tr>
        <w:tc>
          <w:tcPr>
            <w:tcW w:type="dxa" w:w="1728"/>
          </w:tcPr>
          <w:p>
            <w:r/>
            <w:r>
              <w:t>Deaton &amp; Laroque (1992)</w:t>
            </w:r>
          </w:p>
        </w:tc>
        <w:tc>
          <w:tcPr>
            <w:tcW w:type="dxa" w:w="1728"/>
          </w:tcPr>
          <w:p>
            <w:r/>
            <w:r>
              <w:t>Theory</w:t>
            </w:r>
          </w:p>
        </w:tc>
        <w:tc>
          <w:tcPr>
            <w:tcW w:type="dxa" w:w="1728"/>
          </w:tcPr>
          <w:p>
            <w:r/>
            <w:r>
              <w:t>Storage/expectations cause price spikes</w:t>
            </w:r>
          </w:p>
        </w:tc>
        <w:tc>
          <w:tcPr>
            <w:tcW w:type="dxa" w:w="1728"/>
          </w:tcPr>
          <w:p>
            <w:r/>
            <w:r>
              <w:t>No local markets</w:t>
            </w:r>
          </w:p>
        </w:tc>
        <w:tc>
          <w:tcPr>
            <w:tcW w:type="dxa" w:w="1728"/>
          </w:tcPr>
          <w:p>
            <w:r/>
            <w:r>
              <w:t>Justifies standardised-return target</w:t>
            </w:r>
          </w:p>
        </w:tc>
      </w:tr>
      <w:tr>
        <w:tc>
          <w:tcPr>
            <w:tcW w:type="dxa" w:w="1728"/>
          </w:tcPr>
          <w:p>
            <w:r/>
            <w:r>
              <w:t>Fackler &amp; Goodwin (2001)</w:t>
            </w:r>
          </w:p>
        </w:tc>
        <w:tc>
          <w:tcPr>
            <w:tcW w:type="dxa" w:w="1728"/>
          </w:tcPr>
          <w:p>
            <w:r/>
            <w:r>
              <w:t>Theory/method</w:t>
            </w:r>
          </w:p>
        </w:tc>
        <w:tc>
          <w:tcPr>
            <w:tcW w:type="dxa" w:w="1728"/>
          </w:tcPr>
          <w:p>
            <w:r/>
            <w:r>
              <w:t>Spatial price differences reflect trade costs</w:t>
            </w:r>
          </w:p>
        </w:tc>
        <w:tc>
          <w:tcPr>
            <w:tcW w:type="dxa" w:w="1728"/>
          </w:tcPr>
          <w:p>
            <w:r/>
            <w:r>
              <w:t>Conceptual</w:t>
            </w:r>
          </w:p>
        </w:tc>
        <w:tc>
          <w:tcPr>
            <w:tcW w:type="dxa" w:w="1728"/>
          </w:tcPr>
          <w:p>
            <w:r/>
            <w:r>
              <w:t>Frames spatial-price analysis</w:t>
            </w:r>
          </w:p>
        </w:tc>
      </w:tr>
      <w:tr>
        <w:tc>
          <w:tcPr>
            <w:tcW w:type="dxa" w:w="1728"/>
          </w:tcPr>
          <w:p>
            <w:r/>
            <w:r>
              <w:t>Funk et al. (2015)</w:t>
            </w:r>
          </w:p>
        </w:tc>
        <w:tc>
          <w:tcPr>
            <w:tcW w:type="dxa" w:w="1728"/>
          </w:tcPr>
          <w:p>
            <w:r/>
            <w:r>
              <w:t>Dataset</w:t>
            </w:r>
          </w:p>
        </w:tc>
        <w:tc>
          <w:tcPr>
            <w:tcW w:type="dxa" w:w="1728"/>
          </w:tcPr>
          <w:p>
            <w:r/>
            <w:r>
              <w:t>CHIRPS station-corrected rainfall record</w:t>
            </w:r>
          </w:p>
        </w:tc>
        <w:tc>
          <w:tcPr>
            <w:tcW w:type="dxa" w:w="1728"/>
          </w:tcPr>
          <w:p>
            <w:r/>
            <w:r>
              <w:t>0.05° estimation error</w:t>
            </w:r>
          </w:p>
        </w:tc>
        <w:tc>
          <w:tcPr>
            <w:tcW w:type="dxa" w:w="1728"/>
          </w:tcPr>
          <w:p>
            <w:r/>
            <w:r>
              <w:t>Rainfall input (Ch.3.4)</w:t>
            </w:r>
          </w:p>
        </w:tc>
      </w:tr>
      <w:tr>
        <w:tc>
          <w:tcPr>
            <w:tcW w:type="dxa" w:w="1728"/>
          </w:tcPr>
          <w:p>
            <w:r/>
            <w:r>
              <w:t>Gilbert et al. (2017)</w:t>
            </w:r>
          </w:p>
        </w:tc>
        <w:tc>
          <w:tcPr>
            <w:tcW w:type="dxa" w:w="1728"/>
          </w:tcPr>
          <w:p>
            <w:r/>
            <w:r>
              <w:t>Seasonality</w:t>
            </w:r>
          </w:p>
        </w:tc>
        <w:tc>
          <w:tcPr>
            <w:tcW w:type="dxa" w:w="1728"/>
          </w:tcPr>
          <w:p>
            <w:r/>
            <w:r>
              <w:t>Predictable African price seasonality</w:t>
            </w:r>
          </w:p>
        </w:tc>
        <w:tc>
          <w:tcPr>
            <w:tcW w:type="dxa" w:w="1728"/>
          </w:tcPr>
          <w:p>
            <w:r/>
            <w:r>
              <w:t>Africa-wide</w:t>
            </w:r>
          </w:p>
        </w:tc>
        <w:tc>
          <w:tcPr>
            <w:tcW w:type="dxa" w:w="1728"/>
          </w:tcPr>
          <w:p>
            <w:r/>
            <w:r>
              <w:t>Justifies seasonal features</w:t>
            </w:r>
          </w:p>
        </w:tc>
      </w:tr>
      <w:tr>
        <w:tc>
          <w:tcPr>
            <w:tcW w:type="dxa" w:w="1728"/>
          </w:tcPr>
          <w:p>
            <w:r/>
            <w:r>
              <w:t>He et al. (2021)</w:t>
            </w:r>
          </w:p>
        </w:tc>
        <w:tc>
          <w:tcPr>
            <w:tcW w:type="dxa" w:w="1728"/>
          </w:tcPr>
          <w:p>
            <w:r/>
            <w:r>
              <w:t>ML climate</w:t>
            </w:r>
          </w:p>
        </w:tc>
        <w:tc>
          <w:tcPr>
            <w:tcW w:type="dxa" w:w="1728"/>
          </w:tcPr>
          <w:p>
            <w:r/>
            <w:r>
              <w:t>Sub-seasonal ML skill is modest</w:t>
            </w:r>
          </w:p>
        </w:tc>
        <w:tc>
          <w:tcPr>
            <w:tcW w:type="dxa" w:w="1728"/>
          </w:tcPr>
          <w:p>
            <w:r/>
            <w:r>
              <w:t>Different domain</w:t>
            </w:r>
          </w:p>
        </w:tc>
        <w:tc>
          <w:tcPr>
            <w:tcW w:type="dxa" w:w="1728"/>
          </w:tcPr>
          <w:p>
            <w:r/>
            <w:r>
              <w:t>Calibrates expectations</w:t>
            </w:r>
          </w:p>
        </w:tc>
      </w:tr>
      <w:tr>
        <w:tc>
          <w:tcPr>
            <w:tcW w:type="dxa" w:w="1728"/>
          </w:tcPr>
          <w:p>
            <w:r/>
            <w:r>
              <w:t>Kramarenko et al. (2010)</w:t>
            </w:r>
          </w:p>
        </w:tc>
        <w:tc>
          <w:tcPr>
            <w:tcW w:type="dxa" w:w="1728"/>
          </w:tcPr>
          <w:p>
            <w:r/>
            <w:r>
              <w:t>Macro/currency</w:t>
            </w:r>
          </w:p>
        </w:tc>
        <w:tc>
          <w:tcPr>
            <w:tcW w:type="dxa" w:w="1728"/>
          </w:tcPr>
          <w:p>
            <w:r/>
            <w:r>
              <w:t>Hyperinflation and post-crisis instability</w:t>
            </w:r>
          </w:p>
        </w:tc>
        <w:tc>
          <w:tcPr>
            <w:tcW w:type="dxa" w:w="1728"/>
          </w:tcPr>
          <w:p>
            <w:r/>
            <w:r>
              <w:t>Macro-level</w:t>
            </w:r>
          </w:p>
        </w:tc>
        <w:tc>
          <w:tcPr>
            <w:tcW w:type="dxa" w:w="1728"/>
          </w:tcPr>
          <w:p>
            <w:r/>
            <w:r>
              <w:t>Currency-regime handling (Ch.3.4.5)</w:t>
            </w:r>
          </w:p>
        </w:tc>
      </w:tr>
      <w:tr>
        <w:tc>
          <w:tcPr>
            <w:tcW w:type="dxa" w:w="1728"/>
          </w:tcPr>
          <w:p>
            <w:r/>
            <w:r>
              <w:t>Mahdi &amp; Bonato (2015)</w:t>
            </w:r>
          </w:p>
        </w:tc>
        <w:tc>
          <w:tcPr>
            <w:tcW w:type="dxa" w:w="1728"/>
          </w:tcPr>
          <w:p>
            <w:r/>
            <w:r>
              <w:t>ZW markets</w:t>
            </w:r>
          </w:p>
        </w:tc>
        <w:tc>
          <w:tcPr>
            <w:tcW w:type="dxa" w:w="1728"/>
          </w:tcPr>
          <w:p>
            <w:r/>
            <w:r>
              <w:t>Spatial integration in ZW product markets</w:t>
            </w:r>
          </w:p>
        </w:tc>
        <w:tc>
          <w:tcPr>
            <w:tcW w:type="dxa" w:w="1728"/>
          </w:tcPr>
          <w:p>
            <w:r/>
            <w:r>
              <w:t>Report</w:t>
            </w:r>
          </w:p>
        </w:tc>
        <w:tc>
          <w:tcPr>
            <w:tcW w:type="dxa" w:w="1728"/>
          </w:tcPr>
          <w:p>
            <w:r/>
            <w:r>
              <w:t>Supports ZW spatial-price relevance</w:t>
            </w:r>
          </w:p>
        </w:tc>
      </w:tr>
      <w:tr>
        <w:tc>
          <w:tcPr>
            <w:tcW w:type="dxa" w:w="1728"/>
          </w:tcPr>
          <w:p>
            <w:r/>
            <w:r>
              <w:t>Mango et al. (2014)</w:t>
            </w:r>
          </w:p>
        </w:tc>
        <w:tc>
          <w:tcPr>
            <w:tcW w:type="dxa" w:w="1728"/>
          </w:tcPr>
          <w:p>
            <w:r/>
            <w:r>
              <w:t>ZW food security</w:t>
            </w:r>
          </w:p>
        </w:tc>
        <w:tc>
          <w:tcPr>
            <w:tcW w:type="dxa" w:w="1728"/>
          </w:tcPr>
          <w:p>
            <w:r/>
            <w:r>
              <w:t>Household drivers in Mudzi</w:t>
            </w:r>
          </w:p>
        </w:tc>
        <w:tc>
          <w:tcPr>
            <w:tcW w:type="dxa" w:w="1728"/>
          </w:tcPr>
          <w:p>
            <w:r/>
            <w:r>
              <w:t>Household level</w:t>
            </w:r>
          </w:p>
        </w:tc>
        <w:tc>
          <w:tcPr>
            <w:tcW w:type="dxa" w:w="1728"/>
          </w:tcPr>
          <w:p>
            <w:r/>
            <w:r>
              <w:t>Scope boundary</w:t>
            </w:r>
          </w:p>
        </w:tc>
      </w:tr>
      <w:tr>
        <w:tc>
          <w:tcPr>
            <w:tcW w:type="dxa" w:w="1728"/>
          </w:tcPr>
          <w:p>
            <w:r/>
            <w:r>
              <w:t>Mano &amp; Nhemachena (2007)</w:t>
            </w:r>
          </w:p>
        </w:tc>
        <w:tc>
          <w:tcPr>
            <w:tcW w:type="dxa" w:w="1728"/>
          </w:tcPr>
          <w:p>
            <w:r/>
            <w:r>
              <w:t>Climate/agriculture</w:t>
            </w:r>
          </w:p>
        </w:tc>
        <w:tc>
          <w:tcPr>
            <w:tcW w:type="dxa" w:w="1728"/>
          </w:tcPr>
          <w:p>
            <w:r/>
            <w:r>
              <w:t>Climate change impacts on ZW agriculture</w:t>
            </w:r>
          </w:p>
        </w:tc>
        <w:tc>
          <w:tcPr>
            <w:tcW w:type="dxa" w:w="1728"/>
          </w:tcPr>
          <w:p>
            <w:r/>
            <w:r>
              <w:t>Model-based</w:t>
            </w:r>
          </w:p>
        </w:tc>
        <w:tc>
          <w:tcPr>
            <w:tcW w:type="dxa" w:w="1728"/>
          </w:tcPr>
          <w:p>
            <w:r/>
            <w:r>
              <w:t>Rainfall→agriculture chain</w:t>
            </w:r>
          </w:p>
        </w:tc>
      </w:tr>
      <w:tr>
        <w:tc>
          <w:tcPr>
            <w:tcW w:type="dxa" w:w="1728"/>
          </w:tcPr>
          <w:p>
            <w:r/>
            <w:r>
              <w:t>Melesse et al. (2023)</w:t>
            </w:r>
          </w:p>
        </w:tc>
        <w:tc>
          <w:tcPr>
            <w:tcW w:type="dxa" w:w="1728"/>
          </w:tcPr>
          <w:p>
            <w:r/>
            <w:r>
              <w:t>ZW livelihoods</w:t>
            </w:r>
          </w:p>
        </w:tc>
        <w:tc>
          <w:tcPr>
            <w:tcW w:type="dxa" w:w="1728"/>
          </w:tcPr>
          <w:p>
            <w:r/>
            <w:r>
              <w:t>Livestock market participation &amp; food security</w:t>
            </w:r>
          </w:p>
        </w:tc>
        <w:tc>
          <w:tcPr>
            <w:tcW w:type="dxa" w:w="1728"/>
          </w:tcPr>
          <w:p>
            <w:r/>
            <w:r>
              <w:t>Household level</w:t>
            </w:r>
          </w:p>
        </w:tc>
        <w:tc>
          <w:tcPr>
            <w:tcW w:type="dxa" w:w="1728"/>
          </w:tcPr>
          <w:p>
            <w:r/>
            <w:r>
              <w:t>Scope boundary</w:t>
            </w:r>
          </w:p>
        </w:tc>
      </w:tr>
      <w:tr>
        <w:tc>
          <w:tcPr>
            <w:tcW w:type="dxa" w:w="1728"/>
          </w:tcPr>
          <w:p>
            <w:r/>
            <w:r>
              <w:t>Moyo (2024)</w:t>
            </w:r>
          </w:p>
        </w:tc>
        <w:tc>
          <w:tcPr>
            <w:tcW w:type="dxa" w:w="1728"/>
          </w:tcPr>
          <w:p>
            <w:r/>
            <w:r>
              <w:t>Political economy</w:t>
            </w:r>
          </w:p>
        </w:tc>
        <w:tc>
          <w:tcPr>
            <w:tcW w:type="dxa" w:w="1728"/>
          </w:tcPr>
          <w:p>
            <w:r/>
            <w:r>
              <w:t>ZW 2019–2020 food crisis drivers</w:t>
            </w:r>
          </w:p>
        </w:tc>
        <w:tc>
          <w:tcPr>
            <w:tcW w:type="dxa" w:w="1728"/>
          </w:tcPr>
          <w:p>
            <w:r/>
            <w:r>
              <w:t>Qualitative</w:t>
            </w:r>
          </w:p>
        </w:tc>
        <w:tc>
          <w:tcPr>
            <w:tcW w:type="dxa" w:w="1728"/>
          </w:tcPr>
          <w:p>
            <w:r/>
            <w:r>
              <w:t>Context for price stress</w:t>
            </w:r>
          </w:p>
        </w:tc>
      </w:tr>
      <w:tr>
        <w:tc>
          <w:tcPr>
            <w:tcW w:type="dxa" w:w="1728"/>
          </w:tcPr>
          <w:p>
            <w:r/>
            <w:r>
              <w:t>Mugiyo et al. (2023)</w:t>
            </w:r>
          </w:p>
        </w:tc>
        <w:tc>
          <w:tcPr>
            <w:tcW w:type="dxa" w:w="1728"/>
          </w:tcPr>
          <w:p>
            <w:r/>
            <w:r>
              <w:t>Climate/anticipatory</w:t>
            </w:r>
          </w:p>
        </w:tc>
        <w:tc>
          <w:tcPr>
            <w:tcW w:type="dxa" w:w="1728"/>
          </w:tcPr>
          <w:p>
            <w:r/>
            <w:r>
              <w:t>2023/24 El Niño impacts and action</w:t>
            </w:r>
          </w:p>
        </w:tc>
        <w:tc>
          <w:tcPr>
            <w:tcW w:type="dxa" w:w="1728"/>
          </w:tcPr>
          <w:p>
            <w:r/>
            <w:r>
              <w:t>Zimbabwe focus</w:t>
            </w:r>
          </w:p>
        </w:tc>
        <w:tc>
          <w:tcPr>
            <w:tcW w:type="dxa" w:w="1728"/>
          </w:tcPr>
          <w:p>
            <w:r/>
            <w:r>
              <w:t>Rainfall driver relevance</w:t>
            </w:r>
          </w:p>
        </w:tc>
      </w:tr>
      <w:tr>
        <w:tc>
          <w:tcPr>
            <w:tcW w:type="dxa" w:w="1728"/>
          </w:tcPr>
          <w:p>
            <w:r/>
            <w:r>
              <w:t>Phillips et al. (1998)</w:t>
            </w:r>
          </w:p>
        </w:tc>
        <w:tc>
          <w:tcPr>
            <w:tcW w:type="dxa" w:w="1728"/>
          </w:tcPr>
          <w:p>
            <w:r/>
            <w:r>
              <w:t>Climate/agriculture</w:t>
            </w:r>
          </w:p>
        </w:tc>
        <w:tc>
          <w:tcPr>
            <w:tcW w:type="dxa" w:w="1728"/>
          </w:tcPr>
          <w:p>
            <w:r/>
            <w:r>
              <w:t>ENSO–rainfall–maize yield in ZW</w:t>
            </w:r>
          </w:p>
        </w:tc>
        <w:tc>
          <w:tcPr>
            <w:tcW w:type="dxa" w:w="1728"/>
          </w:tcPr>
          <w:p>
            <w:r/>
            <w:r>
              <w:t>Simulation</w:t>
            </w:r>
          </w:p>
        </w:tc>
        <w:tc>
          <w:tcPr>
            <w:tcW w:type="dxa" w:w="1728"/>
          </w:tcPr>
          <w:p>
            <w:r/>
            <w:r>
              <w:t>Rainfall→outcome chain</w:t>
            </w:r>
          </w:p>
        </w:tc>
      </w:tr>
      <w:tr>
        <w:tc>
          <w:tcPr>
            <w:tcW w:type="dxa" w:w="1728"/>
          </w:tcPr>
          <w:p>
            <w:r/>
            <w:r>
              <w:t>Porteous (2019)</w:t>
            </w:r>
          </w:p>
        </w:tc>
        <w:tc>
          <w:tcPr>
            <w:tcW w:type="dxa" w:w="1728"/>
          </w:tcPr>
          <w:p>
            <w:r/>
            <w:r>
              <w:t>Trade/storage</w:t>
            </w:r>
          </w:p>
        </w:tc>
        <w:tc>
          <w:tcPr>
            <w:tcW w:type="dxa" w:w="1728"/>
          </w:tcPr>
          <w:p>
            <w:r/>
            <w:r>
              <w:t>Trade costs shape storage/prices</w:t>
            </w:r>
          </w:p>
        </w:tc>
        <w:tc>
          <w:tcPr>
            <w:tcW w:type="dxa" w:w="1728"/>
          </w:tcPr>
          <w:p>
            <w:r/>
            <w:r>
              <w:t>Model-based</w:t>
            </w:r>
          </w:p>
        </w:tc>
        <w:tc>
          <w:tcPr>
            <w:tcW w:type="dxa" w:w="1728"/>
          </w:tcPr>
          <w:p>
            <w:r/>
            <w:r>
              <w:t>Supports spatial features</w:t>
            </w:r>
          </w:p>
        </w:tc>
      </w:tr>
      <w:tr>
        <w:tc>
          <w:tcPr>
            <w:tcW w:type="dxa" w:w="1728"/>
          </w:tcPr>
          <w:p>
            <w:r/>
            <w:r>
              <w:t>Reichstein et al. (2019)</w:t>
            </w:r>
          </w:p>
        </w:tc>
        <w:tc>
          <w:tcPr>
            <w:tcW w:type="dxa" w:w="1728"/>
          </w:tcPr>
          <w:p>
            <w:r/>
            <w:r>
              <w:t>ML/ESS</w:t>
            </w:r>
          </w:p>
        </w:tc>
        <w:tc>
          <w:tcPr>
            <w:tcW w:type="dxa" w:w="1728"/>
          </w:tcPr>
          <w:p>
            <w:r/>
            <w:r>
              <w:t>ML complements process science; generalisation risks</w:t>
            </w:r>
          </w:p>
        </w:tc>
        <w:tc>
          <w:tcPr>
            <w:tcW w:type="dxa" w:w="1728"/>
          </w:tcPr>
          <w:p>
            <w:r/>
            <w:r>
              <w:t>Deep-learning focus</w:t>
            </w:r>
          </w:p>
        </w:tc>
        <w:tc>
          <w:tcPr>
            <w:tcW w:type="dxa" w:w="1728"/>
          </w:tcPr>
          <w:p>
            <w:r/>
            <w:r>
              <w:t>Justifies caution</w:t>
            </w:r>
          </w:p>
        </w:tc>
      </w:tr>
      <w:tr>
        <w:tc>
          <w:tcPr>
            <w:tcW w:type="dxa" w:w="1728"/>
          </w:tcPr>
          <w:p>
            <w:r/>
            <w:r>
              <w:t>Sazib et al. (2020)</w:t>
            </w:r>
          </w:p>
        </w:tc>
        <w:tc>
          <w:tcPr>
            <w:tcW w:type="dxa" w:w="1728"/>
          </w:tcPr>
          <w:p>
            <w:r/>
            <w:r>
              <w:t>Climate/EO</w:t>
            </w:r>
          </w:p>
        </w:tc>
        <w:tc>
          <w:tcPr>
            <w:tcW w:type="dxa" w:w="1728"/>
          </w:tcPr>
          <w:p>
            <w:r/>
            <w:r>
              <w:t>ENSO impacts on African agriculture</w:t>
            </w:r>
          </w:p>
        </w:tc>
        <w:tc>
          <w:tcPr>
            <w:tcW w:type="dxa" w:w="1728"/>
          </w:tcPr>
          <w:p>
            <w:r/>
            <w:r>
              <w:t>Continental</w:t>
            </w:r>
          </w:p>
        </w:tc>
        <w:tc>
          <w:tcPr>
            <w:tcW w:type="dxa" w:w="1728"/>
          </w:tcPr>
          <w:p>
            <w:r/>
            <w:r>
              <w:t>Rainfall driver relevance</w:t>
            </w:r>
          </w:p>
        </w:tc>
      </w:tr>
      <w:tr>
        <w:tc>
          <w:tcPr>
            <w:tcW w:type="dxa" w:w="1728"/>
          </w:tcPr>
          <w:p>
            <w:r/>
            <w:r>
              <w:t>Shukla et al. (2020)</w:t>
            </w:r>
          </w:p>
        </w:tc>
        <w:tc>
          <w:tcPr>
            <w:tcW w:type="dxa" w:w="1728"/>
          </w:tcPr>
          <w:p>
            <w:r/>
            <w:r>
              <w:t>Early warning</w:t>
            </w:r>
          </w:p>
        </w:tc>
        <w:tc>
          <w:tcPr>
            <w:tcW w:type="dxa" w:w="1728"/>
          </w:tcPr>
          <w:p>
            <w:r/>
            <w:r>
              <w:t>Hydrological monitoring aids drought warning</w:t>
            </w:r>
          </w:p>
        </w:tc>
        <w:tc>
          <w:tcPr>
            <w:tcW w:type="dxa" w:w="1728"/>
          </w:tcPr>
          <w:p>
            <w:r/>
            <w:r>
              <w:t>Not market prices</w:t>
            </w:r>
          </w:p>
        </w:tc>
        <w:tc>
          <w:tcPr>
            <w:tcW w:type="dxa" w:w="1728"/>
          </w:tcPr>
          <w:p>
            <w:r/>
            <w:r>
              <w:t>Indirect/lag warning link</w:t>
            </w:r>
          </w:p>
        </w:tc>
      </w:tr>
      <w:tr>
        <w:tc>
          <w:tcPr>
            <w:tcW w:type="dxa" w:w="1728"/>
          </w:tcPr>
          <w:p>
            <w:r/>
            <w:r>
              <w:t>Symeonidis et al. (2012)</w:t>
            </w:r>
          </w:p>
        </w:tc>
        <w:tc>
          <w:tcPr>
            <w:tcW w:type="dxa" w:w="1728"/>
          </w:tcPr>
          <w:p>
            <w:r/>
            <w:r>
              <w:t>Volatility</w:t>
            </w:r>
          </w:p>
        </w:tc>
        <w:tc>
          <w:tcPr>
            <w:tcW w:type="dxa" w:w="1728"/>
          </w:tcPr>
          <w:p>
            <w:r/>
            <w:r>
              <w:t>Basis/inventory link to volatility</w:t>
            </w:r>
          </w:p>
        </w:tc>
        <w:tc>
          <w:tcPr>
            <w:tcW w:type="dxa" w:w="1728"/>
          </w:tcPr>
          <w:p>
            <w:r/>
            <w:r>
              <w:t>Futures markets</w:t>
            </w:r>
          </w:p>
        </w:tc>
        <w:tc>
          <w:tcPr>
            <w:tcW w:type="dxa" w:w="1728"/>
          </w:tcPr>
          <w:p>
            <w:r/>
            <w:r>
              <w:t>Supports relative-price framing</w:t>
            </w:r>
          </w:p>
        </w:tc>
      </w:tr>
      <w:tr>
        <w:tc>
          <w:tcPr>
            <w:tcW w:type="dxa" w:w="1728"/>
          </w:tcPr>
          <w:p>
            <w:r/>
            <w:r>
              <w:t>Tawodzera (2011)</w:t>
            </w:r>
          </w:p>
        </w:tc>
        <w:tc>
          <w:tcPr>
            <w:tcW w:type="dxa" w:w="1728"/>
          </w:tcPr>
          <w:p>
            <w:r/>
            <w:r>
              <w:t>ZW food security</w:t>
            </w:r>
          </w:p>
        </w:tc>
        <w:tc>
          <w:tcPr>
            <w:tcW w:type="dxa" w:w="1728"/>
          </w:tcPr>
          <w:p>
            <w:r/>
            <w:r>
              <w:t>Urban food insecurity (Epworth)</w:t>
            </w:r>
          </w:p>
        </w:tc>
        <w:tc>
          <w:tcPr>
            <w:tcW w:type="dxa" w:w="1728"/>
          </w:tcPr>
          <w:p>
            <w:r/>
            <w:r>
              <w:t>Household level</w:t>
            </w:r>
          </w:p>
        </w:tc>
        <w:tc>
          <w:tcPr>
            <w:tcW w:type="dxa" w:w="1728"/>
          </w:tcPr>
          <w:p>
            <w:r/>
            <w:r>
              <w:t>Scope boundary</w:t>
            </w:r>
          </w:p>
        </w:tc>
      </w:tr>
      <w:tr>
        <w:tc>
          <w:tcPr>
            <w:tcW w:type="dxa" w:w="1728"/>
          </w:tcPr>
          <w:p>
            <w:r/>
            <w:r>
              <w:t>Westerveld et al. (2021)</w:t>
            </w:r>
          </w:p>
        </w:tc>
        <w:tc>
          <w:tcPr>
            <w:tcW w:type="dxa" w:w="1728"/>
          </w:tcPr>
          <w:p>
            <w:r/>
            <w:r>
              <w:t>ML food security</w:t>
            </w:r>
          </w:p>
        </w:tc>
        <w:tc>
          <w:tcPr>
            <w:tcW w:type="dxa" w:w="1728"/>
          </w:tcPr>
          <w:p>
            <w:r/>
            <w:r>
              <w:t>Transferable features forecast transitions</w:t>
            </w:r>
          </w:p>
        </w:tc>
        <w:tc>
          <w:tcPr>
            <w:tcW w:type="dxa" w:w="1728"/>
          </w:tcPr>
          <w:p>
            <w:r/>
            <w:r>
              <w:t>Different target</w:t>
            </w:r>
          </w:p>
        </w:tc>
        <w:tc>
          <w:tcPr>
            <w:tcW w:type="dxa" w:w="1728"/>
          </w:tcPr>
          <w:p>
            <w:r/>
            <w:r>
              <w:t>ML-as-candidate</w:t>
            </w:r>
          </w:p>
        </w:tc>
      </w:tr>
      <w:tr>
        <w:tc>
          <w:tcPr>
            <w:tcW w:type="dxa" w:w="1728"/>
          </w:tcPr>
          <w:p>
            <w:r/>
            <w:r>
              <w:t>WFP (2025a, 2025b)</w:t>
            </w:r>
          </w:p>
        </w:tc>
        <w:tc>
          <w:tcPr>
            <w:tcW w:type="dxa" w:w="1728"/>
          </w:tcPr>
          <w:p>
            <w:r/>
            <w:r>
              <w:t>Monitoring</w:t>
            </w:r>
          </w:p>
        </w:tc>
        <w:tc>
          <w:tcPr>
            <w:tcW w:type="dxa" w:w="1728"/>
          </w:tcPr>
          <w:p>
            <w:r/>
            <w:r>
              <w:t>ZW market/food-security monitoring</w:t>
            </w:r>
          </w:p>
        </w:tc>
        <w:tc>
          <w:tcPr>
            <w:tcW w:type="dxa" w:w="1728"/>
          </w:tcPr>
          <w:p>
            <w:r/>
            <w:r>
              <w:t>Descriptive</w:t>
            </w:r>
          </w:p>
        </w:tc>
        <w:tc>
          <w:tcPr>
            <w:tcW w:type="dxa" w:w="1728"/>
          </w:tcPr>
          <w:p>
            <w:r/>
            <w:r>
              <w:t>Baseline capability (gap table)</w:t>
            </w:r>
          </w:p>
        </w:tc>
      </w:tr>
      <w:tr>
        <w:tc>
          <w:tcPr>
            <w:tcW w:type="dxa" w:w="1728"/>
          </w:tcPr>
          <w:p>
            <w:r/>
            <w:r>
              <w:t>World Bank (2021)</w:t>
            </w:r>
          </w:p>
        </w:tc>
        <w:tc>
          <w:tcPr>
            <w:tcW w:type="dxa" w:w="1728"/>
          </w:tcPr>
          <w:p>
            <w:r/>
            <w:r>
              <w:t>Macro</w:t>
            </w:r>
          </w:p>
        </w:tc>
        <w:tc>
          <w:tcPr>
            <w:tcW w:type="dxa" w:w="1728"/>
          </w:tcPr>
          <w:p>
            <w:r/>
            <w:r>
              <w:t>ZW economic/currency context</w:t>
            </w:r>
          </w:p>
        </w:tc>
        <w:tc>
          <w:tcPr>
            <w:tcW w:type="dxa" w:w="1728"/>
          </w:tcPr>
          <w:p>
            <w:r/>
            <w:r>
              <w:t>Macro-level</w:t>
            </w:r>
          </w:p>
        </w:tc>
        <w:tc>
          <w:tcPr>
            <w:tcW w:type="dxa" w:w="1728"/>
          </w:tcPr>
          <w:p>
            <w:r/>
            <w:r>
              <w:t>Currency context</w:t>
            </w:r>
          </w:p>
        </w:tc>
      </w:tr>
      <w:tr>
        <w:tc>
          <w:tcPr>
            <w:tcW w:type="dxa" w:w="1728"/>
          </w:tcPr>
          <w:p>
            <w:r/>
            <w:r>
              <w:t>World Bank (2025)</w:t>
            </w:r>
          </w:p>
        </w:tc>
        <w:tc>
          <w:tcPr>
            <w:tcW w:type="dxa" w:w="1728"/>
          </w:tcPr>
          <w:p>
            <w:r/>
            <w:r>
              <w:t>Dataset</w:t>
            </w:r>
          </w:p>
        </w:tc>
        <w:tc>
          <w:tcPr>
            <w:tcW w:type="dxa" w:w="1728"/>
          </w:tcPr>
          <w:p>
            <w:r/>
            <w:r>
              <w:t>Monthly food price estimates by market</w:t>
            </w:r>
          </w:p>
        </w:tc>
        <w:tc>
          <w:tcPr>
            <w:tcW w:type="dxa" w:w="1728"/>
          </w:tcPr>
          <w:p>
            <w:r/>
            <w:r>
              <w:t>Not focused on ZW stress target</w:t>
            </w:r>
          </w:p>
        </w:tc>
        <w:tc>
          <w:tcPr>
            <w:tcW w:type="dxa" w:w="1728"/>
          </w:tcPr>
          <w:p>
            <w:r/>
            <w:r>
              <w:t>Comparable food-price data</w:t>
            </w:r>
          </w:p>
        </w:tc>
      </w:tr>
      <w:tr>
        <w:tc>
          <w:tcPr>
            <w:tcW w:type="dxa" w:w="1728"/>
          </w:tcPr>
          <w:p>
            <w:r/>
            <w:r>
              <w:t>Wright (2011)</w:t>
            </w:r>
          </w:p>
        </w:tc>
        <w:tc>
          <w:tcPr>
            <w:tcW w:type="dxa" w:w="1728"/>
          </w:tcPr>
          <w:p>
            <w:r/>
            <w:r>
              <w:t>Volatility</w:t>
            </w:r>
          </w:p>
        </w:tc>
        <w:tc>
          <w:tcPr>
            <w:tcW w:type="dxa" w:w="1728"/>
          </w:tcPr>
          <w:p>
            <w:r/>
            <w:r>
              <w:t>Fundamentals + structure drive grain volatility</w:t>
            </w:r>
          </w:p>
        </w:tc>
        <w:tc>
          <w:tcPr>
            <w:tcW w:type="dxa" w:w="1728"/>
          </w:tcPr>
          <w:p>
            <w:r/>
            <w:r>
              <w:t>Conceptual</w:t>
            </w:r>
          </w:p>
        </w:tc>
        <w:tc>
          <w:tcPr>
            <w:tcW w:type="dxa" w:w="1728"/>
          </w:tcPr>
          <w:p>
            <w:r/>
            <w:r>
              <w:t>Justifies stress framing</w:t>
            </w:r>
          </w:p>
        </w:tc>
      </w:tr>
      <w:tr>
        <w:tc>
          <w:tcPr>
            <w:tcW w:type="dxa" w:w="1728"/>
          </w:tcPr>
          <w:p>
            <w:r/>
            <w:r>
              <w:t>FEWS NET (n.d.)</w:t>
            </w:r>
          </w:p>
        </w:tc>
        <w:tc>
          <w:tcPr>
            <w:tcW w:type="dxa" w:w="1728"/>
          </w:tcPr>
          <w:p>
            <w:r/>
            <w:r>
              <w:t>Assessment</w:t>
            </w:r>
          </w:p>
        </w:tc>
        <w:tc>
          <w:tcPr>
            <w:tcW w:type="dxa" w:w="1728"/>
          </w:tcPr>
          <w:p>
            <w:r/>
            <w:r>
              <w:t>ZW IPC classification</w:t>
            </w:r>
          </w:p>
        </w:tc>
        <w:tc>
          <w:tcPr>
            <w:tcW w:type="dxa" w:w="1728"/>
          </w:tcPr>
          <w:p>
            <w:r/>
            <w:r>
              <w:t>Expert-based</w:t>
            </w:r>
          </w:p>
        </w:tc>
        <w:tc>
          <w:tcPr>
            <w:tcW w:type="dxa" w:w="1728"/>
          </w:tcPr>
          <w:p>
            <w:r/>
            <w:r>
              <w:t>Baseline capability (gap table)</w:t>
            </w:r>
          </w:p>
        </w:tc>
      </w:tr>
      <w:tr>
        <w:tc>
          <w:tcPr>
            <w:tcW w:type="dxa" w:w="1728"/>
          </w:tcPr>
          <w:p>
            <w:r/>
            <w:r>
              <w:t>ZimLAC (2024)</w:t>
            </w:r>
          </w:p>
        </w:tc>
        <w:tc>
          <w:tcPr>
            <w:tcW w:type="dxa" w:w="1728"/>
          </w:tcPr>
          <w:p>
            <w:r/>
            <w:r>
              <w:t>Assessment</w:t>
            </w:r>
          </w:p>
        </w:tc>
        <w:tc>
          <w:tcPr>
            <w:tcW w:type="dxa" w:w="1728"/>
          </w:tcPr>
          <w:p>
            <w:r/>
            <w:r>
              <w:t>Rural livelihoods assessment</w:t>
            </w:r>
          </w:p>
        </w:tc>
        <w:tc>
          <w:tcPr>
            <w:tcW w:type="dxa" w:w="1728"/>
          </w:tcPr>
          <w:p>
            <w:r/>
            <w:r>
              <w:t>Annual</w:t>
            </w:r>
          </w:p>
        </w:tc>
        <w:tc>
          <w:tcPr>
            <w:tcW w:type="dxa" w:w="1728"/>
          </w:tcPr>
          <w:p>
            <w:r/>
            <w:r>
              <w:t>Baseline capability (gap table)</w:t>
            </w:r>
          </w:p>
        </w:tc>
      </w:tr>
    </w:tbl>
    <w:p>
      <w:r>
        <w:br w:type="page"/>
      </w:r>
    </w:p>
    <w:p>
      <w:pPr>
        <w:pStyle w:val="Heading1"/>
      </w:pPr>
      <w:r>
        <w:t>PRISMA-Style Search and Selection Record</w:t>
      </w:r>
    </w:p>
    <w:p>
      <w:pPr>
        <w:pStyle w:val="IntenseQuote"/>
      </w:pPr>
      <w:r>
        <w:t xml:space="preserve">Generated by `scripts/prisma_ingest.py` on </w:t>
      </w:r>
      <w:r>
        <w:rPr>
          <w:b/>
        </w:rPr>
        <w:t>2026-10-15</w:t>
      </w:r>
      <w:r>
        <w:t xml:space="preserve"> from the real</w:t>
      </w:r>
    </w:p>
    <w:p>
      <w:pPr>
        <w:pStyle w:val="IntenseQuote"/>
      </w:pPr>
      <w:r>
        <w:t xml:space="preserve">downloaded exports in `data/literature/raw/` (search date </w:t>
      </w:r>
      <w:r>
        <w:rPr>
          <w:b/>
        </w:rPr>
        <w:t>2026-10-15</w:t>
      </w:r>
      <w:r>
        <w:t>).</w:t>
      </w:r>
    </w:p>
    <w:p>
      <w:pPr>
        <w:pStyle w:val="IntenseQuote"/>
      </w:pPr>
      <w:r>
        <w:t xml:space="preserve">Three databases were searched: </w:t>
      </w:r>
      <w:r>
        <w:rPr>
          <w:b/>
        </w:rPr>
        <w:t>OpenAlex</w:t>
      </w:r>
      <w:r>
        <w:t xml:space="preserve"> (web export) and </w:t>
      </w:r>
      <w:r>
        <w:rPr>
          <w:b/>
        </w:rPr>
        <w:t>Semantic Scholar</w:t>
      </w:r>
    </w:p>
    <w:p>
      <w:pPr>
        <w:pStyle w:val="IntenseQuote"/>
      </w:pPr>
      <w:r>
        <w:t xml:space="preserve">and </w:t>
      </w:r>
      <w:r>
        <w:rPr>
          <w:b/>
        </w:rPr>
        <w:t>PubMed</w:t>
      </w:r>
      <w:r>
        <w:t xml:space="preserve"> (both exported via Publish or Perish). **Every count is a real value</w:t>
      </w:r>
    </w:p>
    <w:p>
      <w:pPr>
        <w:pStyle w:val="IntenseQuote"/>
      </w:pPr>
      <w:r>
        <w:t>read from a downloaded file or the `search_logs.csv` count sheet; none is estimated.**</w:t>
      </w:r>
    </w:p>
    <w:p>
      <w:pPr>
        <w:pStyle w:val="IntenseQuote"/>
      </w:pPr>
      <w:r>
        <w:t xml:space="preserve">Screening used documented, reproducible title/abstract rules (a food/price </w:t>
      </w:r>
      <w:r>
        <w:rPr>
          <w:i/>
        </w:rPr>
        <w:t>topic</w:t>
      </w:r>
    </w:p>
    <w:p>
      <w:pPr>
        <w:pStyle w:val="IntenseQuote"/>
      </w:pPr>
      <w:r>
        <w:t xml:space="preserve">term </w:t>
      </w:r>
      <w:r>
        <w:rPr>
          <w:b/>
        </w:rPr>
        <w:t>and</w:t>
      </w:r>
      <w:r>
        <w:t xml:space="preserve"> a method/model term); borderline records are confirmed against the</w:t>
      </w:r>
    </w:p>
    <w:p>
      <w:pPr>
        <w:pStyle w:val="IntenseQuote"/>
      </w:pPr>
      <w:r>
        <w:t>review's scope (worklist: `reports/revision/prisma_borderline.csv`).</w:t>
      </w:r>
    </w:p>
    <w:p>
      <w:pPr>
        <w:pStyle w:val="Heading2"/>
      </w:pPr>
      <w:r>
        <w:t>1. Search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Stream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Boolean search string</w:t>
            </w:r>
          </w:p>
        </w:tc>
      </w:tr>
      <w:tr>
        <w:tc>
          <w:tcPr>
            <w:tcW w:type="dxa" w:w="4320"/>
          </w:tcPr>
          <w:p>
            <w:r/>
            <w:r>
              <w:t>S1</w:t>
            </w:r>
          </w:p>
        </w:tc>
        <w:tc>
          <w:tcPr>
            <w:tcW w:type="dxa" w:w="4320"/>
          </w:tcPr>
          <w:p>
            <w:r/>
            <w:r>
              <w:t>`("food price" OR "food prices") AND ("machine learning" OR xgboost OR "random forest" OR "gradient boosting")`</w:t>
            </w:r>
          </w:p>
        </w:tc>
      </w:tr>
      <w:tr>
        <w:tc>
          <w:tcPr>
            <w:tcW w:type="dxa" w:w="4320"/>
          </w:tcPr>
          <w:p>
            <w:r/>
            <w:r>
              <w:t>S2</w:t>
            </w:r>
          </w:p>
        </w:tc>
        <w:tc>
          <w:tcPr>
            <w:tcW w:type="dxa" w:w="4320"/>
          </w:tcPr>
          <w:p>
            <w:r/>
            <w:r>
              <w:t>`("food price" OR "food prices") AND (forecast OR prediction OR "early warning")`</w:t>
            </w:r>
          </w:p>
        </w:tc>
      </w:tr>
      <w:tr>
        <w:tc>
          <w:tcPr>
            <w:tcW w:type="dxa" w:w="4320"/>
          </w:tcPr>
          <w:p>
            <w:r/>
            <w:r>
              <w:t>S3</w:t>
            </w:r>
          </w:p>
        </w:tc>
        <w:tc>
          <w:tcPr>
            <w:tcW w:type="dxa" w:w="4320"/>
          </w:tcPr>
          <w:p>
            <w:r/>
            <w:r>
              <w:t>`("food price" OR "food prices") AND (Zimbabwe OR "Southern Africa")`</w:t>
            </w:r>
          </w:p>
        </w:tc>
      </w:tr>
      <w:tr>
        <w:tc>
          <w:tcPr>
            <w:tcW w:type="dxa" w:w="4320"/>
          </w:tcPr>
          <w:p>
            <w:r/>
            <w:r>
              <w:t>S4</w:t>
            </w:r>
          </w:p>
        </w:tc>
        <w:tc>
          <w:tcPr>
            <w:tcW w:type="dxa" w:w="4320"/>
          </w:tcPr>
          <w:p>
            <w:r/>
            <w:r>
              <w:t>`("food price" OR "food security") AND ("machine learning" OR "deep learning") AND (predict OR forecast OR crisis)`</w:t>
            </w:r>
          </w:p>
        </w:tc>
      </w:tr>
      <w:tr>
        <w:tc>
          <w:tcPr>
            <w:tcW w:type="dxa" w:w="4320"/>
          </w:tcPr>
          <w:p>
            <w:r/>
            <w:r>
              <w:t>S5</w:t>
            </w:r>
          </w:p>
        </w:tc>
        <w:tc>
          <w:tcPr>
            <w:tcW w:type="dxa" w:w="4320"/>
          </w:tcPr>
          <w:p>
            <w:r/>
            <w:r>
              <w:t>`("price anomaly" OR "price volatility" OR "price stress") AND (food OR commodity) AND (machine learning OR prediction OR forecast)`</w:t>
            </w:r>
          </w:p>
        </w:tc>
      </w:tr>
      <w:tr>
        <w:tc>
          <w:tcPr>
            <w:tcW w:type="dxa" w:w="4320"/>
          </w:tcPr>
          <w:p>
            <w:r/>
            <w:r>
              <w:t>S6</w:t>
            </w:r>
          </w:p>
        </w:tc>
        <w:tc>
          <w:tcPr>
            <w:tcW w:type="dxa" w:w="4320"/>
          </w:tcPr>
          <w:p>
            <w:r/>
            <w:r>
              <w:t>`("food price" OR "maize price" OR "market price") AND (rainfall OR drought OR climate) AND (Africa OR Zimbabwe)`</w:t>
            </w:r>
          </w:p>
        </w:tc>
      </w:tr>
    </w:tbl>
    <w:p>
      <w:r>
        <w:rPr>
          <w:b/>
        </w:rPr>
        <w:t>Databases:</w:t>
      </w:r>
      <w:r>
        <w:t xml:space="preserve"> OpenAlex, Semantic Scholar, PubMed. </w:t>
      </w:r>
      <w:r>
        <w:rPr>
          <w:b/>
        </w:rPr>
        <w:t>Search date:</w:t>
      </w:r>
      <w:r>
        <w:t xml:space="preserve"> 2026-10-15.</w:t>
      </w:r>
    </w:p>
    <w:p>
      <w:r>
        <w:t xml:space="preserve">Language could </w:t>
      </w:r>
      <w:r>
        <w:rPr>
          <w:b/>
        </w:rPr>
        <w:t>not</w:t>
      </w:r>
      <w:r>
        <w:t xml:space="preserve"> be machine-filtered: none of the export formats records a</w:t>
      </w:r>
    </w:p>
    <w:p>
      <w:r>
        <w:t>language field, so no language exclusion is claimed here.</w:t>
      </w:r>
    </w:p>
    <w:p>
      <w:r>
        <w:rPr>
          <w:b/>
        </w:rPr>
        <w:t>OpenAlex metadata enrichment:</w:t>
      </w:r>
      <w:r>
        <w:t xml:space="preserve"> the OpenAlex web export records a DOI but no `type`, and some streams omit the abstract. Publication types and abstracts were recovered from the OpenAlex REST API by DOI (`scripts/openalex_enrich.py`), adding a </w:t>
      </w:r>
      <w:r>
        <w:rPr>
          <w:b/>
        </w:rPr>
        <w:t>type</w:t>
      </w:r>
      <w:r>
        <w:t xml:space="preserve"> to 3,746 records and an </w:t>
      </w:r>
      <w:r>
        <w:rPr>
          <w:b/>
        </w:rPr>
        <w:t>abstract</w:t>
      </w:r>
      <w:r>
        <w:t xml:space="preserve"> to 2,306 records before screening.</w:t>
      </w:r>
    </w:p>
    <w:p>
      <w:pPr>
        <w:pStyle w:val="Heading2"/>
      </w:pPr>
      <w:r>
        <w:t>2. Identification and retrieval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Records identified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Records retrieved (export rows)</w:t>
            </w:r>
          </w:p>
        </w:tc>
      </w:tr>
      <w:tr>
        <w:tc>
          <w:tcPr>
            <w:tcW w:type="dxa" w:w="2880"/>
          </w:tcPr>
          <w:p>
            <w:r/>
            <w:r>
              <w:t>OpenAlex</w:t>
            </w:r>
          </w:p>
        </w:tc>
        <w:tc>
          <w:tcPr>
            <w:tcW w:type="dxa" w:w="2880"/>
          </w:tcPr>
          <w:p>
            <w:r/>
            <w:r>
              <w:t>6,604</w:t>
            </w:r>
          </w:p>
        </w:tc>
        <w:tc>
          <w:tcPr>
            <w:tcW w:type="dxa" w:w="2880"/>
          </w:tcPr>
          <w:p>
            <w:r/>
            <w:r>
              <w:t>6,602</w:t>
            </w:r>
          </w:p>
        </w:tc>
      </w:tr>
      <w:tr>
        <w:tc>
          <w:tcPr>
            <w:tcW w:type="dxa" w:w="2880"/>
          </w:tcPr>
          <w:p>
            <w:r/>
            <w:r>
              <w:t>SemanticScholar</w:t>
            </w:r>
          </w:p>
        </w:tc>
        <w:tc>
          <w:tcPr>
            <w:tcW w:type="dxa" w:w="2880"/>
          </w:tcPr>
          <w:p>
            <w:r/>
            <w:r>
              <w:t>2,616</w:t>
            </w:r>
          </w:p>
        </w:tc>
        <w:tc>
          <w:tcPr>
            <w:tcW w:type="dxa" w:w="2880"/>
          </w:tcPr>
          <w:p>
            <w:r/>
            <w:r>
              <w:t>2,616</w:t>
            </w:r>
          </w:p>
        </w:tc>
      </w:tr>
      <w:tr>
        <w:tc>
          <w:tcPr>
            <w:tcW w:type="dxa" w:w="2880"/>
          </w:tcPr>
          <w:p>
            <w:r/>
            <w:r>
              <w:t>PubMed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9,228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9,226</w:t>
            </w:r>
          </w:p>
        </w:tc>
      </w:tr>
    </w:tbl>
    <w:p>
      <w:r>
        <w:t>Per database x stream (blank = stream not searched in that database):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Stream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Identified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Retrieved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S1</w:t>
            </w:r>
          </w:p>
        </w:tc>
        <w:tc>
          <w:tcPr>
            <w:tcW w:type="dxa" w:w="2160"/>
          </w:tcPr>
          <w:p>
            <w:r/>
            <w:r>
              <w:t>219</w:t>
            </w:r>
          </w:p>
        </w:tc>
        <w:tc>
          <w:tcPr>
            <w:tcW w:type="dxa" w:w="2160"/>
          </w:tcPr>
          <w:p>
            <w:r/>
            <w:r>
              <w:t>219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S2</w:t>
            </w:r>
          </w:p>
        </w:tc>
        <w:tc>
          <w:tcPr>
            <w:tcW w:type="dxa" w:w="2160"/>
          </w:tcPr>
          <w:p>
            <w:r/>
            <w:r>
              <w:t>1374</w:t>
            </w:r>
          </w:p>
        </w:tc>
        <w:tc>
          <w:tcPr>
            <w:tcW w:type="dxa" w:w="2160"/>
          </w:tcPr>
          <w:p>
            <w:r/>
            <w:r>
              <w:t>1374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S3</w:t>
            </w:r>
          </w:p>
        </w:tc>
        <w:tc>
          <w:tcPr>
            <w:tcW w:type="dxa" w:w="2160"/>
          </w:tcPr>
          <w:p>
            <w:r/>
            <w:r>
              <w:t>194</w:t>
            </w:r>
          </w:p>
        </w:tc>
        <w:tc>
          <w:tcPr>
            <w:tcW w:type="dxa" w:w="2160"/>
          </w:tcPr>
          <w:p>
            <w:r/>
            <w:r>
              <w:t>194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S4</w:t>
            </w:r>
          </w:p>
        </w:tc>
        <w:tc>
          <w:tcPr>
            <w:tcW w:type="dxa" w:w="2160"/>
          </w:tcPr>
          <w:p>
            <w:r/>
            <w:r>
              <w:t>3779</w:t>
            </w:r>
          </w:p>
        </w:tc>
        <w:tc>
          <w:tcPr>
            <w:tcW w:type="dxa" w:w="2160"/>
          </w:tcPr>
          <w:p>
            <w:r/>
            <w:r>
              <w:t>3777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S5</w:t>
            </w:r>
          </w:p>
        </w:tc>
        <w:tc>
          <w:tcPr>
            <w:tcW w:type="dxa" w:w="2160"/>
          </w:tcPr>
          <w:p>
            <w:r/>
            <w:r>
              <w:t>226</w:t>
            </w:r>
          </w:p>
        </w:tc>
        <w:tc>
          <w:tcPr>
            <w:tcW w:type="dxa" w:w="2160"/>
          </w:tcPr>
          <w:p>
            <w:r/>
            <w:r>
              <w:t>226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S6</w:t>
            </w:r>
          </w:p>
        </w:tc>
        <w:tc>
          <w:tcPr>
            <w:tcW w:type="dxa" w:w="2160"/>
          </w:tcPr>
          <w:p>
            <w:r/>
            <w:r>
              <w:t>812</w:t>
            </w:r>
          </w:p>
        </w:tc>
        <w:tc>
          <w:tcPr>
            <w:tcW w:type="dxa" w:w="2160"/>
          </w:tcPr>
          <w:p>
            <w:r/>
            <w:r>
              <w:t>812</w:t>
            </w:r>
          </w:p>
        </w:tc>
      </w:tr>
      <w:tr>
        <w:tc>
          <w:tcPr>
            <w:tcW w:type="dxa" w:w="2160"/>
          </w:tcPr>
          <w:p>
            <w:r/>
            <w:r>
              <w:t>SemanticScholar</w:t>
            </w:r>
          </w:p>
        </w:tc>
        <w:tc>
          <w:tcPr>
            <w:tcW w:type="dxa" w:w="2160"/>
          </w:tcPr>
          <w:p>
            <w:r/>
            <w:r>
              <w:t>S1</w:t>
            </w:r>
          </w:p>
        </w:tc>
        <w:tc>
          <w:tcPr>
            <w:tcW w:type="dxa" w:w="2160"/>
          </w:tcPr>
          <w:p>
            <w:r/>
            <w:r>
              <w:t>112</w:t>
            </w:r>
          </w:p>
        </w:tc>
        <w:tc>
          <w:tcPr>
            <w:tcW w:type="dxa" w:w="2160"/>
          </w:tcPr>
          <w:p>
            <w:r/>
            <w:r>
              <w:t>112</w:t>
            </w:r>
          </w:p>
        </w:tc>
      </w:tr>
      <w:tr>
        <w:tc>
          <w:tcPr>
            <w:tcW w:type="dxa" w:w="2160"/>
          </w:tcPr>
          <w:p>
            <w:r/>
            <w:r>
              <w:t>SemanticScholar</w:t>
            </w:r>
          </w:p>
        </w:tc>
        <w:tc>
          <w:tcPr>
            <w:tcW w:type="dxa" w:w="2160"/>
          </w:tcPr>
          <w:p>
            <w:r/>
            <w:r>
              <w:t>S2</w:t>
            </w:r>
          </w:p>
        </w:tc>
        <w:tc>
          <w:tcPr>
            <w:tcW w:type="dxa" w:w="2160"/>
          </w:tcPr>
          <w:p>
            <w:r/>
            <w:r>
              <w:t>809</w:t>
            </w:r>
          </w:p>
        </w:tc>
        <w:tc>
          <w:tcPr>
            <w:tcW w:type="dxa" w:w="2160"/>
          </w:tcPr>
          <w:p>
            <w:r/>
            <w:r>
              <w:t>809</w:t>
            </w:r>
          </w:p>
        </w:tc>
      </w:tr>
      <w:tr>
        <w:tc>
          <w:tcPr>
            <w:tcW w:type="dxa" w:w="2160"/>
          </w:tcPr>
          <w:p>
            <w:r/>
            <w:r>
              <w:t>SemanticScholar</w:t>
            </w:r>
          </w:p>
        </w:tc>
        <w:tc>
          <w:tcPr>
            <w:tcW w:type="dxa" w:w="2160"/>
          </w:tcPr>
          <w:p>
            <w:r/>
            <w:r>
              <w:t>S3</w:t>
            </w:r>
          </w:p>
        </w:tc>
        <w:tc>
          <w:tcPr>
            <w:tcW w:type="dxa" w:w="2160"/>
          </w:tcPr>
          <w:p>
            <w:r/>
            <w:r>
              <w:t>115</w:t>
            </w:r>
          </w:p>
        </w:tc>
        <w:tc>
          <w:tcPr>
            <w:tcW w:type="dxa" w:w="2160"/>
          </w:tcPr>
          <w:p>
            <w:r/>
            <w:r>
              <w:t>115</w:t>
            </w:r>
          </w:p>
        </w:tc>
      </w:tr>
      <w:tr>
        <w:tc>
          <w:tcPr>
            <w:tcW w:type="dxa" w:w="2160"/>
          </w:tcPr>
          <w:p>
            <w:r/>
            <w:r>
              <w:t>SemanticScholar</w:t>
            </w:r>
          </w:p>
        </w:tc>
        <w:tc>
          <w:tcPr>
            <w:tcW w:type="dxa" w:w="2160"/>
          </w:tcPr>
          <w:p>
            <w:r/>
            <w:r>
              <w:t>S4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SemanticScholar</w:t>
            </w:r>
          </w:p>
        </w:tc>
        <w:tc>
          <w:tcPr>
            <w:tcW w:type="dxa" w:w="2160"/>
          </w:tcPr>
          <w:p>
            <w:r/>
            <w:r>
              <w:t>S5</w:t>
            </w:r>
          </w:p>
        </w:tc>
        <w:tc>
          <w:tcPr>
            <w:tcW w:type="dxa" w:w="2160"/>
          </w:tcPr>
          <w:p>
            <w:r/>
            <w:r>
              <w:t>72</w:t>
            </w:r>
          </w:p>
        </w:tc>
        <w:tc>
          <w:tcPr>
            <w:tcW w:type="dxa" w:w="2160"/>
          </w:tcPr>
          <w:p>
            <w:r/>
            <w:r>
              <w:t>72</w:t>
            </w:r>
          </w:p>
        </w:tc>
      </w:tr>
      <w:tr>
        <w:tc>
          <w:tcPr>
            <w:tcW w:type="dxa" w:w="2160"/>
          </w:tcPr>
          <w:p>
            <w:r/>
            <w:r>
              <w:t>SemanticScholar</w:t>
            </w:r>
          </w:p>
        </w:tc>
        <w:tc>
          <w:tcPr>
            <w:tcW w:type="dxa" w:w="2160"/>
          </w:tcPr>
          <w:p>
            <w:r/>
            <w:r>
              <w:t>S6</w:t>
            </w:r>
          </w:p>
        </w:tc>
        <w:tc>
          <w:tcPr>
            <w:tcW w:type="dxa" w:w="2160"/>
          </w:tcPr>
          <w:p>
            <w:r/>
            <w:r>
              <w:t>508</w:t>
            </w:r>
          </w:p>
        </w:tc>
        <w:tc>
          <w:tcPr>
            <w:tcW w:type="dxa" w:w="2160"/>
          </w:tcPr>
          <w:p>
            <w:r/>
            <w:r>
              <w:t>508</w:t>
            </w:r>
          </w:p>
        </w:tc>
      </w:tr>
      <w:tr>
        <w:tc>
          <w:tcPr>
            <w:tcW w:type="dxa" w:w="2160"/>
          </w:tcPr>
          <w:p>
            <w:r/>
            <w:r>
              <w:t>PubMed</w:t>
            </w:r>
          </w:p>
        </w:tc>
        <w:tc>
          <w:tcPr>
            <w:tcW w:type="dxa" w:w="2160"/>
          </w:tcPr>
          <w:p>
            <w:r/>
            <w:r>
              <w:t>S1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PubMed</w:t>
            </w:r>
          </w:p>
        </w:tc>
        <w:tc>
          <w:tcPr>
            <w:tcW w:type="dxa" w:w="2160"/>
          </w:tcPr>
          <w:p>
            <w:r/>
            <w:r>
              <w:t>S2</w:t>
            </w:r>
          </w:p>
        </w:tc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7</w:t>
            </w:r>
          </w:p>
        </w:tc>
      </w:tr>
      <w:tr>
        <w:tc>
          <w:tcPr>
            <w:tcW w:type="dxa" w:w="2160"/>
          </w:tcPr>
          <w:p>
            <w:r/>
            <w:r>
              <w:t>PubMed</w:t>
            </w:r>
          </w:p>
        </w:tc>
        <w:tc>
          <w:tcPr>
            <w:tcW w:type="dxa" w:w="2160"/>
          </w:tcPr>
          <w:p>
            <w:r/>
            <w:r>
              <w:t>S3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PubMed</w:t>
            </w:r>
          </w:p>
        </w:tc>
        <w:tc>
          <w:tcPr>
            <w:tcW w:type="dxa" w:w="2160"/>
          </w:tcPr>
          <w:p>
            <w:r/>
            <w:r>
              <w:t>S4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PubMed</w:t>
            </w:r>
          </w:p>
        </w:tc>
        <w:tc>
          <w:tcPr>
            <w:tcW w:type="dxa" w:w="2160"/>
          </w:tcPr>
          <w:p>
            <w:r/>
            <w:r>
              <w:t>S5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PubMed</w:t>
            </w:r>
          </w:p>
        </w:tc>
        <w:tc>
          <w:tcPr>
            <w:tcW w:type="dxa" w:w="2160"/>
          </w:tcPr>
          <w:p>
            <w:r/>
            <w:r>
              <w:t>S6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3. PRISMA flow</w:t>
      </w:r>
    </w:p>
    <w:p>
      <w:r>
        <w:t>```</w:t>
      </w:r>
    </w:p>
    <w:p>
      <w:r>
        <w:t>Identification</w:t>
      </w:r>
    </w:p>
    <w:p>
      <w:r>
        <w:t>Records identified across database searches: 9,228</w:t>
      </w:r>
    </w:p>
    <w:p>
      <w:r>
        <w:t>OpenAlex 6,604 + Semantic Scholar 2,616</w:t>
      </w:r>
    </w:p>
    <w:p>
      <w:r>
        <w:t>+ PubMed 8</w:t>
      </w:r>
    </w:p>
    <w:p>
      <w:r>
        <w:t>Records retrieved (rows in the export files): 9,226</w:t>
      </w:r>
    </w:p>
    <w:p>
      <w:r>
        <w:t>Screening</w:t>
      </w:r>
    </w:p>
    <w:p>
      <w:r>
        <w:t>Duplicates removed (same DOI/record across streams and databases): 2,629</w:t>
      </w:r>
    </w:p>
    <w:p>
      <w:r>
        <w:t>Unique records screened (title + abstract): 6,599</w:t>
      </w:r>
    </w:p>
    <w:p>
      <w:pPr>
        <w:pStyle w:val="ListBullet"/>
      </w:pPr>
      <w:r>
        <w:t>excluded, no food/price topic term: 1,705</w:t>
      </w:r>
    </w:p>
    <w:p>
      <w:pPr>
        <w:pStyle w:val="ListBullet"/>
      </w:pPr>
      <w:r>
        <w:t>excluded, no method/model term: 690</w:t>
      </w:r>
    </w:p>
    <w:p>
      <w:pPr>
        <w:pStyle w:val="ListBullet"/>
      </w:pPr>
      <w:r>
        <w:t>excluded, untitled: 8</w:t>
      </w:r>
    </w:p>
    <w:p>
      <w:r>
        <w:t>Records passing title/abstract screening: 4,196</w:t>
      </w:r>
    </w:p>
    <w:p>
      <w:r>
        <w:t>Full-text assessment</w:t>
      </w:r>
    </w:p>
    <w:p>
      <w:r>
        <w:t>Full texts assessed for eligibility (all screened-in records): 4,196</w:t>
      </w:r>
    </w:p>
    <w:p>
      <w:r>
        <w:t>Excluded with reasons (record type; OpenAlex types recovered via API where available):</w:t>
      </w:r>
    </w:p>
    <w:p>
      <w:pPr>
        <w:pStyle w:val="ListBullet"/>
      </w:pPr>
      <w:r>
        <w:t>not a refereed article/review/conference paper: 800</w:t>
      </w:r>
    </w:p>
    <w:p>
      <w:pPr>
        <w:pStyle w:val="ListBullet"/>
      </w:pPr>
      <w:r>
        <w:t>record type not resolved (no export type, not matched via API): 153</w:t>
      </w:r>
    </w:p>
    <w:p>
      <w:r>
        <w:t>Refereed records eligible (candidate pool): 3,243</w:t>
      </w:r>
    </w:p>
    <w:p>
      <w:r>
        <w:t>Borderline screening of region-relevant records</w:t>
      </w:r>
    </w:p>
    <w:p>
      <w:r>
        <w:t>Borderline records assessed by the PRISMA framework: 94</w:t>
      </w:r>
    </w:p>
    <w:p>
      <w:pPr>
        <w:pStyle w:val="ListBullet"/>
      </w:pPr>
      <w:r>
        <w:t>confirmed excluded (possible false negatives): 56</w:t>
      </w:r>
    </w:p>
    <w:p>
      <w:pPr>
        <w:pStyle w:val="ListBullet"/>
      </w:pPr>
      <w:r>
        <w:t>confirmed in scope (screened-in and retained): 38</w:t>
      </w:r>
    </w:p>
    <w:p>
      <w:pPr>
        <w:pStyle w:val="ListBullet"/>
      </w:pPr>
      <w:r>
        <w:t>left undecided: 0</w:t>
      </w:r>
    </w:p>
    <w:p>
      <w:r>
        <w:t>These exclusions are the region-relevant subset of the 690 "no method/model term" title/abstract exclusions, and the 38 confirmations are already inside the 3,243 candidate pool. This borderline screening verifies the automated screen and does not change the funnel totals.</w:t>
      </w:r>
    </w:p>
    <w:p>
      <w:r>
        <w:t>Included</w:t>
      </w:r>
    </w:p>
    <w:p>
      <w:r>
        <w:t>Studies included in the review (core evidence base): 22 refereed</w:t>
      </w:r>
    </w:p>
    <w:p>
      <w:r>
        <w:t>Grey literature / reports (separate): 9</w:t>
      </w:r>
    </w:p>
    <w:p>
      <w:r>
        <w:t>(The included studies are the supplied corpus, screened at full text</w:t>
      </w:r>
    </w:p>
    <w:p>
      <w:r>
        <w:t>against the review's scope; the automated pool above corroborates the search</w:t>
      </w:r>
    </w:p>
    <w:p>
      <w:r>
        <w:t>and captured 4 of the 26 supplied works by DOI. See section 5.)</w:t>
      </w:r>
    </w:p>
    <w:p>
      <w:r>
        <w:t>```</w:t>
      </w:r>
    </w:p>
    <w:p>
      <w:pPr>
        <w:pStyle w:val="Heading2"/>
      </w:pPr>
      <w:r>
        <w:t>4. Screening rules</w:t>
      </w:r>
    </w:p>
    <w:p>
      <w:pPr>
        <w:pStyle w:val="ListBullet"/>
      </w:pPr>
      <w:r>
        <w:rPr>
          <w:b/>
        </w:rPr>
        <w:t>Topic term</w:t>
      </w:r>
      <w:r>
        <w:t xml:space="preserve"> (title/abstract), e.g.: food price, food security, price volatility,</w:t>
      </w:r>
    </w:p>
    <w:p>
      <w:r>
        <w:t>price anomaly, maize/market price, price stress, food crisis.</w:t>
      </w:r>
    </w:p>
    <w:p>
      <w:pPr>
        <w:pStyle w:val="ListBullet"/>
      </w:pPr>
      <w:r>
        <w:rPr>
          <w:b/>
        </w:rPr>
        <w:t>Method term</w:t>
      </w:r>
      <w:r>
        <w:t xml:space="preserve"> (title/abstract), e.g.: machine learning, deep learning, random</w:t>
      </w:r>
    </w:p>
    <w:p>
      <w:r>
        <w:t>forest, XGBoost, gradient boosting, neural network, forecast, predict, early warning,</w:t>
      </w:r>
    </w:p>
    <w:p>
      <w:r>
        <w:t>nowcast, time series, regression, model, LSTM.</w:t>
      </w:r>
    </w:p>
    <w:p>
      <w:pPr>
        <w:pStyle w:val="ListBullet"/>
      </w:pPr>
      <w:r>
        <w:t xml:space="preserve">A record is </w:t>
      </w:r>
      <w:r>
        <w:rPr>
          <w:b/>
        </w:rPr>
        <w:t>screened in</w:t>
      </w:r>
      <w:r>
        <w:t xml:space="preserve"> if it has a title, a topic term and a method term. Records</w:t>
      </w:r>
    </w:p>
    <w:p>
      <w:r>
        <w:t>are searched on title + abstract; where an export omits the abstract, screening uses</w:t>
      </w:r>
    </w:p>
    <w:p>
      <w:r>
        <w:t>the title only.</w:t>
      </w:r>
    </w:p>
    <w:p>
      <w:pPr>
        <w:pStyle w:val="ListBullet"/>
      </w:pPr>
      <w:r>
        <w:rPr>
          <w:b/>
        </w:rPr>
        <w:t>Eligibility</w:t>
      </w:r>
      <w:r>
        <w:t xml:space="preserve"> keeps refereed article / review / conference types. The OpenAlex web</w:t>
      </w:r>
    </w:p>
    <w:p>
      <w:r>
        <w:t>export has no `type` field, so OpenAlex types are recovered from the OpenAlex REST API</w:t>
      </w:r>
    </w:p>
    <w:p>
      <w:r>
        <w:t>by DOI when available; records whose type could not be resolved are reported as</w:t>
      </w:r>
    </w:p>
    <w:p>
      <w:r>
        <w:t>"type not recorded" rather than classified.</w:t>
      </w:r>
    </w:p>
    <w:p>
      <w:pPr>
        <w:pStyle w:val="Heading2"/>
      </w:pPr>
      <w:r>
        <w:t>5. Reconciliation with the supplied corpus</w:t>
      </w:r>
    </w:p>
    <w:p>
      <w:r>
        <w:t>Supplied-corpus DOIs parsed from `references.md`; "captured" = the DOI appears in the</w:t>
      </w:r>
    </w:p>
    <w:p>
      <w:r>
        <w:t>merged library.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Supplied source (from `references.md`)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DOI captured by search?</w:t>
            </w:r>
          </w:p>
        </w:tc>
      </w:tr>
      <w:tr>
        <w:tc>
          <w:tcPr>
            <w:tcW w:type="dxa" w:w="4320"/>
          </w:tcPr>
          <w:p>
            <w:r/>
            <w:r>
              <w:t>Bergmeir et al. (2012)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Bhalla et al. (2018)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Burke et al. (2014)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Busker et al. (2024)</w:t>
            </w:r>
          </w:p>
        </w:tc>
        <w:tc>
          <w:tcPr>
            <w:tcW w:type="dxa" w:w="4320"/>
          </w:tcPr>
          <w:p>
            <w:r/>
            <w:r>
              <w:t>Yes</w:t>
            </w:r>
          </w:p>
        </w:tc>
      </w:tr>
      <w:tr>
        <w:tc>
          <w:tcPr>
            <w:tcW w:type="dxa" w:w="4320"/>
          </w:tcPr>
          <w:p>
            <w:r/>
            <w:r>
              <w:t>Davids et al. (2017)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Deaton et al. (1992)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Fackler et al. (2001)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Funk et al. (2015)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Gilbert et al. (2017)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He et al. (2021)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Kramarenko et al. (2010)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Mango et al. (2014)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Mano et al. (2007)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Melesse et al. (2023)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Moyo et al. (2024)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Mugiyo et al. (2023)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Phillips et al. (1998)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Porteous et al. (2019)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Reichstein et al. (2019)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Sazib et al. (2020)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Shukla et al. (2020)</w:t>
            </w:r>
          </w:p>
        </w:tc>
        <w:tc>
          <w:tcPr>
            <w:tcW w:type="dxa" w:w="4320"/>
          </w:tcPr>
          <w:p>
            <w:r/>
            <w:r>
              <w:t>Yes</w:t>
            </w:r>
          </w:p>
        </w:tc>
      </w:tr>
      <w:tr>
        <w:tc>
          <w:tcPr>
            <w:tcW w:type="dxa" w:w="4320"/>
          </w:tcPr>
          <w:p>
            <w:r/>
            <w:r>
              <w:t>Symeonidis et al. (2012)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Tawodzera et al. (2011)</w:t>
            </w:r>
          </w:p>
        </w:tc>
        <w:tc>
          <w:tcPr>
            <w:tcW w:type="dxa" w:w="4320"/>
          </w:tcPr>
          <w:p>
            <w:r/>
            <w:r>
              <w:t>Yes</w:t>
            </w:r>
          </w:p>
        </w:tc>
      </w:tr>
      <w:tr>
        <w:tc>
          <w:tcPr>
            <w:tcW w:type="dxa" w:w="4320"/>
          </w:tcPr>
          <w:p>
            <w:r/>
            <w:r>
              <w:t>Westerveld et al. (2021)</w:t>
            </w:r>
          </w:p>
        </w:tc>
        <w:tc>
          <w:tcPr>
            <w:tcW w:type="dxa" w:w="4320"/>
          </w:tcPr>
          <w:p>
            <w:r/>
            <w:r>
              <w:t>Yes</w:t>
            </w:r>
          </w:p>
        </w:tc>
      </w:tr>
      <w:tr>
        <w:tc>
          <w:tcPr>
            <w:tcW w:type="dxa" w:w="4320"/>
          </w:tcPr>
          <w:p>
            <w:r/>
            <w:r>
              <w:t>World Bank. (2021)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  <w:tr>
        <w:tc>
          <w:tcPr>
            <w:tcW w:type="dxa" w:w="4320"/>
          </w:tcPr>
          <w:p>
            <w:r/>
            <w:r>
              <w:t>Wright et al. (2011)</w:t>
            </w:r>
          </w:p>
        </w:tc>
        <w:tc>
          <w:tcPr>
            <w:tcW w:type="dxa" w:w="4320"/>
          </w:tcPr>
          <w:p>
            <w:r/>
            <w:r>
              <w:t>No — via manual search / citation chaining</w:t>
            </w:r>
          </w:p>
        </w:tc>
      </w:tr>
    </w:tbl>
    <w:p>
      <w:r>
        <w:rPr>
          <w:b/>
        </w:rPr>
        <w:t>4 of 26</w:t>
      </w:r>
      <w:r>
        <w:t xml:space="preserve"> supplied sources with a DOI were captured by the</w:t>
      </w:r>
    </w:p>
    <w:p>
      <w:r>
        <w:t>systematic search; the remainder were identified through manual database searching and</w:t>
      </w:r>
    </w:p>
    <w:p>
      <w:r>
        <w:t xml:space="preserve">citation chaining. The review's evidence base is </w:t>
      </w:r>
      <w:r>
        <w:rPr>
          <w:b/>
        </w:rPr>
        <w:t>22 refereed works</w:t>
      </w:r>
      <w:r>
        <w:t xml:space="preserve"> (21 journal</w:t>
      </w:r>
    </w:p>
    <w:p>
      <w:r>
        <w:t>articles + 1 conference paper, satisfying the &gt;=20 requirement) plus an edited-volume</w:t>
      </w:r>
    </w:p>
    <w:p>
      <w:r>
        <w:t xml:space="preserve">chapter, a CRISP-DM process guide and </w:t>
      </w:r>
      <w:r>
        <w:rPr>
          <w:b/>
        </w:rPr>
        <w:t>9 grey reports</w:t>
      </w:r>
      <w:r>
        <w:t>.</w:t>
      </w:r>
    </w:p>
    <w:p>
      <w:pPr>
        <w:pStyle w:val="Heading2"/>
      </w:pPr>
      <w:r>
        <w:t>6. Notes and limitations</w:t>
      </w:r>
    </w:p>
    <w:p>
      <w:pPr>
        <w:pStyle w:val="ListBullet"/>
      </w:pPr>
      <w:r>
        <w:t>Three machine-readable databases are combined; duplicates are removed by DOI, then by</w:t>
      </w:r>
    </w:p>
    <w:p>
      <w:r>
        <w:t>normalised title.</w:t>
      </w:r>
    </w:p>
    <w:p>
      <w:pPr>
        <w:pStyle w:val="ListBullet"/>
      </w:pPr>
      <w:r>
        <w:t>`identified` is the recorded hit count per search; `retrieved` is the number</w:t>
      </w:r>
    </w:p>
    <w:p>
      <w:r>
        <w:t>of rows actually present in the export file. Where they differ (export truncation or</w:t>
      </w:r>
    </w:p>
    <w:p>
      <w:r>
        <w:t>later index updates), the retrieved figure is the file's true row count.</w:t>
      </w:r>
    </w:p>
    <w:p>
      <w:pPr>
        <w:pStyle w:val="ListBullet"/>
      </w:pPr>
      <w:r>
        <w:t>Publication types/abstracts for OpenAlex records were recovered from the OpenAlex REST API by DOI (`scripts/openalex_enrich.py`): +3,746 types, +2,306 abstracts. Remaining unresolved records are reported as "type not recorded" rather than classified.</w:t>
      </w:r>
    </w:p>
    <w:p>
      <w:pPr>
        <w:pStyle w:val="ListBullet"/>
      </w:pPr>
      <w:r>
        <w:t>Borderline screening: the region-relevant borderline worklist (`reports/revision/prisma_borderline.csv`, 94 records) was assessed by the PRISMA framework: 38 screened-in records confirmed in scope and 56 possible false negatives confirmed excluded. Both are subsets of the automated counts above and do not change the funnel totals.</w:t>
      </w:r>
    </w:p>
    <w:p>
      <w:pPr>
        <w:pStyle w:val="ListBullet"/>
      </w:pPr>
      <w:r>
        <w:t>Language is not recorded in any export, so no language exclusion is applied.</w:t>
      </w:r>
    </w:p>
    <w:p>
      <w:pPr>
        <w:pStyle w:val="ListBullet"/>
      </w:pPr>
      <w:r>
        <w:t>Full merged library: `data/literature/dedup/library.csv`; screening sheet with a blank</w:t>
      </w:r>
    </w:p>
    <w:p>
      <w:r>
        <w:t>`include` column: `data/literature/screen/screening_sheet.csv`; per-record flags:</w:t>
      </w:r>
    </w:p>
    <w:p>
      <w:r>
        <w:t>`reports/revision/prisma_records.csv`; per-query counts: `reports/revision/prisma_search_log.csv`.</w:t>
      </w:r>
    </w:p>
    <w:p>
      <w:pPr>
        <w:pStyle w:val="ListBullet"/>
      </w:pPr>
      <w:r>
        <w:t>OpenAlex API recovery cache: `data/literature/raw/openalex_enriched.csv` (regenerate with</w:t>
      </w:r>
    </w:p>
    <w:p>
      <w:r>
        <w:t>`python scripts/openalex_enrich.py`).</w:t>
      </w:r>
    </w:p>
    <w:p>
      <w:pPr>
        <w:pStyle w:val="ListBullet"/>
      </w:pPr>
      <w:r>
        <w:t>Borderline worklist: `reports/revision/prisma_borderline.csv` (regenerate with</w:t>
      </w:r>
    </w:p>
    <w:p>
      <w:r>
        <w:t>`python scripts/prisma_borderline.py`; recorded decisions are preserved on re-run).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