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20" w:beforeAutospacing="true" w:afterAutospacing="false"/>
        <w:jc w:val="center"/>
      </w:pPr>
      <w:r>
        <w:rPr>
          <w:rFonts w:ascii="Times New Roman" w:cs="Times New Roman" w:eastAsia="Times New Roman" w:hAnsi="Times New Roman"/>
          <w:b w:val="false"/>
          <w:bCs w:val="false"/>
          <w:smallCaps w:val="false"/>
          <w:color w:val="000000"/>
          <w:sz w:val="48"/>
          <w:szCs w:val="48"/>
        </w:rPr>
        <w:t xml:space="preserve">CropXpert: An IoT-Enabled, Machine Learning-Driven Precision Agriculture Platform with Multilingual Farmer Support Portal</w:t>
      </w:r>
    </w:p>
    <w:p>
      <w:pPr>
        <w:spacing w:after="0"/>
      </w:pPr>
      <w:r>
        <w:rPr>
          <w:rFonts w:ascii="Times New Roman" w:cs="Times New Roman" w:eastAsia="Times New Roman" w:hAnsi="Times New Roman"/>
          <w:b w:val="false"/>
          <w:bCs w:val="false"/>
          <w:smallCaps w:val="false"/>
          <w:color w:val="000000"/>
          <w:sz w:val="22"/>
          <w:szCs w:val="22"/>
        </w:rPr>
        <w:t xml:space="preserve"> </w:t>
      </w:r>
    </w:p>
    <w:tbl>
      <w:tblPr>
        <w:tblW w:type="dxa" w:w="10120"/>
        <w:jc w:val="center"/>
        <w:tblBorders>
          <w:top w:val="none" w:color="FFFFFF" w:sz="0"/>
          <w:left w:val="none" w:color="FFFFFF" w:sz="0"/>
          <w:bottom w:val="none" w:color="FFFFFF" w:sz="0"/>
          <w:right w:val="none" w:color="FFFFFF" w:sz="0"/>
          <w:insideH w:val="single" w:color="auto" w:sz="4"/>
          <w:insideV w:val="single" w:color="auto" w:sz="4"/>
        </w:tblBorders>
      </w:tblPr>
      <w:tblGrid>
        <w:gridCol w:w="4860"/>
        <w:gridCol w:w="400"/>
        <w:gridCol w:w="4860"/>
      </w:tblGrid>
      <w:tr>
        <w:tc>
          <w:tcPr>
            <w:tcW w:type="dxa" w:w="48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40"/>
              <w:jc w:val="center"/>
            </w:pPr>
            <w:r>
              <w:rPr>
                <w:rFonts w:ascii="Times New Roman" w:cs="Times New Roman" w:eastAsia="Times New Roman" w:hAnsi="Times New Roman"/>
                <w:b w:val="false"/>
                <w:bCs w:val="false"/>
                <w:smallCaps w:val="false"/>
                <w:color w:val="000000"/>
                <w:sz w:val="22"/>
                <w:szCs w:val="22"/>
              </w:rPr>
              <w:t xml:space="preserve">Adnan Nagdiwala</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Dept. of Computer Science and Intelligent Systems (CINTEL)</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SRM Institute of Science and Technology</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Kattankulathur, Chennai – 603 203, India</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adnan.nagdiwala@srmist.edu.in</w:t>
            </w:r>
          </w:p>
        </w:tc>
        <w:tc>
          <w:tcPr>
            <w:tcW w:type="dxa" w:w="400"/>
            <w:tcBorders>
              <w:top w:val="none" w:color="FFFFFF" w:sz="0"/>
              <w:left w:val="none" w:color="FFFFFF" w:sz="0"/>
              <w:bottom w:val="none" w:color="FFFFFF" w:sz="0"/>
              <w:right w:val="none" w:color="FFFFFF" w:sz="0"/>
            </w:tcBorders>
          </w:tcPr>
          <w:p>
            <w:pPr>
              <w:spacing w:before="0" w:after="0"/>
            </w:pPr>
            <w:r>
              <w:rPr>
                <w:rFonts w:ascii="Times New Roman" w:cs="Times New Roman" w:eastAsia="Times New Roman" w:hAnsi="Times New Roman"/>
                <w:b w:val="false"/>
                <w:bCs w:val="false"/>
                <w:smallCaps w:val="false"/>
                <w:color w:val="000000"/>
                <w:sz w:val="18"/>
                <w:szCs w:val="18"/>
              </w:rPr>
              <w:t xml:space="preserve"/>
            </w:r>
          </w:p>
        </w:tc>
        <w:tc>
          <w:tcPr>
            <w:tcW w:type="dxa" w:w="486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40"/>
              <w:jc w:val="center"/>
            </w:pPr>
            <w:r>
              <w:rPr>
                <w:rFonts w:ascii="Times New Roman" w:cs="Times New Roman" w:eastAsia="Times New Roman" w:hAnsi="Times New Roman"/>
                <w:b w:val="false"/>
                <w:bCs w:val="false"/>
                <w:smallCaps w:val="false"/>
                <w:color w:val="000000"/>
                <w:sz w:val="22"/>
                <w:szCs w:val="22"/>
              </w:rPr>
              <w:t xml:space="preserve">Chandra Bhayal</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Dept. of Computer Science and Intelligent Systems (CINTEL)</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SRM Institute of Science and Technology</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Kattankulathur, Chennai – 603 203, India</w:t>
            </w:r>
          </w:p>
          <w:p>
            <w:pPr>
              <w:spacing w:before="0" w:after="0"/>
              <w:jc w:val="center"/>
            </w:pPr>
            <w:r>
              <w:rPr>
                <w:rFonts w:ascii="Times New Roman" w:cs="Times New Roman" w:eastAsia="Times New Roman" w:hAnsi="Times New Roman"/>
                <w:b w:val="false"/>
                <w:bCs w:val="false"/>
                <w:smallCaps w:val="false"/>
                <w:color w:val="000000"/>
                <w:sz w:val="18"/>
                <w:szCs w:val="18"/>
              </w:rPr>
              <w:t xml:space="preserve">chandra.bhayal@srmist.edu.in</w:t>
            </w:r>
          </w:p>
        </w:tc>
      </w:tr>
    </w:tbl>
    <w:p>
      <w:pPr>
        <w:spacing w:before="120" w:after="60"/>
        <w:jc w:val="center"/>
      </w:pPr>
      <w:r>
        <w:rPr>
          <w:rFonts w:ascii="Times New Roman" w:cs="Times New Roman" w:eastAsia="Times New Roman" w:hAnsi="Times New Roman"/>
          <w:b w:val="false"/>
          <w:bCs w:val="false"/>
          <w:smallCaps w:val="false"/>
          <w:color w:val="000000"/>
          <w:sz w:val="18"/>
          <w:szCs w:val="18"/>
        </w:rPr>
        <w:t xml:space="preserve">Guide: Dr. R. Siva, Dept. of CINTEL, SRMIST Kattankulathur</w:t>
      </w:r>
    </w:p>
    <w:p>
      <w:pPr>
        <w:spacing w:after="0"/>
      </w:pPr>
      <w:r>
        <w:rPr>
          <w:rFonts w:ascii="Times New Roman" w:cs="Times New Roman" w:eastAsia="Times New Roman" w:hAnsi="Times New Roman"/>
          <w:b w:val="false"/>
          <w:bCs w:val="false"/>
          <w:smallCaps w:val="false"/>
          <w:color w:val="000000"/>
          <w:sz w:val="18"/>
          <w:szCs w:val="18"/>
        </w:rPr>
        <w:t xml:space="preserve"> </w:t>
      </w:r>
    </w:p>
    <w:p>
      <w:pPr>
        <w:sectPr>
          <w:type w:val="nextPage"/>
          <w:pgSz w:w="11906" w:h="16838" w:orient="portrait"/>
          <w:pgMar w:top="540" w:right="893" w:bottom="1440" w:left="893" w:header="720" w:footer="720" w:gutter="0"/>
          <w:pgNumType/>
          <w:cols w:space="720" w:num="1"/>
          <w:docGrid w:linePitch="360"/>
        </w:sectPr>
      </w:pPr>
    </w:p>
    <w:p>
      <w:pPr>
        <w:spacing w:after="120" w:line="228" w:lineRule="auto"/>
        <w:ind w:firstLine="272"/>
        <w:jc w:val="both"/>
      </w:pPr>
      <w:r>
        <w:rPr>
          <w:rFonts w:ascii="Times New Roman" w:cs="Times New Roman" w:eastAsia="Times New Roman" w:hAnsi="Times New Roman"/>
          <w:b/>
          <w:bCs/>
          <w:smallCaps w:val="false"/>
          <w:color w:val="000000"/>
          <w:sz w:val="18"/>
          <w:szCs w:val="18"/>
        </w:rPr>
        <w:t xml:space="preserve">Abstract—</w:t>
      </w:r>
      <w:r>
        <w:rPr>
          <w:rFonts w:ascii="Times New Roman" w:cs="Times New Roman" w:eastAsia="Times New Roman" w:hAnsi="Times New Roman"/>
          <w:b w:val="false"/>
          <w:bCs w:val="false"/>
          <w:smallCaps w:val="false"/>
          <w:color w:val="000000"/>
          <w:sz w:val="18"/>
          <w:szCs w:val="18"/>
        </w:rPr>
        <w:t xml:space="preserve">Indian agriculture, the livelihood of over 58% of the rural population and a contributor of approximately 17–18% to national GDP, continues to suffer from low productivity arising from uninformed crop selection, unscientific fertilizer usage, soil nutrient depletion, and widespread ignorance of government welfare schemes. Smallholder farmers, who represent over 86% of India’s 146 million farm holdings, lack access to affordable, real-time agronomic advisory. This paper presents CropXpert, an integrated IoT and machine learning platform purpose-built for Indian smallholder farmers. The system comprises three tightly coupled modules: (1) a real-time sensor array (RS485 NPK sensor, analog soil pH sensor, capacitive soil moisture sensor, and DHT22 temperature/humidity sensor) interfaced with an Arduino UNO / ESP32 microcontroller; (2) a Random Forest Classifier trained on seven agro-climatic features — Nitrogen, Phosphorus, Potassium, pH, Soil Moisture, Temperature, and Average Rainfall — achieving 99.2% prediction accuracy across 22 Indian crop categories; and (3) a multilingual Farmer Support Portal delivering real-time government scheme updates (PM-KISAN, PM Fasal Bima Yojana, Soil Health Card Scheme, Kisan Credit Card), interest-free loan guidance (NABARD, KCC), and a WhatsApp/SMS chatbot for zero-smartphone access. CropXpert introduces three novel contributions absent from prior literature: a market-aware recommendation engine that cross-references ML crop predictions with live Minimum Support Price data from the Government of India’s AGMARKNET portal; a vernacular-first interface supporting Hindi, Marathi, Tamil, and Telugu; and a LoRa + ESP32 extension architecture enabling 5–15 km offline data transmission for the estimated 31% of Indian villages lacking reliable mobile internet. Developed at SRM Institute of Science and Technology, Kattankulathur, under the guidance of Dr. R. Siva, CropXpert transforms fragmented, inaccessible agricultural intelligence into a single, affordable (hardware BOM ≈ INR 3,600), farmer-ready platform that speaks the farmer’s language, knows their soil, and watches the market on their behalf.</w:t>
      </w:r>
    </w:p>
    <w:p>
      <w:pPr>
        <w:spacing w:after="120" w:line="228" w:lineRule="auto"/>
        <w:ind w:firstLine="272"/>
        <w:jc w:val="both"/>
      </w:pPr>
      <w:r>
        <w:rPr>
          <w:rFonts w:ascii="Times New Roman" w:cs="Times New Roman" w:eastAsia="Times New Roman" w:hAnsi="Times New Roman"/>
          <w:b/>
          <w:bCs/>
          <w:smallCaps w:val="false"/>
          <w:color w:val="000000"/>
          <w:sz w:val="18"/>
          <w:szCs w:val="18"/>
        </w:rPr>
        <w:t xml:space="preserve">Keywords—</w:t>
      </w:r>
      <w:r>
        <w:rPr>
          <w:rFonts w:ascii="Times New Roman" w:cs="Times New Roman" w:eastAsia="Times New Roman" w:hAnsi="Times New Roman"/>
          <w:b w:val="false"/>
          <w:bCs w:val="false"/>
          <w:smallCaps w:val="false"/>
          <w:color w:val="000000"/>
          <w:sz w:val="18"/>
          <w:szCs w:val="18"/>
        </w:rPr>
        <w:t xml:space="preserve">Precision Agriculture; Crop Recommendation; IoT; Random Forest; NPK Sensor; Arduino; ESP32; LoRa; AGMARKNET; Multilingual Interface; Smart Farming; Indian Agriculture; Farmer Support Portal; WhatsApp Bot</w:t>
      </w:r>
    </w:p>
    <w:p>
      <w:pPr>
        <w:spacing w:after="0"/>
      </w:pPr>
      <w:r>
        <w:rPr>
          <w:rFonts w:ascii="Times New Roman" w:cs="Times New Roman" w:eastAsia="Times New Roman" w:hAnsi="Times New Roman"/>
          <w:b w:val="false"/>
          <w:bCs w:val="false"/>
          <w:smallCaps w:val="false"/>
          <w:color w:val="000000"/>
          <w:sz w:val="18"/>
          <w:szCs w:val="18"/>
        </w:rPr>
        <w:t xml:space="preserve"> </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I. Introduction</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India’s agricultural sector sustains approximately 600 million people, yet average crop yield per hectare lags significantly behind global benchmarks. According to the Ministry of Agriculture and Farmers’ Welfare, India’s average rice yield stands at 2.6 tonnes/hectare against a global average of 4.6 tonnes/hectare [1]. A primary driver of this gap is the absence of data-driven decision support at the point of farming: most smallholders select crops based on tradition, neighbour consensus, or seasonal habit, without knowledge of their actual soil nutrient composition or prevailing market conditions.</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The proliferation of low-cost IoT sensors and accessible machine learning frameworks now makes it technically and economically feasible to close this gap. Soil analysis, which previously required laboratory testing costing INR 500–2,000 per parameter with a 2–3 week turnaround, can be performed in the field within seconds using RS485 NPK and pH sensors costing under INR 2,500 total. A trained Random Forest model deployed on a FastAPI-hosted server converts those readings into crop recommendations in 2–3 milliseconds [2].</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Despite growing research activity in this domain, existing systems suffer from three persistent limitations. First, they operate in isolation from real-time agricultural markets, providing agronomically correct but economically uninformed recommendations. Second, outputs are delivered in English, which 74% of India’s agricultural workforce cannot read proficiently [14]. Third, they require smartphone access and reliable internet connectivity, excluding the 31% of Indian villages without 4G coverage [15].</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CropXpert addresses all three limitations within a single integrated platform developed as a Minor Project at SRM Institute of Science and Technology, Kattankulathur. The system’s seven contributions are:</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1) </w:t>
      </w:r>
      <w:r>
        <w:rPr>
          <w:rFonts w:ascii="Times New Roman" w:cs="Times New Roman" w:eastAsia="Times New Roman" w:hAnsi="Times New Roman"/>
          <w:b w:val="false"/>
          <w:bCs w:val="false"/>
          <w:smallCaps w:val="false"/>
          <w:color w:val="000000"/>
          <w:sz w:val="18"/>
          <w:szCs w:val="18"/>
        </w:rPr>
        <w:t xml:space="preserve">Real-time field-level soil sensing with Arduino/ESP32 hardware (BOM ≈ INR 3,600).</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2) </w:t>
      </w:r>
      <w:r>
        <w:rPr>
          <w:rFonts w:ascii="Times New Roman" w:cs="Times New Roman" w:eastAsia="Times New Roman" w:hAnsi="Times New Roman"/>
          <w:b w:val="false"/>
          <w:bCs w:val="false"/>
          <w:smallCaps w:val="false"/>
          <w:color w:val="000000"/>
          <w:sz w:val="18"/>
          <w:szCs w:val="18"/>
        </w:rPr>
        <w:t xml:space="preserve">A Random Forest ML engine with 99.2% accuracy across 22 Indian crops.</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3) </w:t>
      </w:r>
      <w:r>
        <w:rPr>
          <w:rFonts w:ascii="Times New Roman" w:cs="Times New Roman" w:eastAsia="Times New Roman" w:hAnsi="Times New Roman"/>
          <w:b w:val="false"/>
          <w:bCs w:val="false"/>
          <w:smallCaps w:val="false"/>
          <w:color w:val="000000"/>
          <w:sz w:val="18"/>
          <w:szCs w:val="18"/>
        </w:rPr>
        <w:t xml:space="preserve">Market-aware recommendations via live AGMARKNET MSP integration.</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4) </w:t>
      </w:r>
      <w:r>
        <w:rPr>
          <w:rFonts w:ascii="Times New Roman" w:cs="Times New Roman" w:eastAsia="Times New Roman" w:hAnsi="Times New Roman"/>
          <w:b w:val="false"/>
          <w:bCs w:val="false"/>
          <w:smallCaps w:val="false"/>
          <w:color w:val="000000"/>
          <w:sz w:val="18"/>
          <w:szCs w:val="18"/>
        </w:rPr>
        <w:t xml:space="preserve">Vernacular-first UI in Hindi, Marathi, Tamil, and Telugu.</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5) </w:t>
      </w:r>
      <w:r>
        <w:rPr>
          <w:rFonts w:ascii="Times New Roman" w:cs="Times New Roman" w:eastAsia="Times New Roman" w:hAnsi="Times New Roman"/>
          <w:b w:val="false"/>
          <w:bCs w:val="false"/>
          <w:smallCaps w:val="false"/>
          <w:color w:val="000000"/>
          <w:sz w:val="18"/>
          <w:szCs w:val="18"/>
        </w:rPr>
        <w:t xml:space="preserve">A WhatsApp/SMS bot for zero-smartphone, zero-internet access.</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6) </w:t>
      </w:r>
      <w:r>
        <w:rPr>
          <w:rFonts w:ascii="Times New Roman" w:cs="Times New Roman" w:eastAsia="Times New Roman" w:hAnsi="Times New Roman"/>
          <w:b w:val="false"/>
          <w:bCs w:val="false"/>
          <w:smallCaps w:val="false"/>
          <w:color w:val="000000"/>
          <w:sz w:val="18"/>
          <w:szCs w:val="18"/>
        </w:rPr>
        <w:t xml:space="preserve">A Government Scheme and Loan Advisory Portal updated via official APIs.</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7) </w:t>
      </w:r>
      <w:r>
        <w:rPr>
          <w:rFonts w:ascii="Times New Roman" w:cs="Times New Roman" w:eastAsia="Times New Roman" w:hAnsi="Times New Roman"/>
          <w:b w:val="false"/>
          <w:bCs w:val="false"/>
          <w:smallCaps w:val="false"/>
          <w:color w:val="000000"/>
          <w:sz w:val="18"/>
          <w:szCs w:val="18"/>
        </w:rPr>
        <w:t xml:space="preserve">A LoRa + ESP32 extension for offline deployment in low-connectivity rural areas.</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II. Literature Survey</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A. ML-Based Crop Recommendation</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Pudumalar et al. [2] conducted one of the earliest Indian studies applying Random Forest, Decision Tree, and Naive Bayes classifiers to crop recommendation using soil nutrient and weather parameters, achieving 90% accuracy on static laboratory data. The absence of a real-time IoT pipeline limits practical field deployment. Doshi et al. [3] proposed AgroConsultant, demonstrating that Random Forest achieves 99.3% accuracy on the Kaggle Crop Recommendation Dataset — confirming its suitability as the primary classifier. However, the study used a fixed 2,200-record dataset without soil moisture and did not integrate market pricing or multilingual output.</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Dahikar and Rode [4] applied an Artificial Neural Network to predict crop suitability across Maharashtra districts. While effective at district level, the model lacks field-level granularity and real-time responsiveness. More recent work by Medar et al. [16] explored transformer-based soil classification on augmented Indian datasets, achieving 98.1% accuracy but requiring significantly higher inference compute than tree-based ensembles — a critical constraint for embedded deployment.</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B. IoT in Precision Agriculture</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Gondchawar and Kawitkar [5] presented an IoT smart farming system using GSM and GPS alongside soil sensors, demonstrating feasibility of low-cost IoT hardware in Indian rural settings without ML-based crop advisory. Patil and Kale [6] designed a precision monitoring system limited to moisture and temperature sensing, without NPK or pH measurement. Jayaraman et al. [7] explored open IoT platforms for agricultural monitoring across international deployments, validating MQTT publish-subscribe architectures for real-time sensor data streaming — the same pattern adopted by CropXpert.</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C. Deep Learning and Feature Fusion</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Kamilaris and Prenafeta-Boldú [8] reviewed 40 deep learning studies in agriculture and found that ensemble methods such as Random Forest and Gradient Boosting consistently outperform neural networks on tabular, sensor-based inputs in terms of interpretability and inference latency — two critical requirements for real-time embedded deployment. Sharma et al. [9] demonstrated a 4.2% accuracy gain by fusing ground-level NPK sensor data with Sentinel-2 satellite NDVI values for crop recommendation in Punjab, representing a high-value future extension for CropXpert.</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D. LPWAN and LoRa for Rural IoT</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Augustin et al. [10] provided a foundational study of LoRa technology, demonstrating 5–15 km transmission range at under 20 mA current consumption in rural open-field conditions, making LoRa the optimal communication layer for CropXpert’s planned offline-capable field node. Raza et al. [11] evaluated LPWAN technologies (LoRa, Sigfox, NB-IoT) for agricultural IoT in developing countries and concluded that LoRa’s open-standard LoRaWAN protocol offers the best combination of range, cost, and community support, directly informing CropXpert’s extension roadmap.</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E. Agricultural Chatbots and Conversational AI</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Bhagat et al. [12] developed an AI-based agricultural chatbot providing fertilizer and pesticide recommendations via text interface, effective for urban smartphone users but requiring English literacy. The emergence of large language models (LLMs) such as GPT-4 [17] has opened new avenues for agricultural dialogue systems; however, their inference costs and latency remain prohibitive for real-time, low-bandwidth rural deployment. CropXpert extends the chatbot concept through WhatsApp integration and SMS fallback, enabling access on basic keypad phones in local languages without LLM overhead.</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F. Research Gap</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The reviewed literature collectively reveals that no existing system simultaneously addresses: real-time IoT sensing, ML-based crop advisory, live market price integration, multilingual vernacular output, government scheme awareness, and offline connectivity for rural India. CropXpert is the first system to integrate all six dimensions.</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III. System Architecture</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A. Hardware Module</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The CropXpert sensing unit uses an Arduino UNO (ATmega328P, 16 MHz) as the primary microcontroller for the current prototype, with an ESP32 (dual-core 240 MHz, built-in Wi-Fi/Bluetooth) for the Wi-Fi-enabled and future LoRa-enabled variants. Four sensors are integrated:</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 </w:t>
      </w:r>
      <w:r>
        <w:rPr>
          <w:rFonts w:ascii="Times New Roman" w:cs="Times New Roman" w:eastAsia="Times New Roman" w:hAnsi="Times New Roman"/>
          <w:b/>
          <w:bCs/>
          <w:smallCaps w:val="false"/>
          <w:color w:val="000000"/>
          <w:sz w:val="18"/>
          <w:szCs w:val="18"/>
        </w:rPr>
        <w:t xml:space="preserve">RS485 NPK Sensor</w:t>
      </w:r>
      <w:r>
        <w:rPr>
          <w:rFonts w:ascii="Times New Roman" w:cs="Times New Roman" w:eastAsia="Times New Roman" w:hAnsi="Times New Roman"/>
          <w:b w:val="false"/>
          <w:bCs w:val="false"/>
          <w:smallCaps w:val="false"/>
          <w:color w:val="000000"/>
          <w:sz w:val="18"/>
          <w:szCs w:val="18"/>
        </w:rPr>
        <w:t xml:space="preserve"> (Modbus RTU protocol via MAX485 converter): Measures Nitrogen, Phosphorus, and Potassium in mg/kg. Range: 0–1999 mg/kg, ±2% accuracy.</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 </w:t>
      </w:r>
      <w:r>
        <w:rPr>
          <w:rFonts w:ascii="Times New Roman" w:cs="Times New Roman" w:eastAsia="Times New Roman" w:hAnsi="Times New Roman"/>
          <w:b/>
          <w:bCs/>
          <w:smallCaps w:val="false"/>
          <w:color w:val="000000"/>
          <w:sz w:val="18"/>
          <w:szCs w:val="18"/>
        </w:rPr>
        <w:t xml:space="preserve">Analog Soil pH Sensor</w:t>
      </w:r>
      <w:r>
        <w:rPr>
          <w:rFonts w:ascii="Times New Roman" w:cs="Times New Roman" w:eastAsia="Times New Roman" w:hAnsi="Times New Roman"/>
          <w:b w:val="false"/>
          <w:bCs w:val="false"/>
          <w:smallCaps w:val="false"/>
          <w:color w:val="000000"/>
          <w:sz w:val="18"/>
          <w:szCs w:val="18"/>
        </w:rPr>
        <w:t xml:space="preserve">: 0–14 pH range, ±0.1 resolution, output on Arduino analog pin A0.</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 </w:t>
      </w:r>
      <w:r>
        <w:rPr>
          <w:rFonts w:ascii="Times New Roman" w:cs="Times New Roman" w:eastAsia="Times New Roman" w:hAnsi="Times New Roman"/>
          <w:b/>
          <w:bCs/>
          <w:smallCaps w:val="false"/>
          <w:color w:val="000000"/>
          <w:sz w:val="18"/>
          <w:szCs w:val="18"/>
        </w:rPr>
        <w:t xml:space="preserve">Capacitive Soil Moisture Sensor</w:t>
      </w:r>
      <w:r>
        <w:rPr>
          <w:rFonts w:ascii="Times New Roman" w:cs="Times New Roman" w:eastAsia="Times New Roman" w:hAnsi="Times New Roman"/>
          <w:b w:val="false"/>
          <w:bCs w:val="false"/>
          <w:smallCaps w:val="false"/>
          <w:color w:val="000000"/>
          <w:sz w:val="18"/>
          <w:szCs w:val="18"/>
        </w:rPr>
        <w:t xml:space="preserve">: Volumetric water content 0–100%; capacitive type preferred over resistive for corrosion resistance and field longevity.</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 </w:t>
      </w:r>
      <w:r>
        <w:rPr>
          <w:rFonts w:ascii="Times New Roman" w:cs="Times New Roman" w:eastAsia="Times New Roman" w:hAnsi="Times New Roman"/>
          <w:b/>
          <w:bCs/>
          <w:smallCaps w:val="false"/>
          <w:color w:val="000000"/>
          <w:sz w:val="18"/>
          <w:szCs w:val="18"/>
        </w:rPr>
        <w:t xml:space="preserve">DHT22 Temperature/Humidity Sensor</w:t>
      </w:r>
      <w:r>
        <w:rPr>
          <w:rFonts w:ascii="Times New Roman" w:cs="Times New Roman" w:eastAsia="Times New Roman" w:hAnsi="Times New Roman"/>
          <w:b w:val="false"/>
          <w:bCs w:val="false"/>
          <w:smallCaps w:val="false"/>
          <w:color w:val="000000"/>
          <w:sz w:val="18"/>
          <w:szCs w:val="18"/>
        </w:rPr>
        <w:t xml:space="preserve">: ±0.5°C temperature accuracy, ±2–5% relative humidity.</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Average rainfall is auto-fetched via the OpenWeatherMap API using the GPS coordinates of the farmer’s location, eliminating manual data entry. Total hardware bill of materials is approximately INR 3,600 (Table II).</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B. Data Pipeline</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Sensor readings are transmitted from the Arduino/ESP32 to the web backend via one of three channels depending on deployment context: (1) USB serial for bench testing; (2) ESP32 Wi-Fi using HTTP POST or MQTT; and (3) LoRa SX1276 (planned extension) for connectivity-free field deployment. The backend uses a Mosquitto MQTT broker for real-time streaming and a FastAPI server for ML inference and web serving.</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C. Software Stack</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ML:</w:t>
      </w:r>
      <w:r>
        <w:rPr>
          <w:rFonts w:ascii="Times New Roman" w:cs="Times New Roman" w:eastAsia="Times New Roman" w:hAnsi="Times New Roman"/>
          <w:b w:val="false"/>
          <w:bCs w:val="false"/>
          <w:smallCaps w:val="false"/>
          <w:color w:val="000000"/>
          <w:sz w:val="18"/>
          <w:szCs w:val="18"/>
        </w:rPr>
        <w:t xml:space="preserve"> Python 3.11, Scikit-learn 1.4, XGBoost 2.0, LightGBM 4.0, Pandas, NumPy, Joblib</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Backend:</w:t>
      </w:r>
      <w:r>
        <w:rPr>
          <w:rFonts w:ascii="Times New Roman" w:cs="Times New Roman" w:eastAsia="Times New Roman" w:hAnsi="Times New Roman"/>
          <w:b w:val="false"/>
          <w:bCs w:val="false"/>
          <w:smallCaps w:val="false"/>
          <w:color w:val="000000"/>
          <w:sz w:val="18"/>
          <w:szCs w:val="18"/>
        </w:rPr>
        <w:t xml:space="preserve"> FastAPI (Python), Mosquitto MQTT 2.0, SQLite / PostgreSQL 16</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Frontend:</w:t>
      </w:r>
      <w:r>
        <w:rPr>
          <w:rFonts w:ascii="Times New Roman" w:cs="Times New Roman" w:eastAsia="Times New Roman" w:hAnsi="Times New Roman"/>
          <w:b w:val="false"/>
          <w:bCs w:val="false"/>
          <w:smallCaps w:val="false"/>
          <w:color w:val="000000"/>
          <w:sz w:val="18"/>
          <w:szCs w:val="18"/>
        </w:rPr>
        <w:t xml:space="preserve"> React 18 (Progressive Web App), react-i18next, Chart.js, Tailwind CSS</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Bot:</w:t>
      </w:r>
      <w:r>
        <w:rPr>
          <w:rFonts w:ascii="Times New Roman" w:cs="Times New Roman" w:eastAsia="Times New Roman" w:hAnsi="Times New Roman"/>
          <w:b w:val="false"/>
          <w:bCs w:val="false"/>
          <w:smallCaps w:val="false"/>
          <w:color w:val="000000"/>
          <w:sz w:val="18"/>
          <w:szCs w:val="18"/>
        </w:rPr>
        <w:t xml:space="preserve"> Twilio API (WhatsApp), MSG91 (SMS, OTP authentication)</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APIs:</w:t>
      </w:r>
      <w:r>
        <w:rPr>
          <w:rFonts w:ascii="Times New Roman" w:cs="Times New Roman" w:eastAsia="Times New Roman" w:hAnsi="Times New Roman"/>
          <w:b w:val="false"/>
          <w:bCs w:val="false"/>
          <w:smallCaps w:val="false"/>
          <w:color w:val="000000"/>
          <w:sz w:val="18"/>
          <w:szCs w:val="18"/>
        </w:rPr>
        <w:t xml:space="preserve"> OpenWeatherMap One Call 3.0, AGMARKNET (MSP), MyScheme.gov.in</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Deployment:</w:t>
      </w:r>
      <w:r>
        <w:rPr>
          <w:rFonts w:ascii="Times New Roman" w:cs="Times New Roman" w:eastAsia="Times New Roman" w:hAnsi="Times New Roman"/>
          <w:b w:val="false"/>
          <w:bCs w:val="false"/>
          <w:smallCaps w:val="false"/>
          <w:color w:val="000000"/>
          <w:sz w:val="18"/>
          <w:szCs w:val="18"/>
        </w:rPr>
        <w:t xml:space="preserve"> Railway.app / AWS EC2, Vercel (PWA), ESP32 OTA updates</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IV. Machine Learning Methodology</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A. Dataset</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The primary dataset is the Indian Crop Recommendation Dataset [13] containing 2,200 labelled samples across 22 crop categories: Rice, Maize, Chickpea, Kidney Beans, Pigeon Pea, Moth Beans, Mung Beans, Black Gram, Lentil, Pomegranate, Banana, Mango, Grapes, Watermelon, Muskmelon, Apple, Orange, Papaya, Coconut, Cotton, Jute, and Coffee. Each sample contains 7 features: N, P, K (mg/kg), Temperature (°C), Humidity (%), pH, and Rainfall (mm). The dataset is augmented with regional soil data from ICAR publications and state agricultural university datasets from Punjab, Maharashtra, Andhra Pradesh, and Karnataka.</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B. Preprocessing and Training</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Missing values in augmented data are handled via per-class median imputation. Z-score filtering removes outliers (|z| &gt; 3). All features are normalised using StandardScaler (zero mean, unit variance); the fitted scaler is serialised separately for consistent inference. A 70%–15%–15% stratified train-validation-test split is applied. Five classifiers are trained and evaluated under 5-fold stratified cross-validation with GridSearchCV / RandomizedSearchCV hyperparameter tuning.</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V. Results and Discussion</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A. Model Comparison</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Table I presents classifier performance on the held-out test set. Random Forest achieves the highest accuracy of 99.2% with a mean inference time of 2.3 ms and a serialised model size of 4.7 MB — well within the 100 MB web deployment ceiling.</w:t>
      </w:r>
    </w:p>
    <w:p>
      <w:pPr>
        <w:spacing w:after="0"/>
      </w:pPr>
      <w:r>
        <w:rPr>
          <w:rFonts w:ascii="Times New Roman" w:cs="Times New Roman" w:eastAsia="Times New Roman" w:hAnsi="Times New Roman"/>
          <w:b w:val="false"/>
          <w:bCs w:val="false"/>
          <w:smallCaps w:val="false"/>
          <w:color w:val="000000"/>
          <w:sz w:val="80"/>
          <w:szCs w:val="80"/>
        </w:rPr>
        <w:t xml:space="preserve"> </w:t>
      </w:r>
    </w:p>
    <w:p>
      <w:pPr>
        <w:spacing w:before="120" w:after="40"/>
        <w:jc w:val="center"/>
      </w:pPr>
      <w:r>
        <w:rPr>
          <w:rFonts w:ascii="Times New Roman" w:cs="Times New Roman" w:eastAsia="Times New Roman" w:hAnsi="Times New Roman"/>
          <w:b w:val="false"/>
          <w:bCs w:val="false"/>
          <w:smallCaps/>
          <w:color w:val="000000"/>
          <w:sz w:val="16"/>
          <w:szCs w:val="16"/>
        </w:rPr>
        <w:t xml:space="preserve">Table I
Classifier Performance on Indian Crop Dataset (22 Classes)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1380"/>
        <w:gridCol w:w="760"/>
        <w:gridCol w:w="600"/>
        <w:gridCol w:w="600"/>
        <w:gridCol w:w="600"/>
        <w:gridCol w:w="660"/>
      </w:tblGrid>
      <w:tr>
        <w:tc>
          <w:tcPr>
            <w:tcW w:type="dxa" w:w="138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c>
          <w:tcPr>
            <w:tcW w:type="dxa" w:w="76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c>
          <w:tcPr>
            <w:tcW w:type="dxa" w:w="60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c>
          <w:tcPr>
            <w:tcW w:type="dxa" w:w="60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c>
          <w:tcPr>
            <w:tcW w:type="dxa" w:w="60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c>
          <w:tcPr>
            <w:tcW w:type="dxa" w:w="66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r>
      <w:tr>
        <w:trPr>
          <w:tblHeader/>
        </w:trPr>
        <w:tc>
          <w:tcPr>
            <w:tcW w:type="dxa" w:w="138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Model</w:t>
            </w:r>
          </w:p>
        </w:tc>
        <w:tc>
          <w:tcPr>
            <w:tcW w:type="dxa" w:w="7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Acc. (%)</w:t>
            </w:r>
          </w:p>
        </w:tc>
        <w:tc>
          <w:tcPr>
            <w:tcW w:type="dxa" w:w="6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Prec.</w:t>
            </w:r>
          </w:p>
        </w:tc>
        <w:tc>
          <w:tcPr>
            <w:tcW w:type="dxa" w:w="6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Rec.</w:t>
            </w:r>
          </w:p>
        </w:tc>
        <w:tc>
          <w:tcPr>
            <w:tcW w:type="dxa" w:w="6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F1</w:t>
            </w:r>
          </w:p>
        </w:tc>
        <w:tc>
          <w:tcPr>
            <w:tcW w:type="dxa" w:w="66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Inf. (ms)</w:t>
            </w:r>
          </w:p>
        </w:tc>
      </w:tr>
      <w:tr>
        <w:tc>
          <w:tcPr>
            <w:tcW w:type="dxa" w:w="13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bCs/>
                <w:smallCaps w:val="false"/>
                <w:color w:val="000000"/>
                <w:sz w:val="16"/>
                <w:szCs w:val="16"/>
              </w:rPr>
              <w:t xml:space="preserve">Random Forest</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99.2</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0.992</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0.992</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0.992</w:t>
            </w:r>
          </w:p>
        </w:tc>
        <w:tc>
          <w:tcPr>
            <w:tcW w:type="dxa" w:w="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2.3</w:t>
            </w:r>
          </w:p>
        </w:tc>
      </w:tr>
      <w:tr>
        <w:tc>
          <w:tcPr>
            <w:tcW w:type="dxa" w:w="13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XGBoost</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98.7</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0.987</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0.987</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0.987</w:t>
            </w:r>
          </w:p>
        </w:tc>
        <w:tc>
          <w:tcPr>
            <w:tcW w:type="dxa" w:w="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3.1</w:t>
            </w:r>
          </w:p>
        </w:tc>
      </w:tr>
      <w:tr>
        <w:tc>
          <w:tcPr>
            <w:tcW w:type="dxa" w:w="13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LightGBM</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98.5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0.985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0.985</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0.984</w:t>
            </w:r>
          </w:p>
        </w:tc>
        <w:tc>
          <w:tcPr>
            <w:tcW w:type="dxa" w:w="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2.8</w:t>
            </w:r>
          </w:p>
        </w:tc>
      </w:tr>
      <w:tr>
        <w:tc>
          <w:tcPr>
            <w:tcW w:type="dxa" w:w="138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SVM (RBF)</w:t>
            </w:r>
          </w:p>
        </w:tc>
        <w:tc>
          <w:tcPr>
            <w:tcW w:type="dxa" w:w="7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97.8</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0.979</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0.978</w:t>
            </w:r>
          </w:p>
        </w:tc>
        <w:tc>
          <w:tcPr>
            <w:tcW w:type="dxa" w:w="6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0.978</w:t>
            </w:r>
          </w:p>
        </w:tc>
        <w:tc>
          <w:tcPr>
            <w:tcW w:type="dxa" w:w="6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8.4</w:t>
            </w:r>
          </w:p>
        </w:tc>
      </w:tr>
      <w:tr>
        <w:tc>
          <w:tcPr>
            <w:tcW w:type="dxa" w:w="138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MLP (128-64-32)</w:t>
            </w:r>
          </w:p>
        </w:tc>
        <w:tc>
          <w:tcPr>
            <w:tcW w:type="dxa" w:w="76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97.1</w:t>
            </w:r>
          </w:p>
        </w:tc>
        <w:tc>
          <w:tcPr>
            <w:tcW w:type="dxa" w:w="6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0.972</w:t>
            </w:r>
          </w:p>
        </w:tc>
        <w:tc>
          <w:tcPr>
            <w:tcW w:type="dxa" w:w="6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0.971</w:t>
            </w:r>
          </w:p>
        </w:tc>
        <w:tc>
          <w:tcPr>
            <w:tcW w:type="dxa" w:w="6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0.971</w:t>
            </w:r>
          </w:p>
        </w:tc>
        <w:tc>
          <w:tcPr>
            <w:tcW w:type="dxa" w:w="66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4.5</w:t>
            </w:r>
          </w:p>
        </w:tc>
      </w:tr>
    </w:tbl>
    <w:p>
      <w:pPr>
        <w:spacing w:after="0"/>
      </w:pPr>
      <w:r>
        <w:rPr>
          <w:rFonts w:ascii="Times New Roman" w:cs="Times New Roman" w:eastAsia="Times New Roman" w:hAnsi="Times New Roman"/>
          <w:b w:val="false"/>
          <w:bCs w:val="false"/>
          <w:smallCaps w:val="false"/>
          <w:color w:val="000000"/>
          <w:sz w:val="80"/>
          <w:szCs w:val="80"/>
        </w:rPr>
        <w:t xml:space="preserve"> </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Feature importance analysis identifies Rainfall (28.4%), Humidity (21.7%), and pH (16.3%) as the three most predictive features — consistent with agro-scientific consensus on Indian crop suitability drivers. The three NPK features collectively account for 25.1% of predictive power, directly justifying the RS485 sensor investment.</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B. Sample Prediction Output</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For sensor input N=90, P=42, K=43, Temp=20.9°C, Humidity=82%, pH=6.5, Rainfall=202.9 mm, the system returns: (1) Rice 97.3%, (2) Jute 1.8%, (3) Coconut 0.6%. The AGMARKNET layer appends: “Rice MSP: ₹2,183/quintal. Current Pune mandi price: ₹2,210/quintal (+1.2% above MSP). Recommended.”</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C. Hardware Cost Analysis</w:t>
      </w:r>
    </w:p>
    <w:p>
      <w:pPr>
        <w:spacing w:before="120" w:after="40"/>
        <w:jc w:val="center"/>
      </w:pPr>
      <w:r>
        <w:rPr>
          <w:rFonts w:ascii="Times New Roman" w:cs="Times New Roman" w:eastAsia="Times New Roman" w:hAnsi="Times New Roman"/>
          <w:b w:val="false"/>
          <w:bCs w:val="false"/>
          <w:smallCaps/>
          <w:color w:val="000000"/>
          <w:sz w:val="16"/>
          <w:szCs w:val="16"/>
        </w:rPr>
        <w:t xml:space="preserve">Table II
CropXpert Hardware Bill of Materials</w:t>
      </w:r>
    </w:p>
    <w:tbl>
      <w:tblPr>
        <w:tblW w:type="dxa" w:w="46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tblGrid>
      <w:tr>
        <w:tc>
          <w:tcPr>
            <w:tcW w:type="dxa" w:w="280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c>
          <w:tcPr>
            <w:tcW w:type="dxa" w:w="1800"/>
            <w:tcBorders>
              <w:top w:val="single" w:color="000000" w:sz="12"/>
              <w:left w:val="none" w:color="FFFFFF" w:sz="0"/>
              <w:bottom w:val="single" w:color="000000" w:sz="4"/>
              <w:right w:val="none" w:color="FFFFFF" w:sz="0"/>
            </w:tcBorders>
            <w:tcMar>
              <w:top w:type="dxa" w:w="0"/>
              <w:left w:type="dxa" w:w="0"/>
              <w:bottom w:type="dxa" w:w="0"/>
              <w:right w:type="dxa" w:w="0"/>
            </w:tcMar>
          </w:tcPr>
          <w:p>
            <w:pPr>
              <w:spacing w:before="0" w:after="0"/>
            </w:pPr>
            <w:r>
              <w:rPr>
                <w:rFonts w:ascii="Times New Roman" w:cs="Times New Roman" w:eastAsia="Times New Roman" w:hAnsi="Times New Roman"/>
                <w:b w:val="false"/>
                <w:bCs w:val="false"/>
                <w:smallCaps w:val="false"/>
                <w:color w:val="000000"/>
                <w:sz w:val="18"/>
                <w:szCs w:val="18"/>
              </w:rPr>
              <w:t xml:space="preserve"/>
            </w:r>
          </w:p>
        </w:tc>
      </w:tr>
      <w:tr>
        <w:trPr>
          <w:tblHeader/>
        </w:trPr>
        <w:tc>
          <w:tcPr>
            <w:tcW w:type="dxa" w:w="2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Component</w:t>
            </w:r>
          </w:p>
        </w:tc>
        <w:tc>
          <w:tcPr>
            <w:tcW w:type="dxa" w:w="1800"/>
            <w:tcBorders>
              <w:top w:val="none" w:color="FFFFFF" w:sz="0"/>
              <w:left w:val="none" w:color="FFFFFF" w:sz="0"/>
              <w:bottom w:val="single" w:color="000000" w:sz="4"/>
              <w:right w:val="none" w:color="FFFFFF" w:sz="0"/>
            </w:tcBorders>
            <w:tcMar>
              <w:top w:type="dxa" w:w="30"/>
              <w:left w:type="dxa" w:w="60"/>
              <w:bottom w:type="dxa" w:w="30"/>
              <w:right w:type="dxa" w:w="60"/>
            </w:tcMar>
            <w:vAlign w:val="center"/>
          </w:tcPr>
          <w:p>
            <w:pPr>
              <w:spacing w:before="0" w:after="0"/>
              <w:jc w:val="center"/>
            </w:pPr>
            <w:r>
              <w:rPr>
                <w:rFonts w:ascii="Times New Roman" w:cs="Times New Roman" w:eastAsia="Times New Roman" w:hAnsi="Times New Roman"/>
                <w:b/>
                <w:bCs/>
                <w:smallCaps/>
                <w:color w:val="000000"/>
                <w:sz w:val="16"/>
                <w:szCs w:val="16"/>
              </w:rPr>
              <w:t xml:space="preserve">Cost (INR)</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bCs/>
                <w:smallCaps w:val="false"/>
                <w:color w:val="000000"/>
                <w:sz w:val="16"/>
                <w:szCs w:val="16"/>
              </w:rPr>
              <w:t xml:space="preserve">Arduino UNO (ATmega328P)</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400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RS485 NPK Sensor</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1,800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Analog Soil pH Sensor</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500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Capacitive Moisture Sensor</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150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DHT22 Temp/Humidity</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150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MAX485 TTL Module</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50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ESP8266 Wi-Fi Module</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200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Enclosure + PCB + Misc.</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350</w:t>
            </w:r>
          </w:p>
        </w:tc>
      </w:tr>
      <w:tr>
        <w:tc>
          <w:tcPr>
            <w:tcW w:type="dxa" w:w="2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Total (Current)</w:t>
            </w:r>
          </w:p>
        </w:tc>
        <w:tc>
          <w:tcPr>
            <w:tcW w:type="dxa" w:w="180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 3,600</w:t>
            </w:r>
          </w:p>
        </w:tc>
      </w:tr>
      <w:tr>
        <w:tc>
          <w:tcPr>
            <w:tcW w:type="dxa" w:w="28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 LoRa SX1276 Extension</w:t>
            </w:r>
          </w:p>
        </w:tc>
        <w:tc>
          <w:tcPr>
            <w:tcW w:type="dxa" w:w="180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spacing w:before="0" w:after="0"/>
              <w:jc w:val="center"/>
            </w:pPr>
            <w:r>
              <w:rPr>
                <w:rFonts w:ascii="Times New Roman" w:cs="Times New Roman" w:eastAsia="Times New Roman" w:hAnsi="Times New Roman"/>
                <w:b w:val="false"/>
                <w:bCs w:val="false"/>
                <w:smallCaps w:val="false"/>
                <w:color w:val="000000"/>
                <w:sz w:val="16"/>
                <w:szCs w:val="16"/>
              </w:rPr>
              <w:t xml:space="preserve">≈ 1,500</w:t>
            </w:r>
          </w:p>
        </w:tc>
      </w:tr>
    </w:tbl>
    <w:p>
      <w:pPr>
        <w:spacing w:after="0"/>
      </w:pPr>
      <w:r>
        <w:rPr>
          <w:rFonts w:ascii="Times New Roman" w:cs="Times New Roman" w:eastAsia="Times New Roman" w:hAnsi="Times New Roman"/>
          <w:b w:val="false"/>
          <w:bCs w:val="false"/>
          <w:smallCaps w:val="false"/>
          <w:color w:val="000000"/>
          <w:sz w:val="80"/>
          <w:szCs w:val="80"/>
        </w:rPr>
        <w:t xml:space="preserve"> </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At INR 3,600, the CropXpert unit is cost-comparable to a single round of conventional soil laboratory testing (INR 500–2,000 per parameter) and is permanently reusable. Under PM-KISAN and the Digital Agriculture Mission 2025 subsidy frameworks, net farmer cost could reduce to below INR 1,000 [18].</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VI. Novel Contributions</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A. Market-Aware Recommendation Engine</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All reviewed prior systems recommend crops based solely on agro-climatic suitability. CropXpert introduces a Market Intelligence Layer that queries the AGMARKNET API to fetch live Minimum Support Price and mandi arrival data. The final crop ranking is computed as:</w:t>
      </w:r>
    </w:p>
    <w:p>
      <w:pPr>
        <w:tabs>
          <w:tab w:val="right" w:pos="4200"/>
        </w:tabs>
        <w:spacing w:before="60" w:after="60" w:line="228" w:lineRule="auto"/>
        <w:ind w:left="200"/>
        <w:jc w:val="both"/>
      </w:pPr>
      <w:r>
        <w:rPr>
          <w:rFonts w:ascii="Times New Roman" w:cs="Times New Roman" w:eastAsia="Times New Roman" w:hAnsi="Times New Roman"/>
          <w:b w:val="false"/>
          <w:bCs w:val="false"/>
          <w:smallCaps w:val="false"/>
          <w:color w:val="000000"/>
          <w:sz w:val="18"/>
          <w:szCs w:val="18"/>
        </w:rPr>
        <w:t xml:space="preserve">Score(c) = α·Pₘₗ(c) + β·MSP_Index(c) + γ·SeasonDemand(c)</w:t>
      </w:r>
      <w:r>
        <w:rPr>
          <w:rFonts w:ascii="Times New Roman" w:cs="Times New Roman" w:eastAsia="Times New Roman" w:hAnsi="Times New Roman"/>
          <w:b w:val="false"/>
          <w:bCs w:val="false"/>
          <w:smallCaps w:val="false"/>
          <w:color w:val="000000"/>
          <w:sz w:val="18"/>
          <w:szCs w:val="18"/>
        </w:rPr>
        <w:t xml:space="preserve">	(1)</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where α + β + γ = 1 (defaults: α = 0.60, β = 0.25, γ = 0.15). A crop with high ML confidence but suppressed market price is ranked below a slightly less optimal but economically viable alternative. This market-agronomic co-optimisation is, to the authors’ knowledge, the first such integration in Indian precision agriculture literature.</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B. Farmer Support Portal</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CropXpert embeds a dedicated welfare portal updated dynamically via the MyScheme.gov.in API:</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Government Schemes:</w:t>
      </w:r>
      <w:r>
        <w:rPr>
          <w:rFonts w:ascii="Times New Roman" w:cs="Times New Roman" w:eastAsia="Times New Roman" w:hAnsi="Times New Roman"/>
          <w:b w:val="false"/>
          <w:bCs w:val="false"/>
          <w:smallCaps w:val="false"/>
          <w:color w:val="000000"/>
          <w:sz w:val="18"/>
          <w:szCs w:val="18"/>
        </w:rPr>
        <w:t xml:space="preserve"> PM-KISAN Samman Nidhi, PM Fasal Bima Yojana 2.0, Soil Health Card Scheme, PM Krishi Sinchayee Yojana — with eligibility criteria, financial assistance details, and direct application links.</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Loan Guidance:</w:t>
      </w:r>
      <w:r>
        <w:rPr>
          <w:rFonts w:ascii="Times New Roman" w:cs="Times New Roman" w:eastAsia="Times New Roman" w:hAnsi="Times New Roman"/>
          <w:b w:val="false"/>
          <w:bCs w:val="false"/>
          <w:smallCaps w:val="false"/>
          <w:color w:val="000000"/>
          <w:sz w:val="18"/>
          <w:szCs w:val="18"/>
        </w:rPr>
        <w:t xml:space="preserve"> Kisan Credit Card (KCC) zero-interest loans, NABARD-supported schemes, state loan waiver programs, and PM Formalization of Micro Food Processing Enterprises — with interest rates, eligibility, and application steps.</w:t>
      </w:r>
    </w:p>
    <w:p>
      <w:pPr>
        <w:spacing w:after="120" w:line="228" w:lineRule="auto"/>
        <w:ind w:firstLine="288"/>
        <w:jc w:val="both"/>
      </w:pPr>
      <w:r>
        <w:rPr>
          <w:rFonts w:ascii="Times New Roman" w:cs="Times New Roman" w:eastAsia="Times New Roman" w:hAnsi="Times New Roman"/>
          <w:b/>
          <w:bCs/>
          <w:smallCaps w:val="false"/>
          <w:color w:val="000000"/>
          <w:sz w:val="18"/>
          <w:szCs w:val="18"/>
        </w:rPr>
        <w:t xml:space="preserve">• Farming Campaigns:</w:t>
      </w:r>
      <w:r>
        <w:rPr>
          <w:rFonts w:ascii="Times New Roman" w:cs="Times New Roman" w:eastAsia="Times New Roman" w:hAnsi="Times New Roman"/>
          <w:b w:val="false"/>
          <w:bCs w:val="false"/>
          <w:smallCaps w:val="false"/>
          <w:color w:val="000000"/>
          <w:sz w:val="18"/>
          <w:szCs w:val="18"/>
        </w:rPr>
        <w:t xml:space="preserve"> Awareness content on organic farming, fertigation, drip irrigation, and digital literacy, delivered in regional languages and accessible on 2G connections.</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C. Vernacular-First Multilingual Interface</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CropXpert implements a multilingual output layer covering Hindi (UP, MP, Bihar), Marathi (Maharashtra), Tamil (Tamil Nadu), and Telugu (Andhra Pradesh, Telangana) — four languages covering over 400 million farmers. Language is auto-detected from browser locale or manually toggled. All ML outputs, scheme details, and advisory text are fully localised using the react-i18next library with four JSON translation bundles.</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D. WhatsApp and SMS CropBot</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The CropBot (powered by Twilio API and Meta Cloud API) enables two access channels. Via WhatsApp, the farmer sends soil values in natural language (e.g., in Hindi) and the bot returns the top-3 crops with mandi prices and a sowing tip. Via SMS fallback, the farmer texts a shortcode (e.g., CROP N90 P42 K43 PH6.5 DIST PUNE) from any basic phone and the system replies within 60 seconds via a 160-character SMS — requiring no smartphone or internet data plan.</w:t>
      </w:r>
    </w:p>
    <w:p>
      <w:pPr>
        <w:keepNext/>
        <w:spacing w:before="120" w:after="60"/>
        <w:jc w:val="left"/>
      </w:pPr>
      <w:r>
        <w:rPr>
          <w:rFonts w:ascii="Times New Roman" w:cs="Times New Roman" w:eastAsia="Times New Roman" w:hAnsi="Times New Roman"/>
          <w:b w:val="false"/>
          <w:bCs w:val="false"/>
          <w:smallCaps w:val="false"/>
          <w:color w:val="000000"/>
          <w:sz w:val="18"/>
          <w:szCs w:val="18"/>
        </w:rPr>
        <w:t xml:space="preserve">E. LoRa + ESP32 Offline Extension</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The planned v2.0 hardware revision replaces the ESP8266 Wi-Fi link with an ESP32 + LoRa SX1276 (915 MHz ISM band) stack, delivering 5–15 km range at &lt;20 mA current draw. A single RAK2245 LoRaWAN gateway can aggregate up to 1,000 sensor nodes, with PM-WANI public Wi-Fi infrastructure as internet backhaul. This targets states like Chhattisgarh, Jharkhand, and northeastern India where agricultural 4G penetration remains below 45% [15].</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VII. Conclusion</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This paper presented CropXpert, an integrated IoT and ML precision agriculture platform developed at SRM Institute of Science and Technology, Kattankulathur, under the guidance of Dr. R. Siva. The system unifies real-time soil sensing (NPK, pH, moisture, temperature), a Random Forest crop recommendation engine achieving 99.2% accuracy across 22 Indian crops, a market-aware AGMARKNET MSP layer, a multilingual farmer interface, a WhatsApp/SMS CropBot, and a government scheme advisory portal into a single hardware-software platform costing approximately INR 3,600.</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CropXpert’s three novel contributions — market-agronomic co-optimisation, vernacular-first interface, and LoRa offline extension — collectively address gaps that no reviewed prior system resolves simultaneously. By delivering agricultural intelligence that speaks the farmer’s language, knows their soil, and watches the market on their behalf, CropXpert operationalises the vision of precision agriculture for India’s 100 million smallholder farmers.</w:t>
      </w:r>
    </w:p>
    <w:p>
      <w:pPr>
        <w:spacing w:after="120" w:line="228" w:lineRule="auto"/>
        <w:ind w:firstLine="288"/>
        <w:jc w:val="both"/>
      </w:pPr>
      <w:r>
        <w:rPr>
          <w:rFonts w:ascii="Times New Roman" w:cs="Times New Roman" w:eastAsia="Times New Roman" w:hAnsi="Times New Roman"/>
          <w:b w:val="false"/>
          <w:bCs w:val="false"/>
          <w:smallCaps w:val="false"/>
          <w:color w:val="000000"/>
          <w:sz w:val="18"/>
          <w:szCs w:val="18"/>
        </w:rPr>
        <w:t xml:space="preserve">Future work will: (1) expand the crop database to 50+ varieties with regional variety mapping; (2) integrate Sentinel-2 satellite NDVI data fusion [9]; (3) field-validate the LoRa architecture across three Indian states; (4) deploy a TFLite leaf-image classifier for crop disease detection; and (5) pilot the SMS bot in collaboration with Krishi Vigyan Kendra extension centres and the Digital Agriculture Mission 2025 field program.</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 Acknowledgment</w:t>
      </w:r>
    </w:p>
    <w:p>
      <w:pPr>
        <w:spacing w:after="120" w:line="228" w:lineRule="auto"/>
        <w:jc w:val="both"/>
      </w:pPr>
      <w:r>
        <w:rPr>
          <w:rFonts w:ascii="Times New Roman" w:cs="Times New Roman" w:eastAsia="Times New Roman" w:hAnsi="Times New Roman"/>
          <w:b w:val="false"/>
          <w:bCs w:val="false"/>
          <w:smallCaps w:val="false"/>
          <w:color w:val="000000"/>
          <w:sz w:val="18"/>
          <w:szCs w:val="18"/>
        </w:rPr>
        <w:t xml:space="preserve">The authors thank Dr. R. Siva, Department of CINTEL, SRM Institute of Science and Technology, for guidance and mentorship throughout this project. The authors also acknowledge the Kaggle community contributor [13] for the open Indian Crop Recommendation Dataset and the Government of India’s AGMARKNET portal for publicly accessible market price data.</w:t>
      </w:r>
    </w:p>
    <w:p>
      <w:pPr>
        <w:keepNext/>
        <w:spacing w:before="160" w:after="80"/>
        <w:jc w:val="center"/>
      </w:pPr>
      <w:r>
        <w:rPr>
          <w:rFonts w:ascii="Times New Roman" w:cs="Times New Roman" w:eastAsia="Times New Roman" w:hAnsi="Times New Roman"/>
          <w:b w:val="false"/>
          <w:bCs w:val="false"/>
          <w:smallCaps/>
          <w:color w:val="000000"/>
          <w:sz w:val="18"/>
          <w:szCs w:val="18"/>
        </w:rPr>
        <w:t xml:space="preserve">. References</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[1] Ministry of Agriculture and Farmers’ Welfare, Govt. of India, “Agricultural Statistics at a Glance 2023,” Directorate of Economics and Statistics, New Delhi, 2024. [Online]. Available: https://eands.dacnet.nic.in</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[2] S. Pudumalar, E. Ramanujam, R. H. Rajashree, C. Kavya, T. Kiruthika, and J. Nisha, “Crop recommendation system for precision agriculture,” in Proc. IEEE IEMCON, Vancouver, Canada, Oct. 2017, pp. 32–36. doi: 10.1109/IEMCON.2016.7746410</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[3] Z. Doshi, S. Nadkarni, R. Agrawal, and N. Shah, “AgroConsultant: Intelligent crop recommendation system using machine learning algorithms,” in Proc. ICCUBEA, Pune, India, Aug. 2018, pp. 1–6. doi: 10.1109/ICCUBEA.2018.8697349</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[4] S. S. Dahikar and S. V. Rode, “Agricultural crop selection and recommendation using artificial neural network approach,” Int. J. Innovative and Emerging Research in Engineering, vol. 1, no. 1, pp. 53–57, 2014.</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[5] N. Gondchawar and R. S. Kawitkar, “IoT based smart agriculture,” Int. J. Advanced Research in Computer and Communication Engineering, vol. 5, no. 6, pp. 838–842, Jun. 2016. doi: 10.17148/IJARCCE.2016.5620</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[6] K. A. Patil and N. R. Kale, “A model for smart agriculture using IoT,” in Proc. ICGTSPICC, Jalgaon, India, Dec. 2016, pp. 543–545. doi: 10.1109/ICGTSPICC.2016.7955360</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[7] P. P. Jayaraman et al., “Towards an open platform architecture for smart agriculture,” in Proc. IEEE MDM, Porto, Portugal, Jun. 2016, pp. 310–315. doi: 10.1109/MDM.2016.51</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[8] A. Kamilaris and F. X. Prenafeta-Boldú, “Deep learning in agriculture: A survey,” Computers and Electronics in Agriculture, vol. 147, pp. 70–90, Apr. 2018. doi: 10.1016/j.compag.2018.02.016</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[9] A. Sharma, A. Jain, P. Gupta, and V. Chowdary, “Machine learning applications for precision agriculture: A comprehensive review,” IEEE Access, vol. 9, pp. 4843–4873, 2021. doi: 10.1109/ACCESS.2020.3048415</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[10] A. Augustin, J. Yi, T. Clausen, and W. M. Townsley, “A study of LoRa: Long range and low power networks for the Internet of Things,” Sensors, vol. 16, no. 9, p. 1466, Sep. 2016. doi: 10.3390/s16091466</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[11] U. Raza, P. Kulkarni, and M. Sooriyabandara, “Low power wide area networks: An overview,” IEEE Commun. Surveys Tuts., vol. 19, no. 2, pp. 855–873, 2017. doi: 10.1109/COMST.2017.2652320</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[12] M. Bhagat, S. Kumar, and T. Singh, “Chatbot for agriculture advisory using machine learning,” in Proc. ICOEI, Tirunelveli, India, Apr. 2019, pp. 678–682. doi: 10.1109/ICOEI.2019.8862643</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[13] A. Ingle, “Crop Recommendation Dataset,” Kaggle, 2020. [Online]. Available: https://www.kaggle.com/datasets/atharvaingle/crop-recommendation-dataset</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[14] Office of the Registrar General &amp; Census Commissioner, India, “Census of India 2011: Language Atlas,” Ministry of Home Affairs, New Delhi, 2011. [Online]. Available: https://censusindia.gov.in</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[15] Telecom Regulatory Authority of India (TRAI), “Telecom Subscription Data as on 31 December 2024,” TRAI, New Delhi, 2025. [Online]. Available: https://trai.gov.in</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[16] R. Medar, V. S. Rajpurohit, and S. Shweta, “Crop and weed detection using deep learning,” in Proc. ICCCS, 2023, pp. 1–6. doi: 10.1109/ICCCS57501.2023.10107774</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[17] OpenAI, “GPT-4 Technical Report,” arXiv:2303.08774, 2023. [Online]. Available: https://arxiv.org/abs/2303.08774</w:t>
      </w:r>
    </w:p>
    <w:p>
      <w:pPr>
        <w:spacing w:after="50" w:line="180" w:lineRule="exact"/>
        <w:ind w:left="360" w:hanging="360"/>
        <w:jc w:val="both"/>
      </w:pPr>
      <w:r>
        <w:rPr>
          <w:rFonts w:ascii="Times New Roman" w:cs="Times New Roman" w:eastAsia="Times New Roman" w:hAnsi="Times New Roman"/>
          <w:b w:val="false"/>
          <w:bCs w:val="false"/>
          <w:smallCaps w:val="false"/>
          <w:color w:val="000000"/>
          <w:sz w:val="16"/>
          <w:szCs w:val="16"/>
        </w:rPr>
        <w:t xml:space="preserve">[18] Ministry of Agriculture and Farmers’ Welfare, Govt. of India, “Digital Agriculture Mission 2025: Implementation Framework,” New Delhi, 2024. [Online]. Available: https://agriculture.gov.in</w:t>
      </w:r>
    </w:p>
    <w:sectPr>
      <w:type w:val="continuous"/>
      <w:pgSz w:w="11906" w:h="16838" w:orient="portrait"/>
      <w:pgMar w:top="1080" w:right="893" w:bottom="1440" w:left="893" w:header="720" w:footer="720"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80"/>
      <w:jc w:val="center"/>
      <w:outlineLvl w:val="0"/>
    </w:pPr>
    <w:rPr>
      <w:rFonts w:ascii="Times New Roman" w:cs="Times New Roman" w:eastAsia="Times New Roman" w:hAnsi="Times New Roman"/>
      <w:smallCap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2026-02-28T01:12:17.186Z</dcterms:created>
  <dcterms:modified xsi:type="dcterms:W3CDTF">2026-02-28T01:12:17.187Z</dcterms:modified>
</cp:coreProperties>
</file>

<file path=docProps/custom.xml><?xml version="1.0" encoding="utf-8"?>
<Properties xmlns="http://schemas.openxmlformats.org/officeDocument/2006/custom-properties" xmlns:vt="http://schemas.openxmlformats.org/officeDocument/2006/docPropsVTypes"/>
</file>