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40"/>
        <w:jc w:val="center"/>
      </w:pPr>
      <w:r>
        <w:rPr>
          <w:rFonts w:ascii="Times New Roman" w:cs="Times New Roman" w:eastAsia="Times New Roman" w:hAnsi="Times New Roman"/>
          <w:color w:val="1A2E4A"/>
          <w:sz w:val="22"/>
          <w:szCs w:val="22"/>
        </w:rPr>
        <w:t xml:space="preserve">School of Computing</w:t>
      </w:r>
    </w:p>
    <w:p>
      <w:pPr>
        <w:spacing w:before="0" w:after="40"/>
        <w:jc w:val="center"/>
      </w:pPr>
      <w:r>
        <w:rPr>
          <w:rFonts w:ascii="Times New Roman" w:cs="Times New Roman" w:eastAsia="Times New Roman" w:hAnsi="Times New Roman"/>
          <w:color w:val="1A2E4A"/>
          <w:sz w:val="22"/>
          <w:szCs w:val="22"/>
        </w:rPr>
        <w:t xml:space="preserve">Department of Computer Science and Intelligent Systems (CINTEL)</w:t>
      </w:r>
    </w:p>
    <w:p>
      <w:pPr>
        <w:spacing w:before="0" w:after="260"/>
        <w:jc w:val="center"/>
      </w:pPr>
      <w:r>
        <w:rPr>
          <w:rFonts w:ascii="Times New Roman" w:cs="Times New Roman" w:eastAsia="Times New Roman" w:hAnsi="Times New Roman"/>
          <w:color w:val="6B7280"/>
          <w:sz w:val="22"/>
          <w:szCs w:val="22"/>
        </w:rPr>
        <w:t xml:space="preserve">SRM Institute of Science and Technology, Kattankulathur – 603 203</w:t>
      </w:r>
    </w:p>
    <w:p>
      <w:pPr>
        <w:spacing w:before="0" w:after="100"/>
        <w:jc w:val="center"/>
      </w:pPr>
      <w:r>
        <w:rPr>
          <w:rFonts w:ascii="Times New Roman" w:cs="Times New Roman" w:eastAsia="Times New Roman" w:hAnsi="Times New Roman"/>
          <w:b/>
          <w:bCs/>
          <w:color w:val="1A2E4A"/>
          <w:sz w:val="48"/>
          <w:szCs w:val="48"/>
        </w:rPr>
        <w:t xml:space="preserve">Architecture Document</w:t>
      </w:r>
    </w:p>
    <w:p>
      <w:pPr>
        <w:spacing w:before="0" w:after="100"/>
        <w:jc w:val="center"/>
      </w:pPr>
      <w:r>
        <w:rPr>
          <w:rFonts w:ascii="Times New Roman" w:cs="Times New Roman" w:eastAsia="Times New Roman" w:hAnsi="Times New Roman"/>
          <w:color w:val="2563EB"/>
          <w:sz w:val="22"/>
          <w:szCs w:val="22"/>
        </w:rPr>
        <w:t xml:space="preserve">──────────────────────────────────────────────────────────</w:t>
      </w:r>
    </w:p>
    <w:p>
      <w:pPr>
        <w:spacing w:before="0" w:after="80"/>
        <w:jc w:val="center"/>
      </w:pPr>
      <w:r>
        <w:rPr>
          <w:rFonts w:ascii="Times New Roman" w:cs="Times New Roman" w:eastAsia="Times New Roman" w:hAnsi="Times New Roman"/>
          <w:b/>
          <w:bCs/>
          <w:color w:val="2563EB"/>
          <w:sz w:val="36"/>
          <w:szCs w:val="36"/>
        </w:rPr>
        <w:t xml:space="preserve">CropXpert</w:t>
      </w:r>
    </w:p>
    <w:p>
      <w:pPr>
        <w:spacing w:before="0" w:after="40"/>
        <w:jc w:val="center"/>
      </w:pPr>
      <w:r>
        <w:rPr>
          <w:rFonts w:ascii="Times New Roman" w:cs="Times New Roman" w:eastAsia="Times New Roman" w:hAnsi="Times New Roman"/>
          <w:color w:val="1A2E4A"/>
          <w:sz w:val="24"/>
          <w:szCs w:val="24"/>
        </w:rPr>
        <w:t xml:space="preserve">An IoT-Enabled, Machine Learning-Driven Precision Agriculture Platform</w:t>
      </w:r>
    </w:p>
    <w:p>
      <w:pPr>
        <w:spacing w:before="0" w:after="300"/>
        <w:jc w:val="center"/>
      </w:pPr>
      <w:r>
        <w:rPr>
          <w:rFonts w:ascii="Times New Roman" w:cs="Times New Roman" w:eastAsia="Times New Roman" w:hAnsi="Times New Roman"/>
          <w:color w:val="1A2E4A"/>
          <w:sz w:val="24"/>
          <w:szCs w:val="24"/>
        </w:rPr>
        <w:t xml:space="preserve">with Multilingual Farmer Support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bCs/>
                <w:color w:val="FFFFFF"/>
                <w:sz w:val="19"/>
                <w:szCs w:val="19"/>
              </w:rPr>
              <w:t xml:space="preserve">Team Members</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Adnan Nagdiwala (RA2311026010119)   |   Chandra Bhayal (RA2311026010072)</w:t>
            </w:r>
          </w:p>
        </w:tc>
      </w:tr>
      <w:t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bCs/>
                <w:color w:val="FFFFFF"/>
                <w:sz w:val="19"/>
                <w:szCs w:val="19"/>
              </w:rPr>
              <w:t xml:space="preserve">Project Guide</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Dr. R. Siva, Department of CINTEL, SRMIST Kattankulathur</w:t>
            </w:r>
          </w:p>
        </w:tc>
      </w:tr>
      <w:t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bCs/>
                <w:color w:val="FFFFFF"/>
                <w:sz w:val="19"/>
                <w:szCs w:val="19"/>
              </w:rPr>
              <w:t xml:space="preserve">Domain</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IoT + Machine Learning + Web Development</w:t>
            </w:r>
          </w:p>
        </w:tc>
      </w:tr>
      <w:t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bCs/>
                <w:color w:val="FFFFFF"/>
                <w:sz w:val="19"/>
                <w:szCs w:val="19"/>
              </w:rPr>
              <w:t xml:space="preserve">Academic Year</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2024-25  |  Minor Project (21CSP302L)</w:t>
            </w:r>
          </w:p>
        </w:tc>
      </w:tr>
      <w:t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bCs/>
                <w:color w:val="FFFFFF"/>
                <w:sz w:val="19"/>
                <w:szCs w:val="19"/>
              </w:rPr>
              <w:t xml:space="preserve">Project Status</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Guide Accepted  |  Sprint 1: Done  |  Sprint 2: In Progress</w:t>
            </w:r>
          </w:p>
        </w:tc>
      </w:tr>
      <w:t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bCs/>
                <w:color w:val="FFFFFF"/>
                <w:sz w:val="19"/>
                <w:szCs w:val="19"/>
              </w:rPr>
              <w:t xml:space="preserve">SDG Alignment</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SDG 2: Zero Hunger  |  SDG 15: Life on Land  |  SDG 9: Innovation</w:t>
            </w:r>
          </w:p>
        </w:tc>
      </w:tr>
    </w:tbl>
    <w:p>
      <w:r>
        <w:br w:type="page"/>
      </w:r>
    </w:p>
    <w:p>
      <w:pPr>
        <w:pStyle w:val="Heading1"/>
        <w:pBdr>
          <w:bottom w:val="single" w:color="2563EB" w:sz="8" w:space="4"/>
        </w:pBdr>
        <w:spacing w:before="300" w:after="160"/>
      </w:pPr>
      <w:r>
        <w:rPr>
          <w:rFonts w:ascii="Times New Roman" w:cs="Times New Roman" w:eastAsia="Times New Roman" w:hAnsi="Times New Roman"/>
          <w:b/>
          <w:bCs/>
          <w:color w:val="1A2E4A"/>
          <w:sz w:val="28"/>
          <w:szCs w:val="28"/>
        </w:rPr>
        <w:t xml:space="preserve">1.  Introduction and Architectural Methodology</w:t>
      </w:r>
    </w:p>
    <w:p>
      <w:pPr>
        <w:spacing w:before="80" w:after="80" w:line="340"/>
        <w:jc w:val="both"/>
      </w:pPr>
      <w:r>
        <w:rPr>
          <w:rFonts w:ascii="Times New Roman" w:cs="Times New Roman" w:eastAsia="Times New Roman" w:hAnsi="Times New Roman"/>
          <w:b w:val="false"/>
          <w:bCs w:val="false"/>
          <w:color w:val="000000"/>
          <w:sz w:val="22"/>
          <w:szCs w:val="22"/>
        </w:rPr>
        <w:t xml:space="preserve">CropXpert is an end-to-end precision agriculture platform engineered for Indian smallholder farmers. It integrates real-time IoT soil sensing, a machine learning crop recommendation engine, a market intelligence layer, a government scheme advisory portal, and a multilingual conversational bot into a single, affordable hardware-software solution (hardware BOM approximately INR 3,600). This document presents the complete system architecture using the seven canonical UML views mandated for Review 1: System Overview, Use Case, Class, Data Flow (Level 0 and Level 1), Component, Sequence, and Deployment diagrams.</w:t>
      </w:r>
    </w:p>
    <w:p>
      <w:pPr>
        <w:pStyle w:val="Heading2"/>
        <w:spacing w:before="220" w:after="100"/>
      </w:pPr>
      <w:r>
        <w:rPr>
          <w:rFonts w:ascii="Times New Roman" w:cs="Times New Roman" w:eastAsia="Times New Roman" w:hAnsi="Times New Roman"/>
          <w:b/>
          <w:bCs/>
          <w:color w:val="2563EB"/>
          <w:sz w:val="24"/>
          <w:szCs w:val="24"/>
        </w:rPr>
        <w:t xml:space="preserve">1.1  Selected Architecture: Microservices over a MQTT Event Bus</w:t>
      </w:r>
    </w:p>
    <w:p>
      <w:pPr>
        <w:spacing w:before="80" w:after="80" w:line="340"/>
        <w:jc w:val="both"/>
      </w:pPr>
      <w:r>
        <w:rPr>
          <w:rFonts w:ascii="Times New Roman" w:cs="Times New Roman" w:eastAsia="Times New Roman" w:hAnsi="Times New Roman"/>
          <w:b w:val="false"/>
          <w:bCs w:val="false"/>
          <w:color w:val="000000"/>
          <w:sz w:val="22"/>
          <w:szCs w:val="22"/>
        </w:rPr>
        <w:t xml:space="preserve">After evaluating Monolithic, Serverless, and Microservices patterns against CropXpert's functional requirements, the team selected a Microservices architecture orchestrated via an MQTT publish-subscribe event bus. The three primary justifications are listed below.</w:t>
      </w:r>
    </w:p>
    <w:p>
      <w:pPr>
        <w:pStyle w:val="ListParagraph"/>
        <w:numPr>
          <w:ilvl w:val="0"/>
          <w:numId w:val="2"/>
        </w:numPr>
        <w:spacing w:before="40" w:after="40" w:line="300"/>
      </w:pPr>
      <w:r>
        <w:rPr>
          <w:rFonts w:ascii="Times New Roman" w:cs="Times New Roman" w:eastAsia="Times New Roman" w:hAnsi="Times New Roman"/>
          <w:sz w:val="21"/>
          <w:szCs w:val="21"/>
        </w:rPr>
        <w:t xml:space="preserve">Independent deployability: The ML inference service, the Market Intelligence scorer, and the Scheme Advisory module are deployed as separate FastAPI routers, allowing the 4.7 MB Random Forest model to be updated without restarting the Scheme portal.</w:t>
      </w:r>
    </w:p>
    <w:p>
      <w:pPr>
        <w:pStyle w:val="ListParagraph"/>
        <w:numPr>
          <w:ilvl w:val="0"/>
          <w:numId w:val="2"/>
        </w:numPr>
        <w:spacing w:before="40" w:after="40" w:line="300"/>
      </w:pPr>
      <w:r>
        <w:rPr>
          <w:rFonts w:ascii="Times New Roman" w:cs="Times New Roman" w:eastAsia="Times New Roman" w:hAnsi="Times New Roman"/>
          <w:sz w:val="21"/>
          <w:szCs w:val="21"/>
        </w:rPr>
        <w:t xml:space="preserve">Heterogeneous hardware integration: The Arduino/ESP32 field node communicates over lightweight MQTT, while the React PWA consumes a REST/JSON API. A monolithic architecture would couple these two very different transport protocols unnecessarily.</w:t>
      </w:r>
    </w:p>
    <w:p>
      <w:pPr>
        <w:pStyle w:val="ListParagraph"/>
        <w:numPr>
          <w:ilvl w:val="0"/>
          <w:numId w:val="2"/>
        </w:numPr>
        <w:spacing w:before="40" w:after="40" w:line="300"/>
      </w:pPr>
      <w:r>
        <w:rPr>
          <w:rFonts w:ascii="Times New Roman" w:cs="Times New Roman" w:eastAsia="Times New Roman" w:hAnsi="Times New Roman"/>
          <w:sz w:val="21"/>
          <w:szCs w:val="21"/>
        </w:rPr>
        <w:t xml:space="preserve">Offline resilience: The LoRa SX1276 extension (v2.0 roadmap) requires a gateway-to-broker relay pattern natively supported by MQTT's broker topology but would require significant rework in a serverless or monolithic design.</w:t>
      </w:r>
    </w:p>
    <w:p>
      <w:pPr>
        <w:spacing w:before="50" w:after="50"/>
      </w:pPr>
      <w:r>
        <w:t xml:space="preserve"/>
      </w:r>
    </w:p>
    <w:p>
      <w:pPr>
        <w:pStyle w:val="Heading2"/>
        <w:spacing w:before="220" w:after="100"/>
      </w:pPr>
      <w:r>
        <w:rPr>
          <w:rFonts w:ascii="Times New Roman" w:cs="Times New Roman" w:eastAsia="Times New Roman" w:hAnsi="Times New Roman"/>
          <w:b/>
          <w:bCs/>
          <w:color w:val="2563EB"/>
          <w:sz w:val="24"/>
          <w:szCs w:val="24"/>
        </w:rPr>
        <w:t xml:space="preserve">1.2  Architecture Style Justification</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bCs/>
                <w:color w:val="FFFFFF"/>
                <w:sz w:val="19"/>
                <w:szCs w:val="19"/>
              </w:rPr>
              <w:t xml:space="preserve">Architecture</w:t>
            </w:r>
          </w:p>
        </w:tc>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bCs/>
                <w:color w:val="FFFFFF"/>
                <w:sz w:val="19"/>
                <w:szCs w:val="19"/>
              </w:rPr>
              <w:t xml:space="preserve">Pros</w:t>
            </w:r>
          </w:p>
        </w:tc>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bCs/>
                <w:color w:val="FFFFFF"/>
                <w:sz w:val="19"/>
                <w:szCs w:val="19"/>
              </w:rPr>
              <w:t xml:space="preserve">Cons</w:t>
            </w:r>
          </w:p>
        </w:tc>
        <w:tc>
          <w:tcPr>
            <w:tcW w:type="dxa" w:w="2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bCs/>
                <w:color w:val="FFFFFF"/>
                <w:sz w:val="19"/>
                <w:szCs w:val="19"/>
              </w:rPr>
              <w:t xml:space="preserve">CropXpert Decision</w:t>
            </w:r>
          </w:p>
        </w:tc>
      </w:tr>
      <w:tr>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bCs/>
                <w:color w:val="166534"/>
                <w:sz w:val="19"/>
                <w:szCs w:val="19"/>
              </w:rPr>
              <w:t xml:space="preserve">Microservices ✓ Selected</w:t>
            </w:r>
          </w:p>
        </w:tc>
        <w:tc>
          <w:tcPr>
            <w:tcW w:type="dxa" w:w="2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166534"/>
                <w:sz w:val="19"/>
                <w:szCs w:val="19"/>
              </w:rPr>
              <w:t xml:space="preserve">Independent deploy; MQTT decouples IoT from API</w:t>
            </w:r>
          </w:p>
        </w:tc>
        <w:tc>
          <w:tcPr>
            <w:tcW w:type="dxa" w:w="2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166534"/>
                <w:sz w:val="19"/>
                <w:szCs w:val="19"/>
              </w:rPr>
              <w:t xml:space="preserve">Distributed tracing overhead</w:t>
            </w:r>
          </w:p>
        </w:tc>
        <w:tc>
          <w:tcPr>
            <w:tcW w:type="dxa" w:w="29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166534"/>
                <w:sz w:val="19"/>
                <w:szCs w:val="19"/>
              </w:rPr>
              <w:t xml:space="preserve">Selected — MQTT bus + FastAPI microservices is the optimal fit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Monolithic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Simple single deployment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ML update requires full app restart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Rejected — ML, bot, and scheme portal must update independently</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Event-Driven</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Fully async, spike-resilient</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Overkill for v1.0 concurrent load</w:t>
            </w:r>
          </w:p>
        </w:tc>
        <w:tc>
          <w:tcPr>
            <w:tcW w:type="dxa" w:w="29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Partially adopted — MQTT is event-driven; REST for sync ops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Serverless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Zero infra management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Cold-start &gt;500 ms kills 2.3 ms ML SLA</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Rejected — ML inference latency requirement is incompatible</w:t>
            </w:r>
          </w:p>
        </w:tc>
      </w:tr>
    </w:tbl>
    <w:p>
      <w:r>
        <w:br w:type="page"/>
      </w:r>
    </w:p>
    <w:p>
      <w:pPr>
        <w:pStyle w:val="Heading1"/>
        <w:pBdr>
          <w:bottom w:val="single" w:color="2563EB" w:sz="8" w:space="4"/>
        </w:pBdr>
        <w:spacing w:before="300" w:after="160"/>
      </w:pPr>
      <w:r>
        <w:rPr>
          <w:rFonts w:ascii="Times New Roman" w:cs="Times New Roman" w:eastAsia="Times New Roman" w:hAnsi="Times New Roman"/>
          <w:b/>
          <w:bCs/>
          <w:color w:val="1A2E4A"/>
          <w:sz w:val="28"/>
          <w:szCs w:val="28"/>
        </w:rPr>
        <w:t xml:space="preserve">2.  System Architecture Overview</w:t>
      </w:r>
    </w:p>
    <w:p>
      <w:pPr>
        <w:spacing w:before="80" w:after="80" w:line="340"/>
        <w:jc w:val="both"/>
      </w:pPr>
      <w:r>
        <w:rPr>
          <w:rFonts w:ascii="Times New Roman" w:cs="Times New Roman" w:eastAsia="Times New Roman" w:hAnsi="Times New Roman"/>
          <w:b w:val="false"/>
          <w:bCs w:val="false"/>
          <w:color w:val="000000"/>
          <w:sz w:val="22"/>
          <w:szCs w:val="22"/>
        </w:rPr>
        <w:t xml:space="preserve">Figure 1 presents the complete seven-layer system architecture of CropXpert. The horizontal layers are ordered from the physical hardware at the top (closest to the field) down to the external government and weather data APIs at the bottom. Data flows primarily downward (sensor data through ML inference to farmer recommendation) and upward (API responses through scoring to dashboard), with a lateral MQTT bus connecting the edge and backend layers.</w:t>
      </w:r>
    </w:p>
    <w:p>
      <w:pPr>
        <w:spacing w:before="100" w:after="60"/>
        <w:jc w:val="center"/>
      </w:pPr>
      <w:r>
        <w:drawing>
          <wp:inline distT="0" distB="0" distL="0" distR="0">
            <wp:extent cx="5857875"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7875" cy="3905250"/>
                    </a:xfrm>
                    <a:prstGeom prst="rect">
                      <a:avLst/>
                    </a:prstGeom>
                  </pic:spPr>
                </pic:pic>
              </a:graphicData>
            </a:graphic>
          </wp:inline>
        </w:drawing>
      </w:r>
    </w:p>
    <w:p>
      <w:pPr>
        <w:spacing w:before="60" w:after="180"/>
        <w:jc w:val="center"/>
      </w:pPr>
      <w:r>
        <w:rPr>
          <w:rFonts w:ascii="Times New Roman" w:cs="Times New Roman" w:eastAsia="Times New Roman" w:hAnsi="Times New Roman"/>
          <w:b/>
          <w:bCs/>
          <w:color w:val="1A2E4A"/>
          <w:sz w:val="19"/>
          <w:szCs w:val="19"/>
        </w:rPr>
        <w:t xml:space="preserve">Figure 1: CropXpert Full System Architecture — Seven-Layer View</w:t>
      </w:r>
    </w:p>
    <w:p>
      <w:pPr>
        <w:spacing w:before="80" w:after="80" w:line="340"/>
        <w:jc w:val="both"/>
      </w:pPr>
      <w:r>
        <w:rPr>
          <w:rFonts w:ascii="Times New Roman" w:cs="Times New Roman" w:eastAsia="Times New Roman" w:hAnsi="Times New Roman"/>
          <w:b w:val="false"/>
          <w:bCs w:val="false"/>
          <w:color w:val="000000"/>
          <w:sz w:val="22"/>
          <w:szCs w:val="22"/>
        </w:rPr>
        <w:t xml:space="preserve">Layer 1 (Physical Sensing) houses the four field sensors: an RS485 NPK sensor communicating over the Modbus RTU protocol via the MAX485 converter, an analog soil pH sensor on Arduino pin A0, a capacitive soil moisture sensor, and a DHT22 temperature and humidity sensor. A GPS module provides coordinates for auto-fetching rainfall data from OpenWeatherMap, eliminating manual entry.</w:t>
      </w:r>
    </w:p>
    <w:p>
      <w:pPr>
        <w:spacing w:before="80" w:after="80" w:line="340"/>
        <w:jc w:val="both"/>
      </w:pPr>
      <w:r>
        <w:rPr>
          <w:rFonts w:ascii="Times New Roman" w:cs="Times New Roman" w:eastAsia="Times New Roman" w:hAnsi="Times New Roman"/>
          <w:b w:val="false"/>
          <w:bCs w:val="false"/>
          <w:color w:val="000000"/>
          <w:sz w:val="22"/>
          <w:szCs w:val="22"/>
        </w:rPr>
        <w:t xml:space="preserve">Layer 2 (Edge/Communication) contains the Arduino UNO as the primary sensor controller and the ESP32 as the Wi-Fi and future LoRa gateway. The Mosquitto MQTT broker receives sensor payloads on the topic cropxpert/farm/{farm_id}/sensors and forwards them to the backend.</w:t>
      </w:r>
    </w:p>
    <w:p>
      <w:pPr>
        <w:spacing w:before="80" w:after="80" w:line="340"/>
        <w:jc w:val="both"/>
      </w:pPr>
      <w:r>
        <w:rPr>
          <w:rFonts w:ascii="Times New Roman" w:cs="Times New Roman" w:eastAsia="Times New Roman" w:hAnsi="Times New Roman"/>
          <w:b w:val="false"/>
          <w:bCs w:val="false"/>
          <w:color w:val="000000"/>
          <w:sz w:val="22"/>
          <w:szCs w:val="22"/>
        </w:rPr>
        <w:t xml:space="preserve">Layers 3-5 handle ML inference (Random Forest, 2.3 ms, 99.2% accuracy), market intelligence (AGMARKNET MSP scoring), and multilingual presentation (React PWA in Hindi, Marathi, Tamil, Telugu; WhatsApp bot via Twilio; SMS shortcode via MSG91 for zero-smartphone access).</w:t>
      </w:r>
    </w:p>
    <w:p>
      <w:r>
        <w:br w:type="page"/>
      </w:r>
    </w:p>
    <w:p>
      <w:pPr>
        <w:pStyle w:val="Heading1"/>
        <w:pBdr>
          <w:bottom w:val="single" w:color="2563EB" w:sz="8" w:space="4"/>
        </w:pBdr>
        <w:spacing w:before="300" w:after="160"/>
      </w:pPr>
      <w:r>
        <w:rPr>
          <w:rFonts w:ascii="Times New Roman" w:cs="Times New Roman" w:eastAsia="Times New Roman" w:hAnsi="Times New Roman"/>
          <w:b/>
          <w:bCs/>
          <w:color w:val="1A2E4A"/>
          <w:sz w:val="28"/>
          <w:szCs w:val="28"/>
        </w:rPr>
        <w:t xml:space="preserve">3.  Use Case Diagram</w:t>
      </w:r>
    </w:p>
    <w:p>
      <w:pPr>
        <w:spacing w:before="80" w:after="80" w:line="340"/>
        <w:jc w:val="both"/>
      </w:pPr>
      <w:r>
        <w:rPr>
          <w:rFonts w:ascii="Times New Roman" w:cs="Times New Roman" w:eastAsia="Times New Roman" w:hAnsi="Times New Roman"/>
          <w:b w:val="false"/>
          <w:bCs w:val="false"/>
          <w:color w:val="000000"/>
          <w:sz w:val="22"/>
          <w:szCs w:val="22"/>
        </w:rPr>
        <w:t xml:space="preserve">Figure 2 captures all actors and their interactions with CropXpert within the system boundary. Five actors are identified: the primary Smallholder Farmer (smartphone-equipped), the SMS/Basic Phone User (feature phone, no internet), the Arduino/ESP32 Sensor Node (automated publisher), the External APIs (AGMARKNET, OpenWeatherMap, MyScheme.gov.in), and the Agricultural Officer/Admin (content management).</w:t>
      </w:r>
    </w:p>
    <w:p>
      <w:pPr>
        <w:spacing w:before="100" w:after="6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52875"/>
                    </a:xfrm>
                    <a:prstGeom prst="rect">
                      <a:avLst/>
                    </a:prstGeom>
                  </pic:spPr>
                </pic:pic>
              </a:graphicData>
            </a:graphic>
          </wp:inline>
        </w:drawing>
      </w:r>
    </w:p>
    <w:p>
      <w:pPr>
        <w:spacing w:before="60" w:after="180"/>
        <w:jc w:val="center"/>
      </w:pPr>
      <w:r>
        <w:rPr>
          <w:rFonts w:ascii="Times New Roman" w:cs="Times New Roman" w:eastAsia="Times New Roman" w:hAnsi="Times New Roman"/>
          <w:b/>
          <w:bCs/>
          <w:color w:val="1A2E4A"/>
          <w:sz w:val="19"/>
          <w:szCs w:val="19"/>
        </w:rPr>
        <w:t xml:space="preserve">Figure 2: CropXpert UML Use Case Diagram — Actors and System Boundary</w:t>
      </w:r>
    </w:p>
    <w:p>
      <w:pPr>
        <w:spacing w:before="80" w:after="80" w:line="340"/>
        <w:jc w:val="both"/>
      </w:pPr>
      <w:r>
        <w:rPr>
          <w:rFonts w:ascii="Times New Roman" w:cs="Times New Roman" w:eastAsia="Times New Roman" w:hAnsi="Times New Roman"/>
          <w:b w:val="false"/>
          <w:bCs w:val="false"/>
          <w:color w:val="000000"/>
          <w:sz w:val="22"/>
          <w:szCs w:val="22"/>
        </w:rPr>
        <w:t xml:space="preserve">Key use case relationships: (1) an include dependency between Get Top-3 Crop Recommendations and View Market MSP &amp; Mandi Prices, since every recommendation mandatorily fetches live market prices; (2) an include dependency between Get Recommendations and Stream NPK/pH/Moisture via MQTT, since the recommendation process depends on fresh sensor data; and (3) an extend relationship from Chat via WhatsApp Bot to the base Farmer recommendation flow, representing the optional conversational channel. The SMS shortcode bot serves the identical core use case for non-smartphone users through a stripped-down 160-character interface.</w:t>
      </w:r>
    </w:p>
    <w:p>
      <w:r>
        <w:br w:type="page"/>
      </w:r>
    </w:p>
    <w:p>
      <w:pPr>
        <w:pStyle w:val="Heading1"/>
        <w:pBdr>
          <w:bottom w:val="single" w:color="2563EB" w:sz="8" w:space="4"/>
        </w:pBdr>
        <w:spacing w:before="300" w:after="160"/>
      </w:pPr>
      <w:r>
        <w:rPr>
          <w:rFonts w:ascii="Times New Roman" w:cs="Times New Roman" w:eastAsia="Times New Roman" w:hAnsi="Times New Roman"/>
          <w:b/>
          <w:bCs/>
          <w:color w:val="1A2E4A"/>
          <w:sz w:val="28"/>
          <w:szCs w:val="28"/>
        </w:rPr>
        <w:t xml:space="preserve">4.  Class Diagram</w:t>
      </w:r>
    </w:p>
    <w:p>
      <w:pPr>
        <w:spacing w:before="80" w:after="80" w:line="340"/>
        <w:jc w:val="both"/>
      </w:pPr>
      <w:r>
        <w:rPr>
          <w:rFonts w:ascii="Times New Roman" w:cs="Times New Roman" w:eastAsia="Times New Roman" w:hAnsi="Times New Roman"/>
          <w:b w:val="false"/>
          <w:bCs w:val="false"/>
          <w:color w:val="000000"/>
          <w:sz w:val="22"/>
          <w:szCs w:val="22"/>
        </w:rPr>
        <w:t xml:space="preserve">Figure 3 presents the core domain model as a UML class diagram. Eight primary classes are defined with full attribute types, visibility indicators, and method signatures consistent with the Python/FastAPI implementation.</w:t>
      </w:r>
    </w:p>
    <w:p>
      <w:pPr>
        <w:spacing w:before="100" w:after="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00500"/>
                    </a:xfrm>
                    <a:prstGeom prst="rect">
                      <a:avLst/>
                    </a:prstGeom>
                  </pic:spPr>
                </pic:pic>
              </a:graphicData>
            </a:graphic>
          </wp:inline>
        </w:drawing>
      </w:r>
    </w:p>
    <w:p>
      <w:pPr>
        <w:spacing w:before="60" w:after="180"/>
        <w:jc w:val="center"/>
      </w:pPr>
      <w:r>
        <w:rPr>
          <w:rFonts w:ascii="Times New Roman" w:cs="Times New Roman" w:eastAsia="Times New Roman" w:hAnsi="Times New Roman"/>
          <w:b/>
          <w:bCs/>
          <w:color w:val="1A2E4A"/>
          <w:sz w:val="19"/>
          <w:szCs w:val="19"/>
        </w:rPr>
        <w:t xml:space="preserve">Figure 3: CropXpert UML Class Diagram — Core Domain Model</w:t>
      </w:r>
    </w:p>
    <w:p>
      <w:pPr>
        <w:pStyle w:val="ListParagraph"/>
        <w:numPr>
          <w:ilvl w:val="0"/>
          <w:numId w:val="2"/>
        </w:numPr>
        <w:spacing w:before="40" w:after="40" w:line="300"/>
      </w:pPr>
      <w:r>
        <w:rPr>
          <w:rFonts w:ascii="Times New Roman" w:cs="Times New Roman" w:eastAsia="Times New Roman" w:hAnsi="Times New Roman"/>
          <w:sz w:val="21"/>
          <w:szCs w:val="21"/>
        </w:rPr>
        <w:t xml:space="preserve">SensorReading: Persists the raw 7-feature measurement tuple (N, P, K, pH, moisture, temperature, rainfall) with timestamp and GPS location. The to_vector() method normalises the reading for ML inference.</w:t>
      </w:r>
    </w:p>
    <w:p>
      <w:pPr>
        <w:pStyle w:val="ListParagraph"/>
        <w:numPr>
          <w:ilvl w:val="0"/>
          <w:numId w:val="2"/>
        </w:numPr>
        <w:spacing w:before="40" w:after="40" w:line="300"/>
      </w:pPr>
      <w:r>
        <w:rPr>
          <w:rFonts w:ascii="Times New Roman" w:cs="Times New Roman" w:eastAsia="Times New Roman" w:hAnsi="Times New Roman"/>
          <w:sz w:val="21"/>
          <w:szCs w:val="21"/>
        </w:rPr>
        <w:t xml:space="preserve">Farmer: Stores the farm profile, language preference, and OTP-verified mobile authentication. The 1..* association to SensorReading represents the historical log of all readings for a given farm.</w:t>
      </w:r>
    </w:p>
    <w:p>
      <w:pPr>
        <w:pStyle w:val="ListParagraph"/>
        <w:numPr>
          <w:ilvl w:val="0"/>
          <w:numId w:val="2"/>
        </w:numPr>
        <w:spacing w:before="40" w:after="40" w:line="300"/>
      </w:pPr>
      <w:r>
        <w:rPr>
          <w:rFonts w:ascii="Times New Roman" w:cs="Times New Roman" w:eastAsia="Times New Roman" w:hAnsi="Times New Roman"/>
          <w:sz w:val="21"/>
          <w:szCs w:val="21"/>
        </w:rPr>
        <w:t xml:space="preserve">CropMLModel: Wraps the serialised Random Forest classifier and StandardScaler. The predict() method accepts a 7-float vector and returns a dictionary of crop-to-probability mappings sorted by confidence.</w:t>
      </w:r>
    </w:p>
    <w:p>
      <w:pPr>
        <w:pStyle w:val="ListParagraph"/>
        <w:numPr>
          <w:ilvl w:val="0"/>
          <w:numId w:val="2"/>
        </w:numPr>
        <w:spacing w:before="40" w:after="40" w:line="300"/>
      </w:pPr>
      <w:r>
        <w:rPr>
          <w:rFonts w:ascii="Times New Roman" w:cs="Times New Roman" w:eastAsia="Times New Roman" w:hAnsi="Times New Roman"/>
          <w:sz w:val="21"/>
          <w:szCs w:val="21"/>
        </w:rPr>
        <w:t xml:space="preserve">CropRecommendation: Stores both raw ML probability scores and final market-adjusted scores, enabling full audit trails that show why the ML rank may have differed from the final recommendation.</w:t>
      </w:r>
    </w:p>
    <w:p>
      <w:pPr>
        <w:pStyle w:val="ListParagraph"/>
        <w:numPr>
          <w:ilvl w:val="0"/>
          <w:numId w:val="2"/>
        </w:numPr>
        <w:spacing w:before="40" w:after="40" w:line="300"/>
      </w:pPr>
      <w:r>
        <w:rPr>
          <w:rFonts w:ascii="Times New Roman" w:cs="Times New Roman" w:eastAsia="Times New Roman" w:hAnsi="Times New Roman"/>
          <w:sz w:val="21"/>
          <w:szCs w:val="21"/>
        </w:rPr>
        <w:t xml:space="preserve">MarketIntelligence: Implements the weighted scoring formula Score(c) = alpha * P_ML(c) + beta * MSP_Index(c) + gamma * SeasonDemand(c) with configurable weights and a 24-hour SQLite-backed MSP cache.</w:t>
      </w:r>
    </w:p>
    <w:p>
      <w:pPr>
        <w:pStyle w:val="ListParagraph"/>
        <w:numPr>
          <w:ilvl w:val="0"/>
          <w:numId w:val="2"/>
        </w:numPr>
        <w:spacing w:before="40" w:after="40" w:line="300"/>
      </w:pPr>
      <w:r>
        <w:rPr>
          <w:rFonts w:ascii="Times New Roman" w:cs="Times New Roman" w:eastAsia="Times New Roman" w:hAnsi="Times New Roman"/>
          <w:sz w:val="21"/>
          <w:szCs w:val="21"/>
        </w:rPr>
        <w:t xml:space="preserve">GovernmentScheme: Stores PM-KISAN, Fasal Bima Yojana, KCC, and NABARD scheme attributes with state-level eligibility filtering. Synced monthly from the MyScheme.gov.in API.</w:t>
      </w:r>
    </w:p>
    <w:p>
      <w:pPr>
        <w:pStyle w:val="ListParagraph"/>
        <w:numPr>
          <w:ilvl w:val="0"/>
          <w:numId w:val="2"/>
        </w:numPr>
        <w:spacing w:before="40" w:after="40" w:line="300"/>
      </w:pPr>
      <w:r>
        <w:rPr>
          <w:rFonts w:ascii="Times New Roman" w:cs="Times New Roman" w:eastAsia="Times New Roman" w:hAnsi="Times New Roman"/>
          <w:sz w:val="21"/>
          <w:szCs w:val="21"/>
        </w:rPr>
        <w:t xml:space="preserve">CropBot: Abstracts the WhatsApp (Twilio) and SMS (MSG91) transport layer. The parse_message() method extracts N/P/K/pH values from unstructured multilingual natural language text.</w:t>
      </w:r>
    </w:p>
    <w:p>
      <w:pPr>
        <w:pStyle w:val="ListParagraph"/>
        <w:numPr>
          <w:ilvl w:val="0"/>
          <w:numId w:val="2"/>
        </w:numPr>
        <w:spacing w:before="40" w:after="40" w:line="300"/>
      </w:pPr>
      <w:r>
        <w:rPr>
          <w:rFonts w:ascii="Times New Roman" w:cs="Times New Roman" w:eastAsia="Times New Roman" w:hAnsi="Times New Roman"/>
          <w:sz w:val="21"/>
          <w:szCs w:val="21"/>
        </w:rPr>
        <w:t xml:space="preserve">SoilHealthDashboard and FarmProfitCalculator: Provide per-farmer trend visualisation and financial planning using ICAR crop input cost tables cross-referenced with AGMARKNET mandi prices.</w:t>
      </w:r>
    </w:p>
    <w:p>
      <w:r>
        <w:br w:type="page"/>
      </w:r>
    </w:p>
    <w:p>
      <w:pPr>
        <w:pStyle w:val="Heading1"/>
        <w:pBdr>
          <w:bottom w:val="single" w:color="2563EB" w:sz="8" w:space="4"/>
        </w:pBdr>
        <w:spacing w:before="300" w:after="160"/>
      </w:pPr>
      <w:r>
        <w:rPr>
          <w:rFonts w:ascii="Times New Roman" w:cs="Times New Roman" w:eastAsia="Times New Roman" w:hAnsi="Times New Roman"/>
          <w:b/>
          <w:bCs/>
          <w:color w:val="1A2E4A"/>
          <w:sz w:val="28"/>
          <w:szCs w:val="28"/>
        </w:rPr>
        <w:t xml:space="preserve">5.  Data Flow Diagram (DFD)</w:t>
      </w:r>
    </w:p>
    <w:p>
      <w:pPr>
        <w:spacing w:before="80" w:after="80" w:line="340"/>
        <w:jc w:val="both"/>
      </w:pPr>
      <w:r>
        <w:rPr>
          <w:rFonts w:ascii="Times New Roman" w:cs="Times New Roman" w:eastAsia="Times New Roman" w:hAnsi="Times New Roman"/>
          <w:b w:val="false"/>
          <w:bCs w:val="false"/>
          <w:color w:val="000000"/>
          <w:sz w:val="22"/>
          <w:szCs w:val="22"/>
        </w:rPr>
        <w:t xml:space="preserve">Figure 4 presents the CropXpert DFD at two levels. The Level 0 Context Diagram (left) identifies all external entities and the data crossing the system boundary. The Level 1 diagram (right) decomposes the system into its six internal processes (P1-P6) and six data stores (D1-D6).</w:t>
      </w:r>
    </w:p>
    <w:p>
      <w:pPr>
        <w:spacing w:before="100" w:after="60"/>
        <w:jc w:val="center"/>
      </w:pPr>
      <w:r>
        <w:drawing>
          <wp:inline distT="0" distB="0" distL="0" distR="0">
            <wp:extent cx="6000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2809875"/>
                    </a:xfrm>
                    <a:prstGeom prst="rect">
                      <a:avLst/>
                    </a:prstGeom>
                  </pic:spPr>
                </pic:pic>
              </a:graphicData>
            </a:graphic>
          </wp:inline>
        </w:drawing>
      </w:r>
    </w:p>
    <w:p>
      <w:pPr>
        <w:spacing w:before="60" w:after="180"/>
        <w:jc w:val="center"/>
      </w:pPr>
      <w:r>
        <w:rPr>
          <w:rFonts w:ascii="Times New Roman" w:cs="Times New Roman" w:eastAsia="Times New Roman" w:hAnsi="Times New Roman"/>
          <w:b/>
          <w:bCs/>
          <w:color w:val="1A2E4A"/>
          <w:sz w:val="19"/>
          <w:szCs w:val="19"/>
        </w:rPr>
        <w:t xml:space="preserve">Figure 4: CropXpert Data Flow Diagram — Level 0 (Context) and Level 1 (Internal)</w:t>
      </w:r>
    </w:p>
    <w:p>
      <w:pPr>
        <w:pStyle w:val="Heading2"/>
        <w:spacing w:before="220" w:after="100"/>
      </w:pPr>
      <w:r>
        <w:rPr>
          <w:rFonts w:ascii="Times New Roman" w:cs="Times New Roman" w:eastAsia="Times New Roman" w:hAnsi="Times New Roman"/>
          <w:b/>
          <w:bCs/>
          <w:color w:val="2563EB"/>
          <w:sz w:val="24"/>
          <w:szCs w:val="24"/>
        </w:rPr>
        <w:t xml:space="preserve">5.1  Level 0 — External Data Flows</w:t>
      </w:r>
    </w:p>
    <w:p>
      <w:pPr>
        <w:pStyle w:val="ListParagraph"/>
        <w:numPr>
          <w:ilvl w:val="0"/>
          <w:numId w:val="2"/>
        </w:numPr>
        <w:spacing w:before="40" w:after="40" w:line="300"/>
      </w:pPr>
      <w:r>
        <w:rPr>
          <w:rFonts w:ascii="Times New Roman" w:cs="Times New Roman" w:eastAsia="Times New Roman" w:hAnsi="Times New Roman"/>
          <w:sz w:val="21"/>
          <w:szCs w:val="21"/>
        </w:rPr>
        <w:t xml:space="preserve">Smallholder Farmer to system: farm profile and GPS location. System to farmer: crop recommendations with MSP data, scheme eligibility, and loan guidance.</w:t>
      </w:r>
    </w:p>
    <w:p>
      <w:pPr>
        <w:pStyle w:val="ListParagraph"/>
        <w:numPr>
          <w:ilvl w:val="0"/>
          <w:numId w:val="2"/>
        </w:numPr>
        <w:spacing w:before="40" w:after="40" w:line="300"/>
      </w:pPr>
      <w:r>
        <w:rPr>
          <w:rFonts w:ascii="Times New Roman" w:cs="Times New Roman" w:eastAsia="Times New Roman" w:hAnsi="Times New Roman"/>
          <w:sz w:val="21"/>
          <w:szCs w:val="21"/>
        </w:rPr>
        <w:t xml:space="preserve">SMS/WhatsApp User to system: CROP N90 P42 K43 PH6.5 DIST PUNE shortcode text. System to user: top-1 crop plus mandi price within a 160-character SMS reply.</w:t>
      </w:r>
    </w:p>
    <w:p>
      <w:pPr>
        <w:pStyle w:val="ListParagraph"/>
        <w:numPr>
          <w:ilvl w:val="0"/>
          <w:numId w:val="2"/>
        </w:numPr>
        <w:spacing w:before="40" w:after="40" w:line="300"/>
      </w:pPr>
      <w:r>
        <w:rPr>
          <w:rFonts w:ascii="Times New Roman" w:cs="Times New Roman" w:eastAsia="Times New Roman" w:hAnsi="Times New Roman"/>
          <w:sz w:val="21"/>
          <w:szCs w:val="21"/>
        </w:rPr>
        <w:t xml:space="preserve">IoT Sensor Node to system: real-time N/P/K/pH/moisture/temperature published as MQTT payloads on the cropxpert/farm/{id}/sensors topic.</w:t>
      </w:r>
    </w:p>
    <w:p>
      <w:pPr>
        <w:pStyle w:val="ListParagraph"/>
        <w:numPr>
          <w:ilvl w:val="0"/>
          <w:numId w:val="2"/>
        </w:numPr>
        <w:spacing w:before="40" w:after="40" w:line="300"/>
      </w:pPr>
      <w:r>
        <w:rPr>
          <w:rFonts w:ascii="Times New Roman" w:cs="Times New Roman" w:eastAsia="Times New Roman" w:hAnsi="Times New Roman"/>
          <w:sz w:val="21"/>
          <w:szCs w:val="21"/>
        </w:rPr>
        <w:t xml:space="preserve">AGMARKNET and Government APIs to system: live MSP and mandi arrival data fetched asynchronously every 24 hours.</w:t>
      </w:r>
    </w:p>
    <w:p>
      <w:pPr>
        <w:pStyle w:val="ListParagraph"/>
        <w:numPr>
          <w:ilvl w:val="0"/>
          <w:numId w:val="2"/>
        </w:numPr>
        <w:spacing w:before="40" w:after="40" w:line="300"/>
      </w:pPr>
      <w:r>
        <w:rPr>
          <w:rFonts w:ascii="Times New Roman" w:cs="Times New Roman" w:eastAsia="Times New Roman" w:hAnsi="Times New Roman"/>
          <w:sz w:val="21"/>
          <w:szCs w:val="21"/>
        </w:rPr>
        <w:t xml:space="preserve">OpenWeatherMap API to system: 7-day average rainfall for the farmer GPS coordinates, cached for 6 hours to avoid rate-limit violations.</w:t>
      </w:r>
    </w:p>
    <w:p>
      <w:pPr>
        <w:pStyle w:val="Heading2"/>
        <w:spacing w:before="220" w:after="100"/>
      </w:pPr>
      <w:r>
        <w:rPr>
          <w:rFonts w:ascii="Times New Roman" w:cs="Times New Roman" w:eastAsia="Times New Roman" w:hAnsi="Times New Roman"/>
          <w:b/>
          <w:bCs/>
          <w:color w:val="2563EB"/>
          <w:sz w:val="24"/>
          <w:szCs w:val="24"/>
        </w:rPr>
        <w:t xml:space="preserve">5.2  Level 1 — Internal Processes</w:t>
      </w:r>
    </w:p>
    <w:p>
      <w:pPr>
        <w:pStyle w:val="ListParagraph"/>
        <w:numPr>
          <w:ilvl w:val="0"/>
          <w:numId w:val="2"/>
        </w:numPr>
        <w:spacing w:before="40" w:after="40" w:line="300"/>
      </w:pPr>
      <w:r>
        <w:rPr>
          <w:rFonts w:ascii="Times New Roman" w:cs="Times New Roman" w:eastAsia="Times New Roman" w:hAnsi="Times New Roman"/>
          <w:sz w:val="21"/>
          <w:szCs w:val="21"/>
        </w:rPr>
        <w:t xml:space="preserve">P1 Sensor Ingest: Receives raw MQTT payloads, parses Modbus RTU NPK frames, normalises moisture ADC readings, and writes SensorReading records (D1) to SQLite with under 50 ms write latency.</w:t>
      </w:r>
    </w:p>
    <w:p>
      <w:pPr>
        <w:pStyle w:val="ListParagraph"/>
        <w:numPr>
          <w:ilvl w:val="0"/>
          <w:numId w:val="2"/>
        </w:numPr>
        <w:spacing w:before="40" w:after="40" w:line="300"/>
      </w:pPr>
      <w:r>
        <w:rPr>
          <w:rFonts w:ascii="Times New Roman" w:cs="Times New Roman" w:eastAsia="Times New Roman" w:hAnsi="Times New Roman"/>
          <w:sz w:val="21"/>
          <w:szCs w:val="21"/>
        </w:rPr>
        <w:t xml:space="preserve">P2 ML Crop Predict: Reads the 7-feature vector from D1, applies StandardScaler, invokes Random Forest predict_proba(), and writes the top-3 crop probabilities to D2.</w:t>
      </w:r>
    </w:p>
    <w:p>
      <w:pPr>
        <w:pStyle w:val="ListParagraph"/>
        <w:numPr>
          <w:ilvl w:val="0"/>
          <w:numId w:val="2"/>
        </w:numPr>
        <w:spacing w:before="40" w:after="40" w:line="300"/>
      </w:pPr>
      <w:r>
        <w:rPr>
          <w:rFonts w:ascii="Times New Roman" w:cs="Times New Roman" w:eastAsia="Times New Roman" w:hAnsi="Times New Roman"/>
          <w:sz w:val="21"/>
          <w:szCs w:val="21"/>
        </w:rPr>
        <w:t xml:space="preserve">P3 Market Score: Fetches MSP data from AGMARKNET and caches in D3 (24-hour TTL). Applies the alpha/beta/gamma weighted formula to re-rank the top-3 output from P2.</w:t>
      </w:r>
    </w:p>
    <w:p>
      <w:pPr>
        <w:pStyle w:val="ListParagraph"/>
        <w:numPr>
          <w:ilvl w:val="0"/>
          <w:numId w:val="2"/>
        </w:numPr>
        <w:spacing w:before="40" w:after="40" w:line="300"/>
      </w:pPr>
      <w:r>
        <w:rPr>
          <w:rFonts w:ascii="Times New Roman" w:cs="Times New Roman" w:eastAsia="Times New Roman" w:hAnsi="Times New Roman"/>
          <w:sz w:val="21"/>
          <w:szCs w:val="21"/>
        </w:rPr>
        <w:t xml:space="preserve">P4 Scheme Advisory: Queries D4 (GovernmentScheme) filtered by the farmer's state and returns eligibility-ranked scheme cards with direct government application URLs.</w:t>
      </w:r>
    </w:p>
    <w:p>
      <w:pPr>
        <w:pStyle w:val="ListParagraph"/>
        <w:numPr>
          <w:ilvl w:val="0"/>
          <w:numId w:val="2"/>
        </w:numPr>
        <w:spacing w:before="40" w:after="40" w:line="300"/>
      </w:pPr>
      <w:r>
        <w:rPr>
          <w:rFonts w:ascii="Times New Roman" w:cs="Times New Roman" w:eastAsia="Times New Roman" w:hAnsi="Times New Roman"/>
          <w:sz w:val="21"/>
          <w:szCs w:val="21"/>
        </w:rPr>
        <w:t xml:space="preserve">P5 CropBot Reply: Parses WhatsApp/SMS messages, routes internally through P2 and P3, and formats the response within platform constraints (WhatsApp: rich card; SMS: 160 characters).</w:t>
      </w:r>
    </w:p>
    <w:p>
      <w:pPr>
        <w:pStyle w:val="ListParagraph"/>
        <w:numPr>
          <w:ilvl w:val="0"/>
          <w:numId w:val="2"/>
        </w:numPr>
        <w:spacing w:before="40" w:after="40" w:line="300"/>
      </w:pPr>
      <w:r>
        <w:rPr>
          <w:rFonts w:ascii="Times New Roman" w:cs="Times New Roman" w:eastAsia="Times New Roman" w:hAnsi="Times New Roman"/>
          <w:sz w:val="21"/>
          <w:szCs w:val="21"/>
        </w:rPr>
        <w:t xml:space="preserve">P6 Soil Health Dashboard: Reads historical records from D6, computes Red/Amber/Green thresholds per nutrient against ICAR optimal ranges, and generates trend charts via Chart.js.</w:t>
      </w:r>
    </w:p>
    <w:p>
      <w:r>
        <w:br w:type="page"/>
      </w:r>
    </w:p>
    <w:p>
      <w:pPr>
        <w:pStyle w:val="Heading1"/>
        <w:pBdr>
          <w:bottom w:val="single" w:color="2563EB" w:sz="8" w:space="4"/>
        </w:pBdr>
        <w:spacing w:before="300" w:after="160"/>
      </w:pPr>
      <w:r>
        <w:rPr>
          <w:rFonts w:ascii="Times New Roman" w:cs="Times New Roman" w:eastAsia="Times New Roman" w:hAnsi="Times New Roman"/>
          <w:b/>
          <w:bCs/>
          <w:color w:val="1A2E4A"/>
          <w:sz w:val="28"/>
          <w:szCs w:val="28"/>
        </w:rPr>
        <w:t xml:space="preserve">6.  Component Diagram</w:t>
      </w:r>
    </w:p>
    <w:p>
      <w:pPr>
        <w:spacing w:before="80" w:after="80" w:line="340"/>
        <w:jc w:val="both"/>
      </w:pPr>
      <w:r>
        <w:rPr>
          <w:rFonts w:ascii="Times New Roman" w:cs="Times New Roman" w:eastAsia="Times New Roman" w:hAnsi="Times New Roman"/>
          <w:b w:val="false"/>
          <w:bCs w:val="false"/>
          <w:color w:val="000000"/>
          <w:sz w:val="22"/>
          <w:szCs w:val="22"/>
        </w:rPr>
        <w:t xml:space="preserve">Figure 5 presents the software component view of CropXpert, organised into eight subsystems. Each component box carries the UML stereotype icon and inter-component interfaces are labelled with the protocol or data format used.</w:t>
      </w:r>
    </w:p>
    <w:p>
      <w:pPr>
        <w:spacing w:before="100" w:after="60"/>
        <w:jc w:val="center"/>
      </w:pPr>
      <w:r>
        <w:drawing>
          <wp:inline distT="0" distB="0" distL="0" distR="0">
            <wp:extent cx="5857875"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7875" cy="3762375"/>
                    </a:xfrm>
                    <a:prstGeom prst="rect">
                      <a:avLst/>
                    </a:prstGeom>
                  </pic:spPr>
                </pic:pic>
              </a:graphicData>
            </a:graphic>
          </wp:inline>
        </w:drawing>
      </w:r>
    </w:p>
    <w:p>
      <w:pPr>
        <w:spacing w:before="60" w:after="180"/>
        <w:jc w:val="center"/>
      </w:pPr>
      <w:r>
        <w:rPr>
          <w:rFonts w:ascii="Times New Roman" w:cs="Times New Roman" w:eastAsia="Times New Roman" w:hAnsi="Times New Roman"/>
          <w:b/>
          <w:bCs/>
          <w:color w:val="1A2E4A"/>
          <w:sz w:val="19"/>
          <w:szCs w:val="19"/>
        </w:rPr>
        <w:t xml:space="preserve">Figure 5: CropXpert UML Component Diagram — Software Architecture</w:t>
      </w:r>
    </w:p>
    <w:p>
      <w:pPr>
        <w:pStyle w:val="ListParagraph"/>
        <w:numPr>
          <w:ilvl w:val="0"/>
          <w:numId w:val="2"/>
        </w:numPr>
        <w:spacing w:before="40" w:after="40" w:line="300"/>
      </w:pPr>
      <w:r>
        <w:rPr>
          <w:rFonts w:ascii="Times New Roman" w:cs="Times New Roman" w:eastAsia="Times New Roman" w:hAnsi="Times New Roman"/>
          <w:sz w:val="21"/>
          <w:szCs w:val="21"/>
        </w:rPr>
        <w:t xml:space="preserve">Hardware to Pipeline: The MAX485 module converts RS485 Modbus RTU frames to UART TTL signals consumed by the Arduino UNO, which bridges the serial output to the Mosquitto MQTT broker over ESP32 Wi-Fi.</w:t>
      </w:r>
    </w:p>
    <w:p>
      <w:pPr>
        <w:pStyle w:val="ListParagraph"/>
        <w:numPr>
          <w:ilvl w:val="0"/>
          <w:numId w:val="2"/>
        </w:numPr>
        <w:spacing w:before="40" w:after="40" w:line="300"/>
      </w:pPr>
      <w:r>
        <w:rPr>
          <w:rFonts w:ascii="Times New Roman" w:cs="Times New Roman" w:eastAsia="Times New Roman" w:hAnsi="Times New Roman"/>
          <w:sz w:val="21"/>
          <w:szCs w:val="21"/>
        </w:rPr>
        <w:t xml:space="preserve">Pipeline to ML Engine: FastAPI subscribes to MQTT and passes the validated 7-float vector, after Pydantic schema enforcement, to the CropMLModel component loaded in-process via joblib. This achieves under 200 ms p95 API latency including network overhead.</w:t>
      </w:r>
    </w:p>
    <w:p>
      <w:pPr>
        <w:pStyle w:val="ListParagraph"/>
        <w:numPr>
          <w:ilvl w:val="0"/>
          <w:numId w:val="2"/>
        </w:numPr>
        <w:spacing w:before="40" w:after="40" w:line="300"/>
      </w:pPr>
      <w:r>
        <w:rPr>
          <w:rFonts w:ascii="Times New Roman" w:cs="Times New Roman" w:eastAsia="Times New Roman" w:hAnsi="Times New Roman"/>
          <w:sz w:val="21"/>
          <w:szCs w:val="21"/>
        </w:rPr>
        <w:t xml:space="preserve">ML Engine to Business Logic: The top-3 probabilities are passed to the Market Intelligence component, which enriches them with cached AGMARKNET prices and returns a re-ranked recommendation list.</w:t>
      </w:r>
    </w:p>
    <w:p>
      <w:pPr>
        <w:pStyle w:val="ListParagraph"/>
        <w:numPr>
          <w:ilvl w:val="0"/>
          <w:numId w:val="2"/>
        </w:numPr>
        <w:spacing w:before="40" w:after="40" w:line="300"/>
      </w:pPr>
      <w:r>
        <w:rPr>
          <w:rFonts w:ascii="Times New Roman" w:cs="Times New Roman" w:eastAsia="Times New Roman" w:hAnsi="Times New Roman"/>
          <w:sz w:val="21"/>
          <w:szCs w:val="21"/>
        </w:rPr>
        <w:t xml:space="preserve">Business Logic to Presentation: The React PWA consumes FastAPI REST endpoints over HTTPS/JSON and uses react-i18next with four JSON translation bundles to render the full UI in the farmer's locale.</w:t>
      </w:r>
    </w:p>
    <w:p>
      <w:pPr>
        <w:pStyle w:val="ListParagraph"/>
        <w:numPr>
          <w:ilvl w:val="0"/>
          <w:numId w:val="2"/>
        </w:numPr>
        <w:spacing w:before="40" w:after="40" w:line="300"/>
      </w:pPr>
      <w:r>
        <w:rPr>
          <w:rFonts w:ascii="Times New Roman" w:cs="Times New Roman" w:eastAsia="Times New Roman" w:hAnsi="Times New Roman"/>
          <w:sz w:val="21"/>
          <w:szCs w:val="21"/>
        </w:rPr>
        <w:t xml:space="preserve">Business Logic to Bot: Twilio webhook and MSG91 POST events to a dedicated /bot/webhook FastAPI route. The CropBot normalises the incoming message, routes it through the ML pipeline, and returns a formatted text reply.</w:t>
      </w:r>
    </w:p>
    <w:p>
      <w:r>
        <w:br w:type="page"/>
      </w:r>
    </w:p>
    <w:p>
      <w:pPr>
        <w:pStyle w:val="Heading1"/>
        <w:pBdr>
          <w:bottom w:val="single" w:color="2563EB" w:sz="8" w:space="4"/>
        </w:pBdr>
        <w:spacing w:before="300" w:after="160"/>
      </w:pPr>
      <w:r>
        <w:rPr>
          <w:rFonts w:ascii="Times New Roman" w:cs="Times New Roman" w:eastAsia="Times New Roman" w:hAnsi="Times New Roman"/>
          <w:b/>
          <w:bCs/>
          <w:color w:val="1A2E4A"/>
          <w:sz w:val="28"/>
          <w:szCs w:val="28"/>
        </w:rPr>
        <w:t xml:space="preserve">7.  Sequence Diagram — End-to-End Recommendation Flow</w:t>
      </w:r>
    </w:p>
    <w:p>
      <w:pPr>
        <w:spacing w:before="80" w:after="80" w:line="340"/>
        <w:jc w:val="both"/>
      </w:pPr>
      <w:r>
        <w:rPr>
          <w:rFonts w:ascii="Times New Roman" w:cs="Times New Roman" w:eastAsia="Times New Roman" w:hAnsi="Times New Roman"/>
          <w:b w:val="false"/>
          <w:bCs w:val="false"/>
          <w:color w:val="000000"/>
          <w:sz w:val="22"/>
          <w:szCs w:val="22"/>
        </w:rPr>
        <w:t xml:space="preserve">Figure 6 presents the dynamic interaction sequence for the primary use case: a farmer opening the CropXpert dashboard, the system ingesting fresh sensor data via MQTT, performing ML inference, enriching the result with market prices, and rendering the final multilingual recommendation. Twenty numbered messages are traced across eight lifelines.</w:t>
      </w:r>
    </w:p>
    <w:p>
      <w:pPr>
        <w:spacing w:before="100" w:after="60"/>
        <w:jc w:val="center"/>
      </w:pPr>
      <w:r>
        <w:drawing>
          <wp:inline distT="0" distB="0" distL="0" distR="0">
            <wp:extent cx="60007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4048125"/>
                    </a:xfrm>
                    <a:prstGeom prst="rect">
                      <a:avLst/>
                    </a:prstGeom>
                  </pic:spPr>
                </pic:pic>
              </a:graphicData>
            </a:graphic>
          </wp:inline>
        </w:drawing>
      </w:r>
    </w:p>
    <w:p>
      <w:pPr>
        <w:spacing w:before="60" w:after="180"/>
        <w:jc w:val="center"/>
      </w:pPr>
      <w:r>
        <w:rPr>
          <w:rFonts w:ascii="Times New Roman" w:cs="Times New Roman" w:eastAsia="Times New Roman" w:hAnsi="Times New Roman"/>
          <w:b/>
          <w:bCs/>
          <w:color w:val="1A2E4A"/>
          <w:sz w:val="19"/>
          <w:szCs w:val="19"/>
        </w:rPr>
        <w:t xml:space="preserve">Figure 6: CropXpert UML Sequence Diagram — Crop Recommendation Request/Response Flow</w:t>
      </w:r>
    </w:p>
    <w:p>
      <w:pPr>
        <w:pStyle w:val="ListParagraph"/>
        <w:numPr>
          <w:ilvl w:val="0"/>
          <w:numId w:val="2"/>
        </w:numPr>
        <w:spacing w:before="40" w:after="40" w:line="300"/>
      </w:pPr>
      <w:r>
        <w:rPr>
          <w:rFonts w:ascii="Times New Roman" w:cs="Times New Roman" w:eastAsia="Times New Roman" w:hAnsi="Times New Roman"/>
          <w:sz w:val="21"/>
          <w:szCs w:val="21"/>
        </w:rPr>
        <w:t xml:space="preserve">Phase 1 – Session establishment (messages 1-4): The farmer's browser sends a JWT-authenticated GET /dashboard request. FastAPI verifies the token, fetches the farmer profile from PostgreSQL, and returns the last cached SensorReading.</w:t>
      </w:r>
    </w:p>
    <w:p>
      <w:pPr>
        <w:pStyle w:val="ListParagraph"/>
        <w:numPr>
          <w:ilvl w:val="0"/>
          <w:numId w:val="2"/>
        </w:numPr>
        <w:spacing w:before="40" w:after="40" w:line="300"/>
      </w:pPr>
      <w:r>
        <w:rPr>
          <w:rFonts w:ascii="Times New Roman" w:cs="Times New Roman" w:eastAsia="Times New Roman" w:hAnsi="Times New Roman"/>
          <w:sz w:val="21"/>
          <w:szCs w:val="21"/>
        </w:rPr>
        <w:t xml:space="preserve">Phase 2 – Sensor push (messages 5-6): The ESP32 publishes N=90, P=42, K=43, Temp=20.9 C, Humidity=82%, pH=6.5, Rainfall=202.9 mm over MQTT. FastAPI writes it to the SensorReading table.</w:t>
      </w:r>
    </w:p>
    <w:p>
      <w:pPr>
        <w:pStyle w:val="ListParagraph"/>
        <w:numPr>
          <w:ilvl w:val="0"/>
          <w:numId w:val="2"/>
        </w:numPr>
        <w:spacing w:before="40" w:after="40" w:line="300"/>
      </w:pPr>
      <w:r>
        <w:rPr>
          <w:rFonts w:ascii="Times New Roman" w:cs="Times New Roman" w:eastAsia="Times New Roman" w:hAnsi="Times New Roman"/>
          <w:sz w:val="21"/>
          <w:szCs w:val="21"/>
        </w:rPr>
        <w:t xml:space="preserve">Phase 3 – ML prediction (messages 7-10): FastAPI passes the 7-feature vector to CropMLModel. The scaler normalises the input, Random Forest returns top-3 probabilities: Rice 97.3%, Jute 1.8%, Coconut 0.6%.</w:t>
      </w:r>
    </w:p>
    <w:p>
      <w:pPr>
        <w:pStyle w:val="ListParagraph"/>
        <w:numPr>
          <w:ilvl w:val="0"/>
          <w:numId w:val="2"/>
        </w:numPr>
        <w:spacing w:before="40" w:after="40" w:line="300"/>
      </w:pPr>
      <w:r>
        <w:rPr>
          <w:rFonts w:ascii="Times New Roman" w:cs="Times New Roman" w:eastAsia="Times New Roman" w:hAnsi="Times New Roman"/>
          <w:sz w:val="21"/>
          <w:szCs w:val="21"/>
        </w:rPr>
        <w:t xml:space="preserve">Phase 4 – Market scoring (messages 11-14): MarketIntelligence fetches Rice MSP (INR 2,183/quintal) from AGMARKNET, obtains the Pune mandi arrival price (INR 2,210, +1.2% above MSP), and computes final weighted scores. Rice retains the top position.</w:t>
      </w:r>
    </w:p>
    <w:p>
      <w:pPr>
        <w:pStyle w:val="ListParagraph"/>
        <w:numPr>
          <w:ilvl w:val="0"/>
          <w:numId w:val="2"/>
        </w:numPr>
        <w:spacing w:before="40" w:after="40" w:line="300"/>
      </w:pPr>
      <w:r>
        <w:rPr>
          <w:rFonts w:ascii="Times New Roman" w:cs="Times New Roman" w:eastAsia="Times New Roman" w:hAnsi="Times New Roman"/>
          <w:sz w:val="21"/>
          <w:szCs w:val="21"/>
        </w:rPr>
        <w:t xml:space="preserve">Phase 5 – Response rendering (messages 15-20): The complete recommendation is stored in CropRecommendation, returned to the React PWA in JSON, and rendered in the farmer's selected language. The farmer then accesses the Scheme portal and receives PM-KISAN, Fasal Bima Yojana, and KCC cards localised to Maharashtra.</w:t>
      </w:r>
    </w:p>
    <w:p>
      <w:r>
        <w:br w:type="page"/>
      </w:r>
    </w:p>
    <w:p>
      <w:pPr>
        <w:pStyle w:val="Heading1"/>
        <w:pBdr>
          <w:bottom w:val="single" w:color="2563EB" w:sz="8" w:space="4"/>
        </w:pBdr>
        <w:spacing w:before="300" w:after="160"/>
      </w:pPr>
      <w:r>
        <w:rPr>
          <w:rFonts w:ascii="Times New Roman" w:cs="Times New Roman" w:eastAsia="Times New Roman" w:hAnsi="Times New Roman"/>
          <w:b/>
          <w:bCs/>
          <w:color w:val="1A2E4A"/>
          <w:sz w:val="28"/>
          <w:szCs w:val="28"/>
        </w:rPr>
        <w:t xml:space="preserve">8.  Deployment Diagram</w:t>
      </w:r>
    </w:p>
    <w:p>
      <w:pPr>
        <w:spacing w:before="80" w:after="80" w:line="340"/>
        <w:jc w:val="both"/>
      </w:pPr>
      <w:r>
        <w:rPr>
          <w:rFonts w:ascii="Times New Roman" w:cs="Times New Roman" w:eastAsia="Times New Roman" w:hAnsi="Times New Roman"/>
          <w:b w:val="false"/>
          <w:bCs w:val="false"/>
          <w:color w:val="000000"/>
          <w:sz w:val="22"/>
          <w:szCs w:val="22"/>
        </w:rPr>
        <w:t xml:space="preserve">Figure 7 presents the physical deployment topology of CropXpert across five node types, from the field-level IoT device to cloud servers and external government APIs. The 3D node boxes follow UML 2.5 deployment diagram notation and communication links are labelled with the protocol used.</w:t>
      </w:r>
    </w:p>
    <w:p>
      <w:pPr>
        <w:spacing w:before="100" w:after="60"/>
        <w:jc w:val="center"/>
      </w:pPr>
      <w:r>
        <w:drawing>
          <wp:inline distT="0" distB="0" distL="0" distR="0">
            <wp:extent cx="5953125"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53125" cy="3952875"/>
                    </a:xfrm>
                    <a:prstGeom prst="rect">
                      <a:avLst/>
                    </a:prstGeom>
                  </pic:spPr>
                </pic:pic>
              </a:graphicData>
            </a:graphic>
          </wp:inline>
        </w:drawing>
      </w:r>
    </w:p>
    <w:p>
      <w:pPr>
        <w:spacing w:before="60" w:after="180"/>
        <w:jc w:val="center"/>
      </w:pPr>
      <w:r>
        <w:rPr>
          <w:rFonts w:ascii="Times New Roman" w:cs="Times New Roman" w:eastAsia="Times New Roman" w:hAnsi="Times New Roman"/>
          <w:b/>
          <w:bCs/>
          <w:color w:val="1A2E4A"/>
          <w:sz w:val="19"/>
          <w:szCs w:val="19"/>
        </w:rPr>
        <w:t xml:space="preserve">Figure 7: CropXpert UML Deployment Diagram — Physical Infrastructure</w:t>
      </w:r>
    </w:p>
    <w:p>
      <w:pPr>
        <w:pStyle w:val="ListParagraph"/>
        <w:numPr>
          <w:ilvl w:val="0"/>
          <w:numId w:val="2"/>
        </w:numPr>
        <w:spacing w:before="40" w:after="40" w:line="300"/>
      </w:pPr>
      <w:r>
        <w:rPr>
          <w:rFonts w:ascii="Times New Roman" w:cs="Times New Roman" w:eastAsia="Times New Roman" w:hAnsi="Times New Roman"/>
          <w:sz w:val="21"/>
          <w:szCs w:val="21"/>
        </w:rPr>
        <w:t xml:space="preserve">CropXpert Field Unit (device node): The physical INR 3,600 hardware assembly deployed at the farm. Hosts the Arduino UNO firmware for Modbus RTU sensor reading and the ESP32 firmware for MQTT publish and OTA updates. Future v2.0 adds LoRa SX1276 for 5-15 km offline transmission.</w:t>
      </w:r>
    </w:p>
    <w:p>
      <w:pPr>
        <w:pStyle w:val="ListParagraph"/>
        <w:numPr>
          <w:ilvl w:val="0"/>
          <w:numId w:val="2"/>
        </w:numPr>
        <w:spacing w:before="40" w:after="40" w:line="300"/>
      </w:pPr>
      <w:r>
        <w:rPr>
          <w:rFonts w:ascii="Times New Roman" w:cs="Times New Roman" w:eastAsia="Times New Roman" w:hAnsi="Times New Roman"/>
          <w:sz w:val="21"/>
          <w:szCs w:val="21"/>
        </w:rPr>
        <w:t xml:space="preserve">MQTT Broker (execution environment): Mosquitto 2.0.x running on a Raspberry Pi or small VPS, managing the cropxpert/# topic hierarchy with QoS 1 guaranteed delivery over TCP port 1883.</w:t>
      </w:r>
    </w:p>
    <w:p>
      <w:pPr>
        <w:pStyle w:val="ListParagraph"/>
        <w:numPr>
          <w:ilvl w:val="0"/>
          <w:numId w:val="2"/>
        </w:numPr>
        <w:spacing w:before="40" w:after="40" w:line="300"/>
      </w:pPr>
      <w:r>
        <w:rPr>
          <w:rFonts w:ascii="Times New Roman" w:cs="Times New Roman" w:eastAsia="Times New Roman" w:hAnsi="Times New Roman"/>
          <w:sz w:val="21"/>
          <w:szCs w:val="21"/>
        </w:rPr>
        <w:t xml:space="preserve">Cloud Server (server node): Railway.app or AWS EC2 t3.micro running four Python processes: FastAPI app (port 8000), ML Service (RF model loaded at startup), Scheme Advisory Service, and Market Intelligence Service. SQLite for development; PostgreSQL for production.</w:t>
      </w:r>
    </w:p>
    <w:p>
      <w:pPr>
        <w:pStyle w:val="ListParagraph"/>
        <w:numPr>
          <w:ilvl w:val="0"/>
          <w:numId w:val="2"/>
        </w:numPr>
        <w:spacing w:before="40" w:after="40" w:line="300"/>
      </w:pPr>
      <w:r>
        <w:rPr>
          <w:rFonts w:ascii="Times New Roman" w:cs="Times New Roman" w:eastAsia="Times New Roman" w:hAnsi="Times New Roman"/>
          <w:sz w:val="21"/>
          <w:szCs w:val="21"/>
        </w:rPr>
        <w:t xml:space="preserve">CDN / Static Host (server node): Vercel or Netlify hosts the React PWA build artifacts including four i18n translation JSON bundles and the Chart.js dashboard. The Service Worker enables offline access to the last recommendation without internet connectivity.</w:t>
      </w:r>
    </w:p>
    <w:p>
      <w:pPr>
        <w:pStyle w:val="ListParagraph"/>
        <w:numPr>
          <w:ilvl w:val="0"/>
          <w:numId w:val="2"/>
        </w:numPr>
        <w:spacing w:before="40" w:after="40" w:line="300"/>
      </w:pPr>
      <w:r>
        <w:rPr>
          <w:rFonts w:ascii="Times New Roman" w:cs="Times New Roman" w:eastAsia="Times New Roman" w:hAnsi="Times New Roman"/>
          <w:sz w:val="21"/>
          <w:szCs w:val="21"/>
        </w:rPr>
        <w:t xml:space="preserve">Farmer Access Devices (device node): Android/iOS smartphones access the PWA via Chrome or Firefox; OTP authentication via MSG91. Basic feature phones (GSM only) use the SMS shortcode and receive a 160-character SMS reply with no data plan required.</w:t>
      </w:r>
    </w:p>
    <w:p>
      <w:r>
        <w:br w:type="page"/>
      </w:r>
    </w:p>
    <w:p>
      <w:pPr>
        <w:pStyle w:val="Heading1"/>
        <w:pBdr>
          <w:bottom w:val="single" w:color="2563EB" w:sz="8" w:space="4"/>
        </w:pBdr>
        <w:spacing w:before="300" w:after="160"/>
      </w:pPr>
      <w:r>
        <w:rPr>
          <w:rFonts w:ascii="Times New Roman" w:cs="Times New Roman" w:eastAsia="Times New Roman" w:hAnsi="Times New Roman"/>
          <w:b/>
          <w:bCs/>
          <w:color w:val="1A2E4A"/>
          <w:sz w:val="28"/>
          <w:szCs w:val="28"/>
        </w:rPr>
        <w:t xml:space="preserve">9.  Hardware Bill of Materials and Technology Stack</w:t>
      </w:r>
    </w:p>
    <w:p>
      <w:pPr>
        <w:pStyle w:val="Heading2"/>
        <w:spacing w:before="220" w:after="100"/>
      </w:pPr>
      <w:r>
        <w:rPr>
          <w:rFonts w:ascii="Times New Roman" w:cs="Times New Roman" w:eastAsia="Times New Roman" w:hAnsi="Times New Roman"/>
          <w:b/>
          <w:bCs/>
          <w:color w:val="2563EB"/>
          <w:sz w:val="24"/>
          <w:szCs w:val="24"/>
        </w:rPr>
        <w:t xml:space="preserve">9.1  Hardware Bill of Materials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700"/>
        <w:gridCol w:w="1860"/>
      </w:tblGrid>
      <w:tr>
        <w:trPr>
          <w:tblHeader/>
        </w:trP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spacing w:before="0" w:after="0"/>
              <w:jc w:val="center"/>
            </w:pPr>
            <w:r>
              <w:rPr>
                <w:rFonts w:ascii="Times New Roman" w:cs="Times New Roman" w:eastAsia="Times New Roman" w:hAnsi="Times New Roman"/>
                <w:b/>
                <w:bCs/>
                <w:color w:val="FFFFFF"/>
                <w:sz w:val="19"/>
                <w:szCs w:val="19"/>
              </w:rPr>
              <w:t xml:space="preserve">Component</w:t>
            </w:r>
          </w:p>
        </w:tc>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spacing w:before="0" w:after="0"/>
              <w:jc w:val="center"/>
            </w:pPr>
            <w:r>
              <w:rPr>
                <w:rFonts w:ascii="Times New Roman" w:cs="Times New Roman" w:eastAsia="Times New Roman" w:hAnsi="Times New Roman"/>
                <w:b/>
                <w:bCs/>
                <w:color w:val="FFFFFF"/>
                <w:sz w:val="19"/>
                <w:szCs w:val="19"/>
              </w:rPr>
              <w:t xml:space="preserve">Description</w:t>
            </w:r>
          </w:p>
        </w:tc>
        <w:tc>
          <w:tcPr>
            <w:tcW w:type="dxa" w:w="7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spacing w:before="0" w:after="0"/>
              <w:jc w:val="center"/>
            </w:pPr>
            <w:r>
              <w:rPr>
                <w:rFonts w:ascii="Times New Roman" w:cs="Times New Roman" w:eastAsia="Times New Roman" w:hAnsi="Times New Roman"/>
                <w:b/>
                <w:bCs/>
                <w:color w:val="FFFFFF"/>
                <w:sz w:val="19"/>
                <w:szCs w:val="19"/>
              </w:rPr>
              <w:t xml:space="preserve">Qty</w:t>
            </w:r>
          </w:p>
        </w:tc>
        <w:tc>
          <w:tcPr>
            <w:tcW w:type="dxa" w:w="18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pPr>
              <w:spacing w:before="0" w:after="0"/>
              <w:jc w:val="center"/>
            </w:pPr>
            <w:r>
              <w:rPr>
                <w:rFonts w:ascii="Times New Roman" w:cs="Times New Roman" w:eastAsia="Times New Roman" w:hAnsi="Times New Roman"/>
                <w:b/>
                <w:bCs/>
                <w:color w:val="FFFFFF"/>
                <w:sz w:val="19"/>
                <w:szCs w:val="19"/>
              </w:rPr>
              <w:t xml:space="preserve">Cost (INR)</w:t>
            </w:r>
          </w:p>
        </w:tc>
      </w:tr>
      <w:tr>
        <w:tc>
          <w:tcPr>
            <w:tcW w:type="dxa" w:w="30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Arduino UNO (ATmega328P)</w:t>
            </w:r>
          </w:p>
        </w:tc>
        <w:tc>
          <w:tcPr>
            <w:tcW w:type="dxa" w:w="28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Primary microcontroller</w:t>
            </w:r>
          </w:p>
        </w:tc>
        <w:tc>
          <w:tcPr>
            <w:tcW w:type="dxa" w:w="7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₹400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RS485 NPK Sensor (Modbus RTU)</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N/P/K soil measurement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₹1,800</w:t>
            </w:r>
          </w:p>
        </w:tc>
      </w:tr>
      <w:tr>
        <w:tc>
          <w:tcPr>
            <w:tcW w:type="dxa" w:w="30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Analog Soil pH Sensor</w:t>
            </w:r>
          </w:p>
        </w:tc>
        <w:tc>
          <w:tcPr>
            <w:tcW w:type="dxa" w:w="28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Soil acidity measurement</w:t>
            </w:r>
          </w:p>
        </w:tc>
        <w:tc>
          <w:tcPr>
            <w:tcW w:type="dxa" w:w="7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₹500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Capacitive Moisture Sensor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Volumetric water content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₹150</w:t>
            </w:r>
          </w:p>
        </w:tc>
      </w:tr>
      <w:tr>
        <w:tc>
          <w:tcPr>
            <w:tcW w:type="dxa" w:w="30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DHT22 Temperature/Humidity</w:t>
            </w:r>
          </w:p>
        </w:tc>
        <w:tc>
          <w:tcPr>
            <w:tcW w:type="dxa" w:w="28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Ambient sensing</w:t>
            </w:r>
          </w:p>
        </w:tc>
        <w:tc>
          <w:tcPr>
            <w:tcW w:type="dxa" w:w="7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₹150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MAX485 TTL Converter Module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RS485–UART bridge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₹50</w:t>
            </w:r>
          </w:p>
        </w:tc>
      </w:tr>
      <w:tr>
        <w:tc>
          <w:tcPr>
            <w:tcW w:type="dxa" w:w="30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ESP8266 Wi-Fi Module</w:t>
            </w:r>
          </w:p>
        </w:tc>
        <w:tc>
          <w:tcPr>
            <w:tcW w:type="dxa" w:w="28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Cloud data transmission</w:t>
            </w:r>
          </w:p>
        </w:tc>
        <w:tc>
          <w:tcPr>
            <w:tcW w:type="dxa" w:w="7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₹200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Enclosure + PCB + Misc.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Field-ready assembly</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₹350</w:t>
            </w:r>
          </w:p>
        </w:tc>
      </w:tr>
      <w:tr>
        <w:tc>
          <w:tcPr>
            <w:tcW w:type="dxa" w:w="30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LoRa SX1276 (Extension v2.0)</w:t>
            </w:r>
          </w:p>
        </w:tc>
        <w:tc>
          <w:tcPr>
            <w:tcW w:type="dxa" w:w="28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5–15 km rural connectivity</w:t>
            </w:r>
          </w:p>
        </w:tc>
        <w:tc>
          <w:tcPr>
            <w:tcW w:type="dxa" w:w="7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₹1,500</w:t>
            </w:r>
          </w:p>
        </w:tc>
      </w:tr>
      <w:tr>
        <w:tc>
          <w:tcPr>
            <w:tcW w:type="dxa" w:w="3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
            </w:r>
          </w:p>
        </w:tc>
        <w:tc>
          <w:tcPr>
            <w:tcW w:type="dxa" w:w="2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9"/>
                <w:szCs w:val="19"/>
              </w:rPr>
              <w:t xml:space="preserve">Total (Current):</w:t>
            </w:r>
          </w:p>
        </w:tc>
        <w:tc>
          <w:tcPr>
            <w:tcW w:type="dxa" w:w="18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9"/>
                <w:szCs w:val="19"/>
              </w:rPr>
              <w:t xml:space="preserve">≈ ₹3,600</w:t>
            </w:r>
          </w:p>
        </w:tc>
      </w:tr>
      <w:tr>
        <w:tc>
          <w:tcPr>
            <w:tcW w:type="dxa" w:w="3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
            </w:r>
          </w:p>
        </w:tc>
        <w:tc>
          <w:tcPr>
            <w:tcW w:type="dxa" w:w="2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9"/>
                <w:szCs w:val="19"/>
              </w:rPr>
              <w:t xml:space="preserve">Total (with LoRa):</w:t>
            </w:r>
          </w:p>
        </w:tc>
        <w:tc>
          <w:tcPr>
            <w:tcW w:type="dxa" w:w="18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9"/>
                <w:szCs w:val="19"/>
              </w:rPr>
              <w:t xml:space="preserve">≈ ₹5,100</w:t>
            </w:r>
          </w:p>
        </w:tc>
      </w:tr>
    </w:tbl>
    <w:p>
      <w:pPr>
        <w:spacing w:before="50" w:after="50"/>
      </w:pPr>
      <w:r>
        <w:t xml:space="preserve"/>
      </w:r>
    </w:p>
    <w:p>
      <w:pPr>
        <w:pStyle w:val="Heading2"/>
        <w:spacing w:before="220" w:after="100"/>
      </w:pPr>
      <w:r>
        <w:rPr>
          <w:rFonts w:ascii="Times New Roman" w:cs="Times New Roman" w:eastAsia="Times New Roman" w:hAnsi="Times New Roman"/>
          <w:b/>
          <w:bCs/>
          <w:color w:val="2563EB"/>
          <w:sz w:val="24"/>
          <w:szCs w:val="24"/>
        </w:rPr>
        <w:t xml:space="preserve">9.2  Software Technology Stack</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bCs/>
                <w:color w:val="FFFFFF"/>
                <w:sz w:val="19"/>
                <w:szCs w:val="19"/>
              </w:rPr>
              <w:t xml:space="preserve">Layer</w:t>
            </w:r>
          </w:p>
        </w:tc>
        <w:tc>
          <w:tcPr>
            <w:tcW w:type="dxa" w:w="3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bCs/>
                <w:color w:val="FFFFFF"/>
                <w:sz w:val="19"/>
                <w:szCs w:val="19"/>
              </w:rPr>
              <w:t xml:space="preserve">Technology</w:t>
            </w:r>
          </w:p>
        </w:tc>
        <w:tc>
          <w:tcPr>
            <w:tcW w:type="dxa" w:w="4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vAlign w:val="center"/>
          </w:tcPr>
          <w:p>
            <w:pPr>
              <w:spacing w:before="0" w:after="0"/>
              <w:jc w:val="left"/>
            </w:pPr>
            <w:r>
              <w:rPr>
                <w:rFonts w:ascii="Times New Roman" w:cs="Times New Roman" w:eastAsia="Times New Roman" w:hAnsi="Times New Roman"/>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Firmware</w:t>
            </w:r>
          </w:p>
        </w:tc>
        <w:tc>
          <w:tcPr>
            <w:tcW w:type="dxa" w:w="3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C++ (Arduino IDE) / MicroPython (ESP32)</w:t>
            </w:r>
          </w:p>
        </w:tc>
        <w:tc>
          <w:tcPr>
            <w:tcW w:type="dxa" w:w="41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Sensor interfacing, MQTT client, OTA firmware updates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ML / Data Science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Python 3.10, Scikit-learn, XGBoost, LightGBM, Pandas, NumPy, Joblib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Model training, inference pipeline, preprocessing</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Backend API</w:t>
            </w:r>
          </w:p>
        </w:tc>
        <w:tc>
          <w:tcPr>
            <w:tcW w:type="dxa" w:w="3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FastAPI (Python), Uvicorn, Pydantic, SQLAlchemy</w:t>
            </w:r>
          </w:p>
        </w:tc>
        <w:tc>
          <w:tcPr>
            <w:tcW w:type="dxa" w:w="41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REST endpoints, input validation, async I/O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Message Broker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Mosquitto MQTT 2.0.x (QoS 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Real-time sensor data streaming</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Database</w:t>
            </w:r>
          </w:p>
        </w:tc>
        <w:tc>
          <w:tcPr>
            <w:tcW w:type="dxa" w:w="3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SQLite (dev) / PostgreSQL 15 (production)</w:t>
            </w:r>
          </w:p>
        </w:tc>
        <w:tc>
          <w:tcPr>
            <w:tcW w:type="dxa" w:w="41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Sensor history, farm profiles, scheme records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React 18 PWA, react-i18next, Chart.js, Tailwind CSS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Multilingual dashboard, offline service worker, charts</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Bot / Messaging</w:t>
            </w:r>
          </w:p>
        </w:tc>
        <w:tc>
          <w:tcPr>
            <w:tcW w:type="dxa" w:w="3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Twilio API (WhatsApp), MSG91 (SMS, OTP)</w:t>
            </w:r>
          </w:p>
        </w:tc>
        <w:tc>
          <w:tcPr>
            <w:tcW w:type="dxa" w:w="41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CropBot, shortcode fallback, OTP authentication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External APIs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OpenWeatherMap, AGMARKNET, MyScheme.gov.in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Rainfall, MSP/mandi prices, government schemes</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Deployment</w:t>
            </w:r>
          </w:p>
        </w:tc>
        <w:tc>
          <w:tcPr>
            <w:tcW w:type="dxa" w:w="3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Railway.app / AWS EC2, Vercel / Netlify, ESP32 OTA</w:t>
            </w:r>
          </w:p>
        </w:tc>
        <w:tc>
          <w:tcPr>
            <w:tcW w:type="dxa" w:w="41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Cloud hosting, CDN, over-the-air firmware updates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LoRa (Roadmap)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ESP32 + LoRa SX1276, LoRaWAN TTN, RAK2245 Gateway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5–15 km offline connectivity for no-4G villages</w:t>
            </w:r>
          </w:p>
        </w:tc>
      </w:tr>
    </w:tbl>
    <w:p>
      <w:r>
        <w:br w:type="page"/>
      </w:r>
    </w:p>
    <w:p>
      <w:pPr>
        <w:pStyle w:val="Heading1"/>
        <w:pBdr>
          <w:bottom w:val="single" w:color="2563EB" w:sz="8" w:space="4"/>
        </w:pBdr>
        <w:spacing w:before="300" w:after="160"/>
      </w:pPr>
      <w:r>
        <w:rPr>
          <w:rFonts w:ascii="Times New Roman" w:cs="Times New Roman" w:eastAsia="Times New Roman" w:hAnsi="Times New Roman"/>
          <w:b/>
          <w:bCs/>
          <w:color w:val="1A2E4A"/>
          <w:sz w:val="28"/>
          <w:szCs w:val="28"/>
        </w:rPr>
        <w:t xml:space="preserve">10.  Machine Learning Model Evaluation</w:t>
      </w:r>
    </w:p>
    <w:p>
      <w:pPr>
        <w:spacing w:before="80" w:after="80" w:line="340"/>
        <w:jc w:val="both"/>
      </w:pPr>
      <w:r>
        <w:rPr>
          <w:rFonts w:ascii="Times New Roman" w:cs="Times New Roman" w:eastAsia="Times New Roman" w:hAnsi="Times New Roman"/>
          <w:b w:val="false"/>
          <w:bCs w:val="false"/>
          <w:color w:val="000000"/>
          <w:sz w:val="22"/>
          <w:szCs w:val="22"/>
        </w:rPr>
        <w:t xml:space="preserve">Five classifiers were trained and evaluated under 5-fold stratified cross-validation with GridSearchCV hyperparameter tuning on the same 70%-15%-15% stratified train-validation-test split of the Indian Crop Recommendation Dataset (2,200+ augmented samples, 22 crop classes).</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100"/>
        <w:gridCol w:w="1000"/>
        <w:gridCol w:w="1060"/>
      </w:tblGrid>
      <w:tr>
        <w:trPr>
          <w:tblHeader/>
        </w:trPr>
        <w:tc>
          <w:tcPr>
            <w:tcW w:type="dxa" w:w="2200"/>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9"/>
                <w:szCs w:val="19"/>
              </w:rPr>
              <w:t xml:space="preserve">Model</w:t>
            </w:r>
          </w:p>
        </w:tc>
        <w:tc>
          <w:tcPr>
            <w:tcW w:type="dxa" w:w="1000"/>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9"/>
                <w:szCs w:val="19"/>
              </w:rPr>
              <w:t xml:space="preserve">Accuracy</w:t>
            </w:r>
          </w:p>
        </w:tc>
        <w:tc>
          <w:tcPr>
            <w:tcW w:type="dxa" w:w="1000"/>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9"/>
                <w:szCs w:val="19"/>
              </w:rPr>
              <w:t xml:space="preserve">F1-Score</w:t>
            </w:r>
          </w:p>
        </w:tc>
        <w:tc>
          <w:tcPr>
            <w:tcW w:type="dxa" w:w="1100"/>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9"/>
                <w:szCs w:val="19"/>
              </w:rPr>
              <w:t xml:space="preserve">Model Size</w:t>
            </w:r>
          </w:p>
        </w:tc>
        <w:tc>
          <w:tcPr>
            <w:tcW w:type="dxa" w:w="1000"/>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9"/>
                <w:szCs w:val="19"/>
              </w:rPr>
              <w:t xml:space="preserve">Inference</w:t>
            </w:r>
          </w:p>
        </w:tc>
        <w:tc>
          <w:tcPr>
            <w:tcW w:type="dxa" w:w="1060"/>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bCs/>
                <w:color w:val="166534"/>
                <w:sz w:val="19"/>
                <w:szCs w:val="19"/>
              </w:rPr>
              <w:t xml:space="preserve">Random Forest (Selected)</w:t>
            </w:r>
          </w:p>
        </w:tc>
        <w:tc>
          <w:tcPr>
            <w:tcW w:type="dxa" w:w="1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166534"/>
                <w:sz w:val="19"/>
                <w:szCs w:val="19"/>
              </w:rPr>
              <w:t xml:space="preserve">99.2%</w:t>
            </w:r>
          </w:p>
        </w:tc>
        <w:tc>
          <w:tcPr>
            <w:tcW w:type="dxa" w:w="1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166534"/>
                <w:sz w:val="19"/>
                <w:szCs w:val="19"/>
              </w:rPr>
              <w:t xml:space="preserve">0.992</w:t>
            </w:r>
          </w:p>
        </w:tc>
        <w:tc>
          <w:tcPr>
            <w:tcW w:type="dxa" w:w="11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166534"/>
                <w:sz w:val="19"/>
                <w:szCs w:val="19"/>
              </w:rPr>
              <w:t xml:space="preserve">4.7 MB</w:t>
            </w:r>
          </w:p>
        </w:tc>
        <w:tc>
          <w:tcPr>
            <w:tcW w:type="dxa" w:w="1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166534"/>
                <w:sz w:val="19"/>
                <w:szCs w:val="19"/>
              </w:rPr>
              <w:t xml:space="preserve">2.3 ms</w:t>
            </w:r>
          </w:p>
        </w:tc>
        <w:tc>
          <w:tcPr>
            <w:tcW w:type="dxa" w:w="10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166534"/>
                <w:sz w:val="19"/>
                <w:szCs w:val="19"/>
              </w:rPr>
              <w:t xml:space="preserve">✓ Selected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XGBoost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98.7%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0.987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8.2 MB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3.1 ms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Evaluated</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LightGBM</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98.5%</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0.985</w:t>
            </w:r>
          </w:p>
        </w:tc>
        <w:tc>
          <w:tcPr>
            <w:tcW w:type="dxa" w:w="11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6.8 MB</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2.8 ms</w:t>
            </w:r>
          </w:p>
        </w:tc>
        <w:tc>
          <w:tcPr>
            <w:tcW w:type="dxa" w:w="10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Evaluated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SVM (RBF Kernel)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97.8%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0.979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12 MB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8.4 ms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Evaluated</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9"/>
                <w:szCs w:val="19"/>
              </w:rPr>
              <w:t xml:space="preserve">MLP (128-64-32)</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97.1%</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0.972</w:t>
            </w:r>
          </w:p>
        </w:tc>
        <w:tc>
          <w:tcPr>
            <w:tcW w:type="dxa" w:w="11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2.1 MB</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4.5 ms</w:t>
            </w:r>
          </w:p>
        </w:tc>
        <w:tc>
          <w:tcPr>
            <w:tcW w:type="dxa" w:w="10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9"/>
                <w:szCs w:val="19"/>
              </w:rPr>
              <w:t xml:space="preserve">Evaluated</w:t>
            </w:r>
          </w:p>
        </w:tc>
      </w:tr>
    </w:tbl>
    <w:p>
      <w:pPr>
        <w:spacing w:before="50" w:after="50"/>
      </w:pPr>
      <w:r>
        <w:t xml:space="preserve"/>
      </w:r>
    </w:p>
    <w:p>
      <w:pPr>
        <w:spacing w:before="80" w:after="80" w:line="340"/>
        <w:jc w:val="both"/>
      </w:pPr>
      <w:r>
        <w:rPr>
          <w:rFonts w:ascii="Times New Roman" w:cs="Times New Roman" w:eastAsia="Times New Roman" w:hAnsi="Times New Roman"/>
          <w:b w:val="false"/>
          <w:bCs w:val="false"/>
          <w:color w:val="000000"/>
          <w:sz w:val="22"/>
          <w:szCs w:val="22"/>
        </w:rPr>
        <w:t xml:space="preserve">Random Forest was selected as the production model for four reasons: (1) highest accuracy of 99.2% on the 22-class test set; (2) smallest serialised model size at 4.7 MB; (3) lowest inference latency at 2.3 ms mean, critical for real-time embedded deployment; and (4) superior interpretability through feature importance scores that can be communicated to farmers and validated by agronomists.</w:t>
      </w:r>
    </w:p>
    <w:p>
      <w:pPr>
        <w:pStyle w:val="Heading2"/>
        <w:spacing w:before="220" w:after="100"/>
      </w:pPr>
      <w:r>
        <w:rPr>
          <w:rFonts w:ascii="Times New Roman" w:cs="Times New Roman" w:eastAsia="Times New Roman" w:hAnsi="Times New Roman"/>
          <w:b/>
          <w:bCs/>
          <w:color w:val="2563EB"/>
          <w:sz w:val="24"/>
          <w:szCs w:val="24"/>
        </w:rPr>
        <w:t xml:space="preserve">10.1  Feature Importance</w:t>
      </w:r>
    </w:p>
    <w:p>
      <w:pPr>
        <w:pStyle w:val="ListParagraph"/>
        <w:numPr>
          <w:ilvl w:val="0"/>
          <w:numId w:val="2"/>
        </w:numPr>
        <w:spacing w:before="40" w:after="40" w:line="300"/>
      </w:pPr>
      <w:r>
        <w:rPr>
          <w:rFonts w:ascii="Times New Roman" w:cs="Times New Roman" w:eastAsia="Times New Roman" w:hAnsi="Times New Roman"/>
          <w:sz w:val="21"/>
          <w:szCs w:val="21"/>
        </w:rPr>
        <w:t xml:space="preserve">Rainfall (28.4%): The most discriminative feature. Rice requires greater than 200 mm average rainfall while Cotton tolerates under 100 mm. Auto-fetched from OpenWeatherMap using farmer GPS coordinates.</w:t>
      </w:r>
    </w:p>
    <w:p>
      <w:pPr>
        <w:pStyle w:val="ListParagraph"/>
        <w:numPr>
          <w:ilvl w:val="0"/>
          <w:numId w:val="2"/>
        </w:numPr>
        <w:spacing w:before="40" w:after="40" w:line="300"/>
      </w:pPr>
      <w:r>
        <w:rPr>
          <w:rFonts w:ascii="Times New Roman" w:cs="Times New Roman" w:eastAsia="Times New Roman" w:hAnsi="Times New Roman"/>
          <w:sz w:val="21"/>
          <w:szCs w:val="21"/>
        </w:rPr>
        <w:t xml:space="preserve">Humidity (21.7%): Influences disease susceptibility and water stress. DHT22 provides plus/minus 2-5% RH accuracy sufficient for ML inference.</w:t>
      </w:r>
    </w:p>
    <w:p>
      <w:pPr>
        <w:pStyle w:val="ListParagraph"/>
        <w:numPr>
          <w:ilvl w:val="0"/>
          <w:numId w:val="2"/>
        </w:numPr>
        <w:spacing w:before="40" w:after="40" w:line="300"/>
      </w:pPr>
      <w:r>
        <w:rPr>
          <w:rFonts w:ascii="Times New Roman" w:cs="Times New Roman" w:eastAsia="Times New Roman" w:hAnsi="Times New Roman"/>
          <w:sz w:val="21"/>
          <w:szCs w:val="21"/>
        </w:rPr>
        <w:t xml:space="preserve">pH (16.3%): Determines nutrient availability. Optimal range varies from pH 5.5 (Coffee) to pH 7.5 (Chickpea). Analog pH sensor with buffer calibration provides plus/minus 0.1 accuracy.</w:t>
      </w:r>
    </w:p>
    <w:p>
      <w:pPr>
        <w:pStyle w:val="ListParagraph"/>
        <w:numPr>
          <w:ilvl w:val="0"/>
          <w:numId w:val="2"/>
        </w:numPr>
        <w:spacing w:before="40" w:after="40" w:line="300"/>
      </w:pPr>
      <w:r>
        <w:rPr>
          <w:rFonts w:ascii="Times New Roman" w:cs="Times New Roman" w:eastAsia="Times New Roman" w:hAnsi="Times New Roman"/>
          <w:sz w:val="21"/>
          <w:szCs w:val="21"/>
        </w:rPr>
        <w:t xml:space="preserve">Temperature (10.7%): Controls growing season boundaries. DHT22 plus/minus 0.5 degrees Celsius accuracy meets the classification task requirement.</w:t>
      </w:r>
    </w:p>
    <w:p>
      <w:pPr>
        <w:pStyle w:val="ListParagraph"/>
        <w:numPr>
          <w:ilvl w:val="0"/>
          <w:numId w:val="2"/>
        </w:numPr>
        <w:spacing w:before="40" w:after="40" w:line="300"/>
      </w:pPr>
      <w:r>
        <w:rPr>
          <w:rFonts w:ascii="Times New Roman" w:cs="Times New Roman" w:eastAsia="Times New Roman" w:hAnsi="Times New Roman"/>
          <w:sz w:val="21"/>
          <w:szCs w:val="21"/>
        </w:rPr>
        <w:t xml:space="preserve">Nitrogen, Phosphorus, Potassium (9.8%, 7.2%, 8.1%): NPK together account for 25.1% of predictive power, directly justifying the RS485 NPK sensor investment at INR 1,800.</w:t>
      </w:r>
    </w:p>
    <w:p>
      <w:r>
        <w:br w:type="page"/>
      </w:r>
    </w:p>
    <w:p>
      <w:pPr>
        <w:pStyle w:val="Heading1"/>
        <w:pBdr>
          <w:bottom w:val="single" w:color="2563EB" w:sz="8" w:space="4"/>
        </w:pBdr>
        <w:spacing w:before="300" w:after="160"/>
      </w:pPr>
      <w:r>
        <w:rPr>
          <w:rFonts w:ascii="Times New Roman" w:cs="Times New Roman" w:eastAsia="Times New Roman" w:hAnsi="Times New Roman"/>
          <w:b/>
          <w:bCs/>
          <w:color w:val="1A2E4A"/>
          <w:sz w:val="28"/>
          <w:szCs w:val="28"/>
        </w:rPr>
        <w:t xml:space="preserve">11.  Novel Architectural Contributions</w:t>
      </w:r>
    </w:p>
    <w:p>
      <w:pPr>
        <w:pStyle w:val="Heading2"/>
        <w:spacing w:before="220" w:after="100"/>
      </w:pPr>
      <w:r>
        <w:rPr>
          <w:rFonts w:ascii="Times New Roman" w:cs="Times New Roman" w:eastAsia="Times New Roman" w:hAnsi="Times New Roman"/>
          <w:b/>
          <w:bCs/>
          <w:color w:val="2563EB"/>
          <w:sz w:val="24"/>
          <w:szCs w:val="24"/>
        </w:rPr>
        <w:t xml:space="preserve">11.1  Market-Aware Recommendation Engine</w:t>
      </w:r>
    </w:p>
    <w:p>
      <w:pPr>
        <w:spacing w:before="80" w:after="80" w:line="340"/>
        <w:jc w:val="both"/>
      </w:pPr>
      <w:r>
        <w:rPr>
          <w:rFonts w:ascii="Times New Roman" w:cs="Times New Roman" w:eastAsia="Times New Roman" w:hAnsi="Times New Roman"/>
          <w:b w:val="false"/>
          <w:bCs w:val="false"/>
          <w:color w:val="000000"/>
          <w:sz w:val="22"/>
          <w:szCs w:val="22"/>
        </w:rPr>
        <w:t xml:space="preserve">All prior systems reviewed in the literature recommend crops based solely on agro-climatic suitability. CropXpert introduces a Market Intelligence Layer that queries AGMARKNET for live Minimum Support Price and mandi arrival data. The final crop ranking applies the formula:</w:t>
      </w:r>
    </w:p>
    <w:p>
      <w:pPr>
        <w:spacing w:before="120" w:after="120"/>
        <w:jc w:val="center"/>
      </w:pPr>
      <w:r>
        <w:rPr>
          <w:rFonts w:ascii="Courier New" w:cs="Courier New" w:eastAsia="Courier New" w:hAnsi="Courier New"/>
          <w:b/>
          <w:bCs/>
          <w:color w:val="2563EB"/>
          <w:sz w:val="22"/>
          <w:szCs w:val="22"/>
        </w:rPr>
        <w:t xml:space="preserve">Score(c) = 0.60 x P_ML(c) + 0.25 x MSP_Index(c) + 0.15 x SeasonDemand(c)</w:t>
      </w:r>
    </w:p>
    <w:p>
      <w:pPr>
        <w:spacing w:before="80" w:after="80" w:line="340"/>
        <w:jc w:val="both"/>
      </w:pPr>
      <w:r>
        <w:rPr>
          <w:rFonts w:ascii="Times New Roman" w:cs="Times New Roman" w:eastAsia="Times New Roman" w:hAnsi="Times New Roman"/>
          <w:b w:val="false"/>
          <w:bCs w:val="false"/>
          <w:color w:val="000000"/>
          <w:sz w:val="22"/>
          <w:szCs w:val="22"/>
        </w:rPr>
        <w:t xml:space="preserve">A crop with high ML confidence but suppressed market price is ranked below a slightly less agronomically optimal but economically viable alternative. The alpha/beta/gamma weights are configurable by the agricultural officer via an admin panel, enabling state-specific tuning.</w:t>
      </w:r>
    </w:p>
    <w:p>
      <w:pPr>
        <w:pStyle w:val="Heading2"/>
        <w:spacing w:before="220" w:after="100"/>
      </w:pPr>
      <w:r>
        <w:rPr>
          <w:rFonts w:ascii="Times New Roman" w:cs="Times New Roman" w:eastAsia="Times New Roman" w:hAnsi="Times New Roman"/>
          <w:b/>
          <w:bCs/>
          <w:color w:val="2563EB"/>
          <w:sz w:val="24"/>
          <w:szCs w:val="24"/>
        </w:rPr>
        <w:t xml:space="preserve">11.2  Vernacular-First Multilingual Interface</w:t>
      </w:r>
    </w:p>
    <w:p>
      <w:pPr>
        <w:spacing w:before="80" w:after="80" w:line="340"/>
        <w:jc w:val="both"/>
      </w:pPr>
      <w:r>
        <w:rPr>
          <w:rFonts w:ascii="Times New Roman" w:cs="Times New Roman" w:eastAsia="Times New Roman" w:hAnsi="Times New Roman"/>
          <w:b w:val="false"/>
          <w:bCs w:val="false"/>
          <w:color w:val="000000"/>
          <w:sz w:val="22"/>
          <w:szCs w:val="22"/>
        </w:rPr>
        <w:t xml:space="preserve">CropXpert implements a multilingual output layer covering Hindi (UP, MP, Bihar), Marathi (Maharashtra), Tamil (Tamil Nadu), and Telugu (Andhra Pradesh, Telangana) covering over 400 million farmers who cannot read English. Language is auto-detected from the browser locale using react-i18next and can be manually toggled. All ML outputs, scheme details, fertiliser advisory, and loan guidance are fully localised.</w:t>
      </w:r>
    </w:p>
    <w:p>
      <w:pPr>
        <w:pStyle w:val="Heading2"/>
        <w:spacing w:before="220" w:after="100"/>
      </w:pPr>
      <w:r>
        <w:rPr>
          <w:rFonts w:ascii="Times New Roman" w:cs="Times New Roman" w:eastAsia="Times New Roman" w:hAnsi="Times New Roman"/>
          <w:b/>
          <w:bCs/>
          <w:color w:val="2563EB"/>
          <w:sz w:val="24"/>
          <w:szCs w:val="24"/>
        </w:rPr>
        <w:t xml:space="preserve">11.3  LoRa + ESP32 Offline Extension (v2.0 Roadmap)</w:t>
      </w:r>
    </w:p>
    <w:p>
      <w:pPr>
        <w:spacing w:before="80" w:after="80" w:line="340"/>
        <w:jc w:val="both"/>
      </w:pPr>
      <w:r>
        <w:rPr>
          <w:rFonts w:ascii="Times New Roman" w:cs="Times New Roman" w:eastAsia="Times New Roman" w:hAnsi="Times New Roman"/>
          <w:b w:val="false"/>
          <w:bCs w:val="false"/>
          <w:color w:val="000000"/>
          <w:sz w:val="22"/>
          <w:szCs w:val="22"/>
        </w:rPr>
        <w:t xml:space="preserve">The planned v2.0 hardware revision replaces the ESP8266 Wi-Fi link with an ESP32 plus LoRa SX1276 at 915 MHz ISM band, delivering 5-15 km transmission range at under 20 mA current draw. A single RAK2245 LoRaWAN gateway can aggregate up to 1,000 sensor nodes, with PM-WANI public Wi-Fi infrastructure serving as the internet backhaul. This targets states where agricultural 4G penetration remains below 45%.</w:t>
      </w:r>
    </w:p>
    <w:p>
      <w:r>
        <w:br w:type="page"/>
      </w:r>
    </w:p>
    <w:p>
      <w:pPr>
        <w:pStyle w:val="Heading1"/>
        <w:pBdr>
          <w:bottom w:val="single" w:color="2563EB" w:sz="8" w:space="4"/>
        </w:pBdr>
        <w:spacing w:before="300" w:after="160"/>
      </w:pPr>
      <w:r>
        <w:rPr>
          <w:rFonts w:ascii="Times New Roman" w:cs="Times New Roman" w:eastAsia="Times New Roman" w:hAnsi="Times New Roman"/>
          <w:b/>
          <w:bCs/>
          <w:color w:val="1A2E4A"/>
          <w:sz w:val="28"/>
          <w:szCs w:val="28"/>
        </w:rPr>
        <w:t xml:space="preserve">12.  Non-Functional Requirements and Quality Attributes</w:t>
      </w:r>
    </w:p>
    <w:p>
      <w:pPr>
        <w:pStyle w:val="Heading2"/>
        <w:spacing w:before="220" w:after="100"/>
      </w:pPr>
      <w:r>
        <w:rPr>
          <w:rFonts w:ascii="Times New Roman" w:cs="Times New Roman" w:eastAsia="Times New Roman" w:hAnsi="Times New Roman"/>
          <w:b/>
          <w:bCs/>
          <w:color w:val="2563EB"/>
          <w:sz w:val="24"/>
          <w:szCs w:val="24"/>
        </w:rPr>
        <w:t xml:space="preserve">12.1  Performance Targets</w:t>
      </w:r>
    </w:p>
    <w:p>
      <w:pPr>
        <w:pStyle w:val="ListParagraph"/>
        <w:numPr>
          <w:ilvl w:val="0"/>
          <w:numId w:val="2"/>
        </w:numPr>
        <w:spacing w:before="40" w:after="40" w:line="300"/>
      </w:pPr>
      <w:r>
        <w:rPr>
          <w:rFonts w:ascii="Times New Roman" w:cs="Times New Roman" w:eastAsia="Times New Roman" w:hAnsi="Times New Roman"/>
          <w:sz w:val="21"/>
          <w:szCs w:val="21"/>
        </w:rPr>
        <w:t xml:space="preserve">ML inference latency: under 5 ms (achieved: 2.3 ms mean).</w:t>
      </w:r>
    </w:p>
    <w:p>
      <w:pPr>
        <w:pStyle w:val="ListParagraph"/>
        <w:numPr>
          <w:ilvl w:val="0"/>
          <w:numId w:val="2"/>
        </w:numPr>
        <w:spacing w:before="40" w:after="40" w:line="300"/>
      </w:pPr>
      <w:r>
        <w:rPr>
          <w:rFonts w:ascii="Times New Roman" w:cs="Times New Roman" w:eastAsia="Times New Roman" w:hAnsi="Times New Roman"/>
          <w:sz w:val="21"/>
          <w:szCs w:val="21"/>
        </w:rPr>
        <w:t xml:space="preserve">FastAPI /predict endpoint p95 latency: under 200 ms including network overhead.</w:t>
      </w:r>
    </w:p>
    <w:p>
      <w:pPr>
        <w:pStyle w:val="ListParagraph"/>
        <w:numPr>
          <w:ilvl w:val="0"/>
          <w:numId w:val="2"/>
        </w:numPr>
        <w:spacing w:before="40" w:after="40" w:line="300"/>
      </w:pPr>
      <w:r>
        <w:rPr>
          <w:rFonts w:ascii="Times New Roman" w:cs="Times New Roman" w:eastAsia="Times New Roman" w:hAnsi="Times New Roman"/>
          <w:sz w:val="21"/>
          <w:szCs w:val="21"/>
        </w:rPr>
        <w:t xml:space="preserve">MQTT sensor publish-to-dashboard refresh: under 2 seconds end-to-end.</w:t>
      </w:r>
    </w:p>
    <w:p>
      <w:pPr>
        <w:pStyle w:val="ListParagraph"/>
        <w:numPr>
          <w:ilvl w:val="0"/>
          <w:numId w:val="2"/>
        </w:numPr>
        <w:spacing w:before="40" w:after="40" w:line="300"/>
      </w:pPr>
      <w:r>
        <w:rPr>
          <w:rFonts w:ascii="Times New Roman" w:cs="Times New Roman" w:eastAsia="Times New Roman" w:hAnsi="Times New Roman"/>
          <w:sz w:val="21"/>
          <w:szCs w:val="21"/>
        </w:rPr>
        <w:t xml:space="preserve">React PWA First Contentful Paint: under 2 s on 3G (Lighthouse mobile score target greater than 80).</w:t>
      </w:r>
    </w:p>
    <w:p>
      <w:pPr>
        <w:pStyle w:val="ListParagraph"/>
        <w:numPr>
          <w:ilvl w:val="0"/>
          <w:numId w:val="2"/>
        </w:numPr>
        <w:spacing w:before="40" w:after="40" w:line="300"/>
      </w:pPr>
      <w:r>
        <w:rPr>
          <w:rFonts w:ascii="Times New Roman" w:cs="Times New Roman" w:eastAsia="Times New Roman" w:hAnsi="Times New Roman"/>
          <w:sz w:val="21"/>
          <w:szCs w:val="21"/>
        </w:rPr>
        <w:t xml:space="preserve">AGMARKNET API cache hit rate: greater than 90% during normal operation (24-hour TTL).</w:t>
      </w:r>
    </w:p>
    <w:p>
      <w:pPr>
        <w:pStyle w:val="Heading2"/>
        <w:spacing w:before="220" w:after="100"/>
      </w:pPr>
      <w:r>
        <w:rPr>
          <w:rFonts w:ascii="Times New Roman" w:cs="Times New Roman" w:eastAsia="Times New Roman" w:hAnsi="Times New Roman"/>
          <w:b/>
          <w:bCs/>
          <w:color w:val="2563EB"/>
          <w:sz w:val="24"/>
          <w:szCs w:val="24"/>
        </w:rPr>
        <w:t xml:space="preserve">12.2  Reliability and Fault Tolerance</w:t>
      </w:r>
    </w:p>
    <w:p>
      <w:pPr>
        <w:pStyle w:val="ListParagraph"/>
        <w:numPr>
          <w:ilvl w:val="0"/>
          <w:numId w:val="2"/>
        </w:numPr>
        <w:spacing w:before="40" w:after="40" w:line="300"/>
      </w:pPr>
      <w:r>
        <w:rPr>
          <w:rFonts w:ascii="Times New Roman" w:cs="Times New Roman" w:eastAsia="Times New Roman" w:hAnsi="Times New Roman"/>
          <w:sz w:val="21"/>
          <w:szCs w:val="21"/>
        </w:rPr>
        <w:t xml:space="preserve">MQTT QoS 1 guarantees at-least-once delivery. Duplicate detection on the backend ensures idempotent inserts into the SensorReading table.</w:t>
      </w:r>
    </w:p>
    <w:p>
      <w:pPr>
        <w:pStyle w:val="ListParagraph"/>
        <w:numPr>
          <w:ilvl w:val="0"/>
          <w:numId w:val="2"/>
        </w:numPr>
        <w:spacing w:before="40" w:after="40" w:line="300"/>
      </w:pPr>
      <w:r>
        <w:rPr>
          <w:rFonts w:ascii="Times New Roman" w:cs="Times New Roman" w:eastAsia="Times New Roman" w:hAnsi="Times New Roman"/>
          <w:sz w:val="21"/>
          <w:szCs w:val="21"/>
        </w:rPr>
        <w:t xml:space="preserve">Graceful degradation: If AGMARKNET API is unavailable, the market score falls back to MSP_Index = 0 and the pure ML ranking is returned with a user notification. If OpenWeatherMap fails, a manual rainfall entry UI is presented.</w:t>
      </w:r>
    </w:p>
    <w:p>
      <w:pPr>
        <w:pStyle w:val="ListParagraph"/>
        <w:numPr>
          <w:ilvl w:val="0"/>
          <w:numId w:val="2"/>
        </w:numPr>
        <w:spacing w:before="40" w:after="40" w:line="300"/>
      </w:pPr>
      <w:r>
        <w:rPr>
          <w:rFonts w:ascii="Times New Roman" w:cs="Times New Roman" w:eastAsia="Times New Roman" w:hAnsi="Times New Roman"/>
          <w:sz w:val="21"/>
          <w:szCs w:val="21"/>
        </w:rPr>
        <w:t xml:space="preserve">PWA Service Worker caches the last recommendation and sensor dashboard offline, ensuring farmers can access their most recent advisory without internet connectivity.</w:t>
      </w:r>
    </w:p>
    <w:p>
      <w:pPr>
        <w:pStyle w:val="Heading2"/>
        <w:spacing w:before="220" w:after="100"/>
      </w:pPr>
      <w:r>
        <w:rPr>
          <w:rFonts w:ascii="Times New Roman" w:cs="Times New Roman" w:eastAsia="Times New Roman" w:hAnsi="Times New Roman"/>
          <w:b/>
          <w:bCs/>
          <w:color w:val="2563EB"/>
          <w:sz w:val="24"/>
          <w:szCs w:val="24"/>
        </w:rPr>
        <w:t xml:space="preserve">12.3  Security</w:t>
      </w:r>
    </w:p>
    <w:p>
      <w:pPr>
        <w:pStyle w:val="ListParagraph"/>
        <w:numPr>
          <w:ilvl w:val="0"/>
          <w:numId w:val="2"/>
        </w:numPr>
        <w:spacing w:before="40" w:after="40" w:line="300"/>
      </w:pPr>
      <w:r>
        <w:rPr>
          <w:rFonts w:ascii="Times New Roman" w:cs="Times New Roman" w:eastAsia="Times New Roman" w:hAnsi="Times New Roman"/>
          <w:sz w:val="21"/>
          <w:szCs w:val="21"/>
        </w:rPr>
        <w:t xml:space="preserve">Authentication: OTP-based mobile login via MSG91. JWT tokens with 7-day expiry. HTTPS enforced on all API endpoints. OTPs never stored in plain text.</w:t>
      </w:r>
    </w:p>
    <w:p>
      <w:pPr>
        <w:pStyle w:val="ListParagraph"/>
        <w:numPr>
          <w:ilvl w:val="0"/>
          <w:numId w:val="2"/>
        </w:numPr>
        <w:spacing w:before="40" w:after="40" w:line="300"/>
      </w:pPr>
      <w:r>
        <w:rPr>
          <w:rFonts w:ascii="Times New Roman" w:cs="Times New Roman" w:eastAsia="Times New Roman" w:hAnsi="Times New Roman"/>
          <w:sz w:val="21"/>
          <w:szCs w:val="21"/>
        </w:rPr>
        <w:t xml:space="preserve">Input validation: Pydantic schema enforcement rejects out-of-range sensor values (e.g., pH greater than 14, N greater than 1999 mg/kg) before they reach the ML model.</w:t>
      </w:r>
    </w:p>
    <w:p>
      <w:pPr>
        <w:pStyle w:val="ListParagraph"/>
        <w:numPr>
          <w:ilvl w:val="0"/>
          <w:numId w:val="2"/>
        </w:numPr>
        <w:spacing w:before="40" w:after="40" w:line="300"/>
      </w:pPr>
      <w:r>
        <w:rPr>
          <w:rFonts w:ascii="Times New Roman" w:cs="Times New Roman" w:eastAsia="Times New Roman" w:hAnsi="Times New Roman"/>
          <w:sz w:val="21"/>
          <w:szCs w:val="21"/>
        </w:rPr>
        <w:t xml:space="preserve">Data privacy: Farmer GPS coordinates are used only for rainfall API queries and are not stored beyond the session, in compliance with the Digital Personal Data Protection Act 2023 framework.</w:t>
      </w:r>
    </w:p>
    <w:p>
      <w:pPr>
        <w:spacing w:before="50" w:after="50"/>
      </w:pPr>
      <w:r>
        <w:t xml:space="preserve"/>
      </w:r>
    </w:p>
    <w:p>
      <w:pPr>
        <w:spacing w:before="50" w:after="50"/>
      </w:pPr>
      <w:r>
        <w:t xml:space="preserve"/>
      </w:r>
    </w:p>
    <w:p>
      <w:pPr>
        <w:spacing w:before="200" w:after="120"/>
        <w:jc w:val="center"/>
      </w:pPr>
      <w:r>
        <w:rPr>
          <w:rFonts w:ascii="Times New Roman" w:cs="Times New Roman" w:eastAsia="Times New Roman" w:hAnsi="Times New Roman"/>
          <w:color w:val="2563EB"/>
          <w:sz w:val="18"/>
          <w:szCs w:val="18"/>
        </w:rPr>
        <w:t xml:space="preserve">────────────────────────────────────────────────────────────────────────────────</w:t>
      </w:r>
    </w:p>
    <w:p>
      <w:pPr>
        <w:spacing w:before="0" w:after="60"/>
        <w:jc w:val="center"/>
      </w:pPr>
      <w:r>
        <w:rPr>
          <w:rFonts w:ascii="Times New Roman" w:cs="Times New Roman" w:eastAsia="Times New Roman" w:hAnsi="Times New Roman"/>
          <w:color w:val="6B7280"/>
          <w:sz w:val="19"/>
          <w:szCs w:val="19"/>
        </w:rPr>
        <w:t xml:space="preserve">Document prepared for B.Tech Third Year Minor Project Review 1 — 21 February 2026</w:t>
      </w:r>
    </w:p>
    <w:p>
      <w:pPr>
        <w:spacing w:before="0" w:after="60"/>
        <w:jc w:val="center"/>
      </w:pPr>
      <w:r>
        <w:rPr>
          <w:rFonts w:ascii="Times New Roman" w:cs="Times New Roman" w:eastAsia="Times New Roman" w:hAnsi="Times New Roman"/>
          <w:color w:val="6B7280"/>
          <w:sz w:val="19"/>
          <w:szCs w:val="19"/>
        </w:rPr>
        <w:t xml:space="preserve">Department of Computer Science and Intelligent Systems (CINTEL), SRMIST Kattankulathur</w:t>
      </w:r>
    </w:p>
    <w:p>
      <w:pPr>
        <w:spacing w:before="0" w:after="0"/>
        <w:jc w:val="center"/>
      </w:pPr>
      <w:r>
        <w:rPr>
          <w:rFonts w:ascii="Times New Roman" w:cs="Times New Roman" w:eastAsia="Times New Roman" w:hAnsi="Times New Roman"/>
          <w:b/>
          <w:bCs/>
          <w:color w:val="1A2E4A"/>
          <w:sz w:val="20"/>
          <w:szCs w:val="20"/>
        </w:rPr>
        <w:t xml:space="preserve">Guide: Dr. R. Siva  |  Team: Adnan Nagdiwala (119) &amp; Chandra Bhayal (072)</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before="80" w:after="0"/>
      <w:jc w:val="center"/>
    </w:pPr>
    <w:r>
      <w:rPr>
        <w:rFonts w:ascii="Times New Roman" w:cs="Times New Roman" w:eastAsia="Times New Roman" w:hAnsi="Times New Roman"/>
        <w:color w:val="6B7280"/>
        <w:sz w:val="17"/>
        <w:szCs w:val="17"/>
      </w:rPr>
      <w:t xml:space="preserve">Guide: Dr. R. Siva  |  Team: Adnan Nagdiwala &amp; Chandra Bhayal  |  Page </w:t>
    </w:r>
    <w:r>
      <w:rPr>
        <w:rFonts w:ascii="Times New Roman" w:cs="Times New Roman" w:eastAsia="Times New Roman" w:hAnsi="Times New Roman"/>
        <w:color w:val="6B7280"/>
        <w:sz w:val="17"/>
        <w:szCs w:val="17"/>
      </w:rPr>
      <w:fldChar w:fldCharType="begin"/>
      <w:instrText xml:space="preserve">PAGE</w:instrText>
      <w:fldChar w:fldCharType="separate"/>
      <w:fldChar w:fldCharType="end"/>
    </w:r>
    <w:r>
      <w:rPr>
        <w:rFonts w:ascii="Times New Roman" w:cs="Times New Roman" w:eastAsia="Times New Roman" w:hAnsi="Times New Roman"/>
        <w:color w:val="6B7280"/>
        <w:sz w:val="17"/>
        <w:szCs w:val="17"/>
      </w:rPr>
      <w:t xml:space="preserve"> of </w:t>
    </w:r>
    <w:r>
      <w:rPr>
        <w:rFonts w:ascii="Times New Roman" w:cs="Times New Roman" w:eastAsia="Times New Roman" w:hAnsi="Times New Roman"/>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before="0" w:after="80"/>
      <w:jc w:val="left"/>
    </w:pPr>
    <w:r>
      <w:rPr>
        <w:rFonts w:ascii="Times New Roman" w:cs="Times New Roman" w:eastAsia="Times New Roman" w:hAnsi="Times New Roman"/>
        <w:b/>
        <w:bCs/>
        <w:color w:val="1A2E4A"/>
        <w:sz w:val="18"/>
        <w:szCs w:val="18"/>
      </w:rPr>
      <w:t xml:space="preserve">CropXpert — Architecture Document</w:t>
    </w:r>
    <w:r>
      <w:rPr>
        <w:rFonts w:ascii="Times New Roman" w:cs="Times New Roman" w:eastAsia="Times New Roman" w:hAnsi="Times New Roman"/>
        <w:color w:val="6B7280"/>
        <w:sz w:val="18"/>
        <w:szCs w:val="18"/>
      </w:rPr>
      <w:t xml:space="preserve">          CINTEL, SRMIST Kattankulathur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Times New Roman" w:cs="Times New Roman" w:eastAsia="Times New Roman" w:hAnsi="Times New Roman"/>
      <w:b/>
      <w:bCs/>
      <w:color w:val="1A2E4A"/>
      <w:sz w:val="28"/>
      <w:szCs w:val="28"/>
    </w:rPr>
  </w:style>
  <w:style w:type="paragraph" w:styleId="Heading2">
    <w:name w:val="Heading 2"/>
    <w:basedOn w:val="Normal"/>
    <w:next w:val="Normal"/>
    <w:qFormat/>
    <w:pPr>
      <w:spacing w:before="220" w:after="100"/>
      <w:outlineLvl w:val="1"/>
    </w:pPr>
    <w:rPr>
      <w:rFonts w:ascii="Times New Roman" w:cs="Times New Roman" w:eastAsia="Times New Roman" w:hAnsi="Times New Roman"/>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e172c805a60763a6b98243d62aad3f09a8c044e.png"/><Relationship Id="rId9" Type="http://schemas.openxmlformats.org/officeDocument/2006/relationships/image" Target="media/e0a03d15a8dfb137f3e6347510298a1a315abf4f.png"/><Relationship Id="rId10" Type="http://schemas.openxmlformats.org/officeDocument/2006/relationships/image" Target="media/a4d67fc6d10ca9744b45b250a68736a80770746f.png"/><Relationship Id="rId11" Type="http://schemas.openxmlformats.org/officeDocument/2006/relationships/image" Target="media/eb4c45823f2a1658d88062958af0797daa50af6a.png"/><Relationship Id="rId12" Type="http://schemas.openxmlformats.org/officeDocument/2006/relationships/image" Target="media/aa247421d1ae643088fceea8c12965a97dd3c6a5.png"/><Relationship Id="rId13" Type="http://schemas.openxmlformats.org/officeDocument/2006/relationships/image" Target="media/1f3e100d83caf716c77483a504f94dbdc4760ddf.png"/><Relationship Id="rId14" Type="http://schemas.openxmlformats.org/officeDocument/2006/relationships/image" Target="media/cb23c0280966a8980591efa5cd5a8fcef4008263.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2026-02-27T21:25:34.218Z</dcterms:created>
  <dcterms:modified xsi:type="dcterms:W3CDTF">2026-02-27T21:25:34.219Z</dcterms:modified>
</cp:coreProperties>
</file>

<file path=docProps/custom.xml><?xml version="1.0" encoding="utf-8"?>
<Properties xmlns="http://schemas.openxmlformats.org/officeDocument/2006/custom-properties" xmlns:vt="http://schemas.openxmlformats.org/officeDocument/2006/docPropsVTypes"/>
</file>