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Using the CKEditor Read-Only API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use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setReadOnly</w:t>
        </w:r>
      </w:hyperlink>
      <w:r w:rsidDel="00000000" w:rsidR="00000000" w:rsidRPr="00000000">
        <w:rPr>
          <w:rtl w:val="0"/>
        </w:rPr>
        <w:t xml:space="preserve"> API to put editor into the read-only state that makes it impossible for users to change the editor contents.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how to create this setup check the source code of this sample page.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href="http://ckeditor.com/"&gt;CKEditor&lt;/a&gt;.&lt;/p&gt;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2003-2016,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ksource.com/" TargetMode="External"/><Relationship Id="rId9" Type="http://schemas.openxmlformats.org/officeDocument/2006/relationships/hyperlink" Target="http://ckedi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sdk.ckeditor.com/samples/readonly.html" TargetMode="External"/><Relationship Id="rId8" Type="http://schemas.openxmlformats.org/officeDocument/2006/relationships/hyperlink" Target="http://docs.ckeditor.com/#!/api/CKEDITOR.editor-method-setReadOn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