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Column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 can be enabled (which they are by default) and disabled from providing the end user with AutoFill abilities by using either columns or columnDefs and the enable option. These two arrays work in exactly the same way </w:t>
      </w:r>
      <w:hyperlink r:id="rId6">
        <w:r w:rsidDel="00000000" w:rsidR="00000000" w:rsidRPr="00000000">
          <w:rPr>
            <w:color w:val="0000ee"/>
            <w:u w:val="single"/>
            <w:rtl w:val="0"/>
          </w:rPr>
          <w:t xml:space="preserve">as in DataTables</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disabling columns counting from the right hand side of the table can be achieved. In this case, the last three columns.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"columnDefs": [ { enable: false, targets: [-1, -2] }, { increment: false, targets: 3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ref/colum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