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Horizontal and vertical fill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AutoFill will allow the fill to operate only on a single column at a time (i.e. vertically). However, it has the ability to provide the fill either horizontally, over both axis or limited to just one axis depending on the direction of the drag. This option is provided by the mode sanitisation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it is set to both (i.e. both horizontal and vertical axis) to provide the filler along a row, rather than a column.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full range of options and syntax for mode please refer to the </w:t>
      </w:r>
      <w:hyperlink r:id="rId6">
        <w:r w:rsidDel="00000000" w:rsidR="00000000" w:rsidRPr="00000000">
          <w:rPr>
            <w:color w:val="0000ee"/>
            <w:u w:val="single"/>
            <w:rtl w:val="0"/>
          </w:rPr>
          <w:t xml:space="preserve">AutoFill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mode: 'both'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extras/autofill/optio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