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60" w:line="312" w:lineRule="auto"/>
        <w:jc w:val="center"/>
      </w:pPr>
      <w:r>
        <w:rPr>
          <w:rFonts w:ascii="Times New Roman" w:hAnsi="Times New Roman"/>
          <w:b/>
          <w:i w:val="0"/>
          <w:sz w:val="32"/>
          <w:rFonts w:ascii="Times New Roman" w:hAnsi="Times New Roman" w:eastAsia="黑体" w:cs="Times New Roman"/>
        </w:rPr>
        <w:t>中国博士后科学基金第 80 批面上资助项目信息（6、研究基础）</w:t>
      </w:r>
    </w:p>
    <w:p>
      <w:pPr>
        <w:keepNext/>
        <w:spacing w:before="200" w:after="80" w:line="300" w:lineRule="auto"/>
        <w:jc w:val="left"/>
      </w:pPr>
      <w:r>
        <w:rPr>
          <w:rFonts w:ascii="Times New Roman" w:hAnsi="Times New Roman"/>
          <w:b/>
          <w:i w:val="0"/>
          <w:sz w:val="25"/>
          <w:rFonts w:ascii="Times New Roman" w:hAnsi="Times New Roman" w:eastAsia="黑体" w:cs="Times New Roman"/>
        </w:rPr>
        <w:t>一、 研究工作积累和成绩</w:t>
      </w:r>
    </w:p>
    <w:p>
      <w:pPr>
        <w:spacing w:before="0" w:after="80" w:line="300" w:lineRule="auto"/>
        <w:ind w:firstLine="480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 w:cs="Times New Roman"/>
        </w:rPr>
        <w:t xml:space="preserve">1. </w:t>
      </w:r>
      <w:r>
        <w:rPr>
          <w:rFonts w:ascii="Times New Roman" w:hAnsi="Times New Roman"/>
          <w:b/>
          <w:i w:val="0"/>
          <w:sz w:val="24"/>
          <w:rFonts w:ascii="Times New Roman" w:hAnsi="Times New Roman" w:eastAsia="黑体" w:cs="Times New Roman"/>
        </w:rPr>
        <w:t>Matrix-Free 算子设计、Krylov 求解与 GPU 并行基础：</w:t>
      </w:r>
    </w:p>
    <w:p>
      <w:pPr>
        <w:spacing w:before="0" w:after="80" w:line="300" w:lineRule="auto"/>
        <w:ind w:firstLine="480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 w:cs="Times New Roman"/>
        </w:rPr>
        <w:t>申请人在工程计算软件研发中承担线弹性 Matrix-Free 算子、并行 Krylov 求解与 GPU 加速研发，完成了局部算子构造、全局按需作用、分布式自由度归约与求解器集成，具备从有限元离散到 GPU 并行实现的系统经验。</w:t>
      </w:r>
    </w:p>
    <w:p>
      <w:pPr>
        <w:spacing w:before="0" w:after="80" w:line="300" w:lineRule="auto"/>
        <w:ind w:firstLine="480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 w:cs="Times New Roman"/>
        </w:rPr>
        <w:t xml:space="preserve">2. </w:t>
      </w:r>
      <w:r>
        <w:rPr>
          <w:rFonts w:ascii="Times New Roman" w:hAnsi="Times New Roman"/>
          <w:b/>
          <w:i w:val="0"/>
          <w:sz w:val="24"/>
          <w:rFonts w:ascii="Times New Roman" w:hAnsi="Times New Roman" w:eastAsia="黑体" w:cs="Times New Roman"/>
        </w:rPr>
        <w:t>PIML 局部力学表示与精确缩聚验证基础：</w:t>
      </w:r>
    </w:p>
    <w:p>
      <w:pPr>
        <w:spacing w:before="0" w:after="80" w:line="300" w:lineRule="auto"/>
        <w:ind w:firstLine="480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 w:cs="Times New Roman"/>
        </w:rPr>
        <w:t xml:space="preserve">申请人构建了基于子结构静力缩聚（Schur 补）与多尺度形函数的 2D/3D 线性力学求解器，验证了缩聚位移恢复与有限元直解在 </w:t>
      </w:r>
      <w:r>
        <w:rPr>
          <w:rFonts w:ascii="Consolas" w:hAnsi="Consolas"/>
          <w:b w:val="0"/>
          <w:i w:val="0"/>
          <w:sz w:val="23"/>
          <w:rFonts w:ascii="Consolas" w:hAnsi="Consolas" w:eastAsia="Consolas" w:cs="Consolas"/>
        </w:rPr>
        <w:t>1e-14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宋体" w:cs="Times New Roman"/>
        </w:rPr>
        <w:t xml:space="preserve"> 机器精度级的严格等价；在此基础上实现了覆盖粗单元与子结构两种载体、兼支持预测多尺度形函数与直接预测缩聚刚度的 PIML 端到端计算链，为本项目的训练数据生成、物理结构检查、分布外识别与局部精确回退提供了真值接口。</w:t>
      </w:r>
    </w:p>
    <w:p>
      <w:pPr>
        <w:spacing w:before="0" w:after="80" w:line="300" w:lineRule="auto"/>
        <w:ind w:firstLine="480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 w:cs="Times New Roman"/>
        </w:rPr>
        <w:t xml:space="preserve">3. </w:t>
      </w:r>
      <w:r>
        <w:rPr>
          <w:rFonts w:ascii="Times New Roman" w:hAnsi="Times New Roman"/>
          <w:b/>
          <w:i w:val="0"/>
          <w:sz w:val="24"/>
          <w:rFonts w:ascii="Times New Roman" w:hAnsi="Times New Roman" w:eastAsia="黑体" w:cs="Times New Roman"/>
        </w:rPr>
        <w:t>基于 FEALPy 的拓扑优化平台与多后端计算基础：</w:t>
      </w:r>
    </w:p>
    <w:p>
      <w:pPr>
        <w:spacing w:before="0" w:after="80" w:line="300" w:lineRule="auto"/>
        <w:ind w:firstLine="480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 w:cs="Times New Roman"/>
        </w:rPr>
        <w:t>上述算法均依托申请人基于 FEALPy 开源库自主研发的拓扑优化软件平台实现。该平台在博士阶段依托湘潭大学、湖南国家应用数学中心及湖南韶峰应用数学研究院研发，实现了张量化有限元与多后端计算（NumPy/PyTorch/JAX），成果已沉淀为论文与软件著作权，为本项目提供了数据布局、算子接口与可复用模块的载体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72000" cy="185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atrix_f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5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20"/>
        <w:jc w:val="center"/>
      </w:pPr>
      <w:r>
        <w:rPr>
          <w:rFonts w:ascii="Times New Roman" w:hAnsi="Times New Roman"/>
          <w:b/>
          <w:i w:val="0"/>
          <w:sz w:val="21"/>
          <w:rFonts w:ascii="Times New Roman" w:hAnsi="Times New Roman" w:eastAsia="黑体" w:cs="Times New Roman"/>
        </w:rPr>
        <w:t>图 2 Matrix-Free 算子的正确性、可计算规模与并行瓶颈</w:t>
      </w:r>
    </w:p>
    <w:p>
      <w:pPr>
        <w:spacing w:before="60" w:after="120" w:line="288" w:lineRule="auto"/>
        <w:ind w:left="340" w:right="340"/>
        <w:jc w:val="left"/>
      </w:pPr>
      <w:r>
        <w:rPr>
          <w:rFonts w:ascii="Times New Roman" w:hAnsi="Times New Roman"/>
          <w:b/>
          <w:i w:val="0"/>
          <w:color w:val="3C3C3C"/>
          <w:sz w:val="21"/>
          <w:rFonts w:ascii="Times New Roman" w:hAnsi="Times New Roman" w:eastAsia="楷体" w:cs="Times New Roman"/>
        </w:rPr>
        <w:t>图 2 说明：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对应一、中第 1 点，三格依次回答离散是否正确、同一硬件上能求解多大规模、并行开销瓶颈何在。</w:t>
      </w:r>
      <w:r>
        <w:rPr>
          <w:rFonts w:ascii="Times New Roman" w:hAnsi="Times New Roman"/>
          <w:b/>
          <w:i w:val="0"/>
          <w:color w:val="3C3C3C"/>
          <w:sz w:val="21"/>
          <w:rFonts w:ascii="Times New Roman" w:hAnsi="Times New Roman" w:eastAsia="楷体" w:cs="Times New Roman"/>
        </w:rPr>
        <w:t>(a)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曲线为显式组装（CSR，稀疏直接解）在 2D 平面应变三角形网格与 3D 四面体网格上、四档加密（</w:t>
      </w:r>
      <w:r>
        <w:rPr>
          <w:rFonts w:ascii="Consolas" w:hAnsi="Consolas"/>
          <w:b w:val="0"/>
          <w:i w:val="0"/>
          <w:color w:val="3C3C3C"/>
          <w:sz w:val="20"/>
          <w:rFonts w:ascii="Consolas" w:hAnsi="Consolas" w:eastAsia="Consolas" w:cs="Consolas"/>
        </w:rPr>
        <w:t>h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从 1/4 到 1/32，最细档 2D 2,178、3D 107,811 自由度）的相对 </w:t>
      </w:r>
      <w:r>
        <w:rPr>
          <w:rFonts w:ascii="Consolas" w:hAnsi="Consolas"/>
          <w:b w:val="0"/>
          <w:i w:val="0"/>
          <w:color w:val="3C3C3C"/>
          <w:sz w:val="20"/>
          <w:rFonts w:ascii="Consolas" w:hAnsi="Consolas" w:eastAsia="Consolas" w:cs="Consolas"/>
        </w:rPr>
        <w:t>L²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误差，三个观测阶单调趋近 P1 理论阶 2（2D 1.83→1.94→1.98，3D 1.26→1.68→1.89），末段的 1.98 与 1.89 通过门禁（下限 1.5），说明离散本身正确；方框为同一离散上 Matrix-Free（不形成全局稀疏矩阵，算子作用逐单元完成）解与该显式组装解的相对差（比对档 2D 162、3D 2,187 自由度），</w:t>
      </w:r>
      <w:r>
        <w:rPr>
          <w:rFonts w:ascii="Consolas" w:hAnsi="Consolas"/>
          <w:b w:val="0"/>
          <w:i w:val="0"/>
          <w:color w:val="3C3C3C"/>
          <w:sz w:val="20"/>
          <w:rFonts w:ascii="Consolas" w:hAnsi="Consolas" w:eastAsia="Consolas" w:cs="Consolas"/>
        </w:rPr>
        <w:t>5e-13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与 </w:t>
      </w:r>
      <w:r>
        <w:rPr>
          <w:rFonts w:ascii="Consolas" w:hAnsi="Consolas"/>
          <w:b w:val="0"/>
          <w:i w:val="0"/>
          <w:color w:val="3C3C3C"/>
          <w:sz w:val="20"/>
          <w:rFonts w:ascii="Consolas" w:hAnsi="Consolas" w:eastAsia="Consolas" w:cs="Consolas"/>
        </w:rPr>
        <w:t>4e-14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>，处于机器精度量级——Matrix-Free 复现了参考路径的解，两条实现路径表示同一个离散算子；</w:t>
      </w:r>
      <w:r>
        <w:rPr>
          <w:rFonts w:ascii="Times New Roman" w:hAnsi="Times New Roman"/>
          <w:b/>
          <w:i w:val="0"/>
          <w:color w:val="3C3C3C"/>
          <w:sz w:val="21"/>
          <w:rFonts w:ascii="Times New Roman" w:hAnsi="Times New Roman" w:eastAsia="楷体" w:cs="Times New Roman"/>
        </w:rPr>
        <w:t>(b)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同一算例两条路径的进程峰值内存随自由度数的增长，以及单卡显存上限对可解规模的截断：天花板固定时，不存全局矩阵即意味着能算得更大，而"少存多少、多算多少"的取舍属研究内容 2 的研究问题；</w:t>
      </w:r>
      <w:r>
        <w:rPr>
          <w:rFonts w:ascii="Times New Roman" w:hAnsi="Times New Roman"/>
          <w:b/>
          <w:i w:val="0"/>
          <w:color w:val="3C3C3C"/>
          <w:sz w:val="21"/>
          <w:rFonts w:ascii="Times New Roman" w:hAnsi="Times New Roman" w:eastAsia="楷体" w:cs="Times New Roman"/>
        </w:rPr>
        <w:t>(c)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单次算子作用的耗时构成随设备数的变化：单元核算术占比从 62% 降到 21%，通信同步从 2% 升到 48%，绝对耗时的下降随之趋缓。瓶颈因此被定位在同步与访存而非算术——这正是本项目研究内容 1（GPU 单元核与多卡扩展）与研究内容 2（存储策略取舍）的出发点。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72000" cy="5049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iml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049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20"/>
        <w:jc w:val="center"/>
      </w:pPr>
      <w:r>
        <w:rPr>
          <w:rFonts w:ascii="Times New Roman" w:hAnsi="Times New Roman"/>
          <w:b/>
          <w:i w:val="0"/>
          <w:sz w:val="21"/>
          <w:rFonts w:ascii="Times New Roman" w:hAnsi="Times New Roman" w:eastAsia="黑体" w:cs="Times New Roman"/>
        </w:rPr>
        <w:t>图 3 PIML 子结构局部响应恢复精度</w:t>
      </w:r>
    </w:p>
    <w:p>
      <w:pPr>
        <w:spacing w:before="60" w:after="120" w:line="288" w:lineRule="auto"/>
        <w:ind w:left="340" w:right="340"/>
        <w:jc w:val="left"/>
      </w:pPr>
      <w:r>
        <w:rPr>
          <w:rFonts w:ascii="Times New Roman" w:hAnsi="Times New Roman"/>
          <w:b/>
          <w:i w:val="0"/>
          <w:color w:val="3C3C3C"/>
          <w:sz w:val="21"/>
          <w:rFonts w:ascii="Times New Roman" w:hAnsi="Times New Roman" w:eastAsia="楷体" w:cs="Times New Roman"/>
        </w:rPr>
        <w:t>图 3 说明：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对应一、中第 2 点。基于 PIML </w:t>
      </w:r>
      <w:r>
        <w:rPr>
          <w:rFonts w:ascii="Times New Roman" w:hAnsi="Times New Roman"/>
          <w:b/>
          <w:i w:val="0"/>
          <w:color w:val="3C3C3C"/>
          <w:sz w:val="21"/>
          <w:rFonts w:ascii="Times New Roman" w:hAnsi="Times New Roman" w:eastAsia="楷体" w:cs="Times New Roman"/>
        </w:rPr>
        <w:t>预测多尺度形函数（</w:t>
      </w:r>
      <m:oMath>
        <m:box>
          <m:e>
            <m:r>
              <m:rPr>
                <m:sty m:val="i"/>
              </m:rPr>
              <m:t>𝐍</m:t>
            </m:r>
          </m:e>
        </m:box>
      </m:oMath>
      <w:r>
        <w:rPr>
          <w:rFonts w:ascii="Times New Roman" w:hAnsi="Times New Roman"/>
          <w:b/>
          <w:i w:val="0"/>
          <w:color w:val="3C3C3C"/>
          <w:sz w:val="21"/>
          <w:rFonts w:ascii="Times New Roman" w:hAnsi="Times New Roman" w:eastAsia="楷体" w:cs="Times New Roman"/>
        </w:rPr>
        <w:t>）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恢复的</w:t>
      </w:r>
      <w:r>
        <w:rPr>
          <w:rFonts w:ascii="Times New Roman" w:hAnsi="Times New Roman"/>
          <w:b/>
          <w:i w:val="0"/>
          <w:color w:val="3C3C3C"/>
          <w:sz w:val="21"/>
          <w:rFonts w:ascii="Times New Roman" w:hAnsi="Times New Roman" w:eastAsia="楷体" w:cs="Times New Roman"/>
        </w:rPr>
        <w:t>子结构（Substructure）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细尺度响应场 </w:t>
      </w:r>
      <w:r>
        <w:rPr>
          <w:rFonts w:ascii="Times New Roman" w:hAnsi="Times New Roman"/>
          <w:b/>
          <w:i w:val="0"/>
          <w:color w:val="3C3C3C"/>
          <w:sz w:val="21"/>
          <w:rFonts w:ascii="Times New Roman" w:hAnsi="Times New Roman" w:eastAsia="楷体" w:cs="Times New Roman"/>
        </w:rPr>
        <w:t>(c)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与精确静力缩聚参考解 </w:t>
      </w:r>
      <w:r>
        <w:rPr>
          <w:rFonts w:ascii="Times New Roman" w:hAnsi="Times New Roman"/>
          <w:b/>
          <w:i w:val="0"/>
          <w:color w:val="3C3C3C"/>
          <w:sz w:val="21"/>
          <w:rFonts w:ascii="Times New Roman" w:hAnsi="Times New Roman" w:eastAsia="楷体" w:cs="Times New Roman"/>
        </w:rPr>
        <w:t>(b)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的云图对比，</w:t>
      </w:r>
      <w:r>
        <w:rPr>
          <w:rFonts w:ascii="Times New Roman" w:hAnsi="Times New Roman"/>
          <w:b/>
          <w:i w:val="0"/>
          <w:color w:val="3C3C3C"/>
          <w:sz w:val="21"/>
          <w:rFonts w:ascii="Times New Roman" w:hAnsi="Times New Roman" w:eastAsia="楷体" w:cs="Times New Roman"/>
        </w:rPr>
        <w:t>(a)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为对应的子结构材料密度，</w:t>
      </w:r>
      <w:r>
        <w:rPr>
          <w:rFonts w:ascii="Times New Roman" w:hAnsi="Times New Roman"/>
          <w:b/>
          <w:i w:val="0"/>
          <w:color w:val="3C3C3C"/>
          <w:sz w:val="21"/>
          <w:rFonts w:ascii="Times New Roman" w:hAnsi="Times New Roman" w:eastAsia="楷体" w:cs="Times New Roman"/>
        </w:rPr>
        <w:t>(d)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为点对点相对误差分布及最大/平均相对误差。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72000" cy="18996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ultiback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9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20"/>
        <w:jc w:val="center"/>
      </w:pPr>
      <w:r>
        <w:rPr>
          <w:rFonts w:ascii="Times New Roman" w:hAnsi="Times New Roman"/>
          <w:b/>
          <w:i w:val="0"/>
          <w:sz w:val="21"/>
          <w:rFonts w:ascii="Times New Roman" w:hAnsi="Times New Roman" w:eastAsia="黑体" w:cs="Times New Roman"/>
        </w:rPr>
        <w:t>图 4 FEALPy 多后端同题加速比</w:t>
      </w:r>
    </w:p>
    <w:p>
      <w:pPr>
        <w:spacing w:before="60" w:after="120" w:line="288" w:lineRule="auto"/>
        <w:ind w:left="340" w:right="340"/>
        <w:jc w:val="left"/>
      </w:pPr>
      <w:r>
        <w:rPr>
          <w:rFonts w:ascii="Times New Roman" w:hAnsi="Times New Roman"/>
          <w:b/>
          <w:i w:val="0"/>
          <w:color w:val="3C3C3C"/>
          <w:sz w:val="21"/>
          <w:rFonts w:ascii="Times New Roman" w:hAnsi="Times New Roman" w:eastAsia="楷体" w:cs="Times New Roman"/>
        </w:rPr>
        <w:t>图 4 说明：</w:t>
      </w:r>
      <w:r>
        <w:rPr>
          <w:rFonts w:ascii="Times New Roman" w:hAnsi="Times New Roman"/>
          <w:b w:val="0"/>
          <w:i w:val="0"/>
          <w:color w:val="3C3C3C"/>
          <w:sz w:val="21"/>
          <w:rFonts w:ascii="Times New Roman" w:hAnsi="Times New Roman" w:eastAsia="楷体" w:cs="Times New Roman"/>
        </w:rPr>
        <w:t xml:space="preserve"> 对应一、中第 3 点。同一拓扑优化算例在 FEALPy 平台 NumPy/PyTorch/JAX 三种后端上的单步装配 + 求解耗时，条长为相对 NumPy（CPU）的加速比，条端同时标注绝对耗时。</w:t>
      </w:r>
    </w:p>
    <w:p>
      <w:pPr>
        <w:keepNext/>
        <w:spacing w:before="200" w:after="80" w:line="300" w:lineRule="auto"/>
        <w:jc w:val="left"/>
      </w:pPr>
      <w:r>
        <w:rPr>
          <w:rFonts w:ascii="Times New Roman" w:hAnsi="Times New Roman"/>
          <w:b/>
          <w:i w:val="0"/>
          <w:sz w:val="25"/>
          <w:rFonts w:ascii="Times New Roman" w:hAnsi="Times New Roman" w:eastAsia="黑体" w:cs="Times New Roman"/>
        </w:rPr>
        <w:t>二、 已具备的科研条件、尚缺少的条件及拟解决途径</w:t>
      </w:r>
    </w:p>
    <w:p>
      <w:pPr>
        <w:spacing w:before="0" w:after="80" w:line="300" w:lineRule="auto"/>
        <w:ind w:firstLine="48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黑体" w:cs="Times New Roman"/>
        </w:rPr>
        <w:t>已具备：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宋体" w:cs="Times New Roman"/>
        </w:rPr>
        <w:t xml:space="preserve"> 博士后阶段依托</w:t>
      </w:r>
      <w:r>
        <w:rPr>
          <w:rFonts w:ascii="Times New Roman" w:hAnsi="Times New Roman"/>
          <w:b/>
          <w:i w:val="0"/>
          <w:sz w:val="24"/>
          <w:rFonts w:ascii="Times New Roman" w:hAnsi="Times New Roman" w:eastAsia="黑体" w:cs="Times New Roman"/>
        </w:rPr>
        <w:t>郭旭院士团队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宋体" w:cs="Times New Roman"/>
        </w:rPr>
        <w:t>与</w:t>
      </w:r>
      <w:r>
        <w:rPr>
          <w:rFonts w:ascii="Times New Roman" w:hAnsi="Times New Roman"/>
          <w:b/>
          <w:i w:val="0"/>
          <w:sz w:val="24"/>
          <w:rFonts w:ascii="Times New Roman" w:hAnsi="Times New Roman" w:eastAsia="黑体" w:cs="Times New Roman"/>
        </w:rPr>
        <w:t>大连工业软件创新发展研究院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宋体" w:cs="Times New Roman"/>
        </w:rPr>
        <w:t>，团队在计算力学、拓扑优化与大规模并行计算领域积累深厚，研究院具备真实工业场景、自主工业软件基础与高性能算力集群。</w:t>
      </w:r>
    </w:p>
    <w:p>
      <w:pPr>
        <w:spacing w:before="0" w:after="80" w:line="300" w:lineRule="auto"/>
        <w:ind w:firstLine="48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黑体" w:cs="Times New Roman"/>
        </w:rPr>
        <w:t>尚缺少及拟解决途径：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宋体" w:cs="Times New Roman"/>
        </w:rPr>
        <w:t xml:space="preserve"> 现有 PIML 与 Matrix-Free 验证仍集中在 CPU 端、百万自由度以内，尚缺 GPU 上的 PIML 推理—求解一体化实现、十亿（1e9）自由度级算例与工业级基准工况。拟依托设站单位 GPU 集群完成局部预测算子的 GPU 移植与多卡扩展，并通过下述在研任务获取工业级模型与工况，按 1e7→1e8→1e9 逐级验证。</w:t>
      </w:r>
    </w:p>
    <w:p>
      <w:pPr>
        <w:keepNext/>
        <w:spacing w:before="200" w:after="80" w:line="300" w:lineRule="auto"/>
        <w:jc w:val="left"/>
      </w:pPr>
      <w:r>
        <w:rPr>
          <w:rFonts w:ascii="Times New Roman" w:hAnsi="Times New Roman"/>
          <w:b/>
          <w:i w:val="0"/>
          <w:sz w:val="25"/>
          <w:rFonts w:ascii="Times New Roman" w:hAnsi="Times New Roman" w:eastAsia="黑体" w:cs="Times New Roman"/>
        </w:rPr>
        <w:t>三、 正在承担的与本项目相关的科研项目</w:t>
      </w:r>
    </w:p>
    <w:p>
      <w:pPr>
        <w:spacing w:before="0" w:after="80" w:line="300" w:lineRule="auto"/>
        <w:ind w:firstLine="480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 w:cs="Times New Roman"/>
        </w:rPr>
        <w:t>申请人正在承担湘潭大学魏华祎教授团队与</w:t>
      </w:r>
      <w:r>
        <w:rPr>
          <w:rFonts w:ascii="Times New Roman" w:hAnsi="Times New Roman"/>
          <w:b/>
          <w:i w:val="0"/>
          <w:sz w:val="24"/>
          <w:rFonts w:ascii="Times New Roman" w:hAnsi="Times New Roman" w:eastAsia="黑体" w:cs="Times New Roman"/>
        </w:rPr>
        <w:t>大连工业软件创新发展研究院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宋体" w:cs="Times New Roman"/>
        </w:rPr>
        <w:t>的合作研发任务，面向研究院自主工业仿真软件开展求解器性能调优与异构并行计算，本人负责"单元计算性能优化与 Matrix-Free"分项，节点为 2026 年底打通 Matrix-Free 有限元全流程，现已完成源码环境搭建、端到端算例验证与 PETSc KSP 最小求解闭环。该任务面向既有求解器提速，与本项目的求解范式重构互不重复，并可提供工业级模型与真实软件栈的验证出口。</w:t>
      </w:r>
    </w:p>
    <w:sectPr w:rsidR="00FC693F" w:rsidRPr="0006063C" w:rsidSect="00034616">
      <w:pgSz w:w="11906" w:h="16838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