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8E305">
      <w:pPr>
        <w:pStyle w:val="2"/>
      </w:pPr>
      <w:bookmarkStart w:id="0" w:name="十二总体方案及功能要求方案适用性及技术先进性说明"/>
      <w:r>
        <w:rPr>
          <w:rFonts w:hint="eastAsia"/>
        </w:rPr>
        <w:t>十二、总体方案及功能要求、方案适用性及技术先进性说明</w:t>
      </w:r>
    </w:p>
    <w:p w14:paraId="424EEA33">
      <w:pPr>
        <w:pStyle w:val="12"/>
      </w:pPr>
      <w:r>
        <w:rPr>
          <w:rFonts w:hint="eastAsia"/>
        </w:rPr>
        <w:t>投标包号：</w:t>
      </w:r>
      <w:r>
        <w:rPr>
          <w:b/>
          <w:bCs/>
        </w:rPr>
        <w:t xml:space="preserve">C </w:t>
      </w:r>
      <w:r>
        <w:rPr>
          <w:rFonts w:hint="eastAsia"/>
          <w:b/>
          <w:bCs/>
        </w:rPr>
        <w:t>包</w:t>
      </w:r>
      <w:r>
        <w:rPr>
          <w:b/>
          <w:bCs/>
        </w:rPr>
        <w:t xml:space="preserve"> —— </w:t>
      </w:r>
      <w:r>
        <w:rPr>
          <w:rFonts w:hint="eastAsia"/>
          <w:b/>
          <w:bCs/>
        </w:rPr>
        <w:t>结构随机振动分析模块（1</w:t>
      </w:r>
      <w:r>
        <w:rPr>
          <w:b/>
          <w:bCs/>
        </w:rPr>
        <w:t xml:space="preserve"> </w:t>
      </w:r>
      <w:r>
        <w:rPr>
          <w:rFonts w:hint="eastAsia"/>
          <w:b/>
          <w:bCs/>
        </w:rPr>
        <w:t>套）</w:t>
      </w:r>
      <w:r>
        <w:t xml:space="preserve"> </w:t>
      </w:r>
      <w:r>
        <w:rPr>
          <w:rFonts w:hint="eastAsia"/>
        </w:rPr>
        <w:t>项目名称：大连理工大学动力学软件模块采购项目</w:t>
      </w:r>
      <w:r>
        <w:t>　|　</w:t>
      </w:r>
      <w:r>
        <w:rPr>
          <w:rFonts w:hint="eastAsia"/>
        </w:rPr>
        <w:t>项目编号：DUTAWZ-2026097</w:t>
      </w:r>
      <w:r>
        <w:t xml:space="preserve"> </w:t>
      </w:r>
      <w:r>
        <w:rPr>
          <w:rFonts w:hint="eastAsia"/>
        </w:rPr>
        <w:t>本说明对应招标文件第四章投标文件格式“十二、总体方案及功能要求、方案适用性及技术先进性说明（格式自拟）”。</w:t>
      </w:r>
    </w:p>
    <w:p w14:paraId="57115BB0">
      <w:r>
        <w:pict>
          <v:rect id="_x0000_i1025" o:spt="1" style="height:1.5pt;width:0pt;" coordsize="21600,21600" o:hr="t" o:hrstd="t" o:hralign="center">
            <v:path/>
            <v:fill focussize="0,0"/>
            <v:stroke/>
            <v:imagedata o:title=""/>
            <o:lock v:ext="edit"/>
            <w10:wrap type="none"/>
            <w10:anchorlock/>
          </v:rect>
        </w:pict>
      </w:r>
    </w:p>
    <w:p w14:paraId="39ED6C21">
      <w:pPr>
        <w:pStyle w:val="3"/>
      </w:pPr>
      <w:bookmarkStart w:id="1" w:name="一项目理解与需求分析"/>
      <w:r>
        <w:rPr>
          <w:rFonts w:hint="eastAsia"/>
        </w:rPr>
        <w:t>一、项目理解与需求分析</w:t>
      </w:r>
    </w:p>
    <w:p w14:paraId="0A1EA6E3">
      <w:pPr>
        <w:pStyle w:val="4"/>
      </w:pPr>
      <w:bookmarkStart w:id="2" w:name="项目背景与采购本质"/>
      <w:r>
        <w:t xml:space="preserve">1.1 </w:t>
      </w:r>
      <w:r>
        <w:rPr>
          <w:rFonts w:hint="eastAsia"/>
        </w:rPr>
        <w:t>项目背景与采购本质</w:t>
      </w:r>
    </w:p>
    <w:p w14:paraId="5F2B2A94">
      <w:pPr>
        <w:pStyle w:val="70"/>
      </w:pPr>
      <w:r>
        <w:rPr>
          <w:rFonts w:hint="eastAsia"/>
        </w:rPr>
        <w:t>本项目面向</w:t>
      </w:r>
      <w:r>
        <w:rPr>
          <w:rFonts w:hint="eastAsia"/>
          <w:b/>
          <w:bCs/>
        </w:rPr>
        <w:t>国产结构动力学求解器自主研发</w:t>
      </w:r>
      <w:r>
        <w:rPr>
          <w:rFonts w:hint="eastAsia"/>
        </w:rPr>
        <w:t>，C</w:t>
      </w:r>
      <w:r>
        <w:t xml:space="preserve"> </w:t>
      </w:r>
      <w:r>
        <w:rPr>
          <w:rFonts w:hint="eastAsia"/>
        </w:rPr>
        <w:t>包采购“结构随机振动分析模块”一套。与采购商业软件授权根本不同，招标文件明确要求：</w:t>
      </w:r>
      <w:r>
        <w:rPr>
          <w:rFonts w:hint="eastAsia"/>
          <w:b/>
          <w:bCs/>
        </w:rPr>
        <w:t>中标人交付软件模块及可编译该模块的全部源代码，自交付起软件模块及全部代码的知识产权归采购人所有</w:t>
      </w:r>
      <w:r>
        <w:rPr>
          <w:rFonts w:hint="eastAsia"/>
        </w:rPr>
        <w:t>。这决定了</w:t>
      </w:r>
      <w:r>
        <w:t xml:space="preserve"> C </w:t>
      </w:r>
      <w:r>
        <w:rPr>
          <w:rFonts w:hint="eastAsia"/>
        </w:rPr>
        <w:t>包的本质是“随机振动算法库委托研发</w:t>
      </w:r>
      <w:r>
        <w:t xml:space="preserve"> + </w:t>
      </w:r>
      <w:r>
        <w:rPr>
          <w:rFonts w:hint="eastAsia"/>
        </w:rPr>
        <w:t>源代码与知识产权完整移交”，对投标人的要求不是“有一套能用的软件”，而是：</w:t>
      </w:r>
    </w:p>
    <w:p w14:paraId="76D6EED2">
      <w:pPr>
        <w:pStyle w:val="11"/>
      </w:pPr>
      <w:r>
        <w:rPr>
          <w:rFonts w:hint="eastAsia"/>
        </w:rPr>
        <w:t>（1）</w:t>
      </w:r>
      <w:r>
        <w:rPr>
          <w:rFonts w:hint="eastAsia"/>
          <w:b/>
          <w:bCs/>
        </w:rPr>
        <w:t>算法自主可控</w:t>
      </w:r>
      <w:r>
        <w:rPr>
          <w:rFonts w:hint="eastAsia"/>
        </w:rPr>
        <w:t>——随机振动全部核心算法（功率谱、非平稳时域、响应谱）具备完整的数学原理依据与自主代码实现，不依赖任何受限的第三方商业库；</w:t>
      </w:r>
    </w:p>
    <w:p w14:paraId="3DB7DA78">
      <w:pPr>
        <w:pStyle w:val="11"/>
      </w:pPr>
      <w:r>
        <w:rPr>
          <w:rFonts w:hint="eastAsia"/>
        </w:rPr>
        <w:t>（2）</w:t>
      </w:r>
      <w:r>
        <w:rPr>
          <w:rFonts w:hint="eastAsia"/>
          <w:b/>
          <w:bCs/>
        </w:rPr>
        <w:t>代码可移交、可维护</w:t>
      </w:r>
      <w:r>
        <w:rPr>
          <w:rFonts w:hint="eastAsia"/>
        </w:rPr>
        <w:t>——源代码工程化、文档化，采购人接手后能够独立编译、修改、扩展与二次开发；</w:t>
      </w:r>
    </w:p>
    <w:p w14:paraId="66B674CB">
      <w:pPr>
        <w:pStyle w:val="11"/>
      </w:pPr>
      <w:r>
        <w:rPr>
          <w:rFonts w:hint="eastAsia"/>
        </w:rPr>
        <w:t>（3）</w:t>
      </w:r>
      <w:r>
        <w:rPr>
          <w:rFonts w:hint="eastAsia"/>
          <w:b/>
          <w:bCs/>
        </w:rPr>
        <w:t>可嵌入自研框架</w:t>
      </w:r>
      <w:r>
        <w:rPr>
          <w:rFonts w:hint="eastAsia"/>
        </w:rPr>
        <w:t>——模块接口清晰、数据协议明确，能够嵌入采购人自研的国产结构动力学求解器框架，并支持与国产软硬件平台集成。</w:t>
      </w:r>
    </w:p>
    <w:p w14:paraId="65FB8AFF">
      <w:pPr>
        <w:pStyle w:val="11"/>
      </w:pPr>
      <w:r>
        <w:rPr>
          <w:rFonts w:hint="eastAsia"/>
        </w:rPr>
        <w:t>因此，本项目的交付对象不应理解为“黑盒软件安装包”，而应理解为一套可被采购人长期掌握的随机振动算法资产。源代码移交不仅要求核心公式能够写成程序，还要求算法输入输出、数据结构、构建脚本、测试算例、接口说明和用户文档均可被采购人接管；知识产权完整移交也意味着后续功能扩展、国产平台适配和与其他模块的深度集成不受供应商私有平台限制。C</w:t>
      </w:r>
      <w:r>
        <w:t xml:space="preserve"> </w:t>
      </w:r>
      <w:r>
        <w:rPr>
          <w:rFonts w:hint="eastAsia"/>
        </w:rPr>
        <w:t>包的价值在于为采购人自研求解器补齐随机振动统计分析能力，而不是替代完整商业</w:t>
      </w:r>
      <w:r>
        <w:t xml:space="preserve"> CAE </w:t>
      </w:r>
      <w:r>
        <w:rPr>
          <w:rFonts w:hint="eastAsia"/>
        </w:rPr>
        <w:t>软件的全部前后处理和通用有限元功能；本方案据此聚焦“随机振动算法库</w:t>
      </w:r>
      <w:r>
        <w:t xml:space="preserve"> + </w:t>
      </w:r>
      <w:r>
        <w:rPr>
          <w:rFonts w:hint="eastAsia"/>
        </w:rPr>
        <w:t>标准支撑接口</w:t>
      </w:r>
      <w:r>
        <w:t xml:space="preserve"> + </w:t>
      </w:r>
      <w:r>
        <w:rPr>
          <w:rFonts w:hint="eastAsia"/>
        </w:rPr>
        <w:t>可复现实证材料”的交付边界。</w:t>
      </w:r>
    </w:p>
    <w:bookmarkEnd w:id="2"/>
    <w:p w14:paraId="7DEF6FE1">
      <w:pPr>
        <w:pStyle w:val="4"/>
      </w:pPr>
      <w:bookmarkStart w:id="3" w:name="c-包技术任务的本质理解"/>
      <w:r>
        <w:t xml:space="preserve">1.2 C </w:t>
      </w:r>
      <w:r>
        <w:rPr>
          <w:rFonts w:hint="eastAsia"/>
        </w:rPr>
        <w:t>包技术任务的本质理解</w:t>
      </w:r>
    </w:p>
    <w:p w14:paraId="6BA67DB0">
      <w:pPr>
        <w:pStyle w:val="70"/>
      </w:pPr>
      <w:r>
        <w:rPr>
          <w:rFonts w:hint="eastAsia"/>
        </w:rPr>
        <w:t>招标文件第三章对</w:t>
      </w:r>
      <w:r>
        <w:t xml:space="preserve"> C </w:t>
      </w:r>
      <w:r>
        <w:rPr>
          <w:rFonts w:hint="eastAsia"/>
        </w:rPr>
        <w:t>包的定位是：“面向国产结构动力学求解器研发，提供结构随机振动功率谱分析算法库、结构随机振动时域分析算法库和响应谱分析算法库。”我方对其技术本质的理解如下：</w:t>
      </w:r>
    </w:p>
    <w:p w14:paraId="4A2F3C39">
      <w:pPr>
        <w:pStyle w:val="11"/>
      </w:pPr>
      <w:r>
        <w:rPr>
          <w:rFonts w:hint="eastAsia"/>
        </w:rPr>
        <w:t>确定性动力分析回答“给定载荷下结构怎么动”，而</w:t>
      </w:r>
      <w:r>
        <w:rPr>
          <w:rFonts w:hint="eastAsia"/>
          <w:b/>
          <w:bCs/>
        </w:rPr>
        <w:t>随机振动回答“在统计描述的随机激励下，结构响应的统计特征是什么”</w:t>
      </w:r>
      <w:r>
        <w:rPr>
          <w:rFonts w:hint="eastAsia"/>
        </w:rPr>
        <w:t>——火箭发射段的宽频随机载荷、路面对车辆的随机激励、地震对结构的随机/反应谱激励，在随机振动与响应谱分析框架下，通常用</w:t>
      </w:r>
      <w:r>
        <w:rPr>
          <w:rFonts w:hint="eastAsia"/>
          <w:b/>
          <w:bCs/>
        </w:rPr>
        <w:t>功率谱密度</w:t>
      </w:r>
      <w:r>
        <w:rPr>
          <w:rFonts w:hint="eastAsia"/>
        </w:rPr>
        <w:t>或</w:t>
      </w:r>
      <w:r>
        <w:rPr>
          <w:rFonts w:hint="eastAsia"/>
          <w:b/>
          <w:bCs/>
        </w:rPr>
        <w:t>反应谱</w:t>
      </w:r>
      <w:r>
        <w:rPr>
          <w:rFonts w:hint="eastAsia"/>
        </w:rPr>
        <w:t>刻画。C</w:t>
      </w:r>
      <w:r>
        <w:t xml:space="preserve"> </w:t>
      </w:r>
      <w:r>
        <w:rPr>
          <w:rFonts w:hint="eastAsia"/>
        </w:rPr>
        <w:t>包要交付的，正是把“随机激励的统计描述”映射为“结构响应的统计描述”的三类算法：</w:t>
      </w:r>
    </w:p>
    <w:p w14:paraId="150C21CC">
      <w:pPr>
        <w:pStyle w:val="11"/>
      </w:pPr>
      <w:r>
        <w:rPr>
          <w:rFonts w:hint="eastAsia"/>
        </w:rPr>
        <w:t>（1）</w:t>
      </w:r>
      <w:r>
        <w:rPr>
          <w:rFonts w:hint="eastAsia"/>
          <w:b/>
          <w:bCs/>
        </w:rPr>
        <w:t>平稳随机振动（频域）</w:t>
      </w:r>
      <w:r>
        <w:rPr>
          <w:rFonts w:hint="eastAsia"/>
        </w:rPr>
        <w:t>——已知输入功率谱矩阵</w:t>
      </w:r>
      <w:r>
        <w:t xml:space="preserve"> </w:t>
      </w:r>
      <m:oMath>
        <m:sSub>
          <m:sSubPr/>
          <m:e>
            <m:r>
              <m:rPr>
                <m:sty m:val="bi"/>
              </m:rPr>
              <m:t>S</m:t>
            </m:r>
          </m:e>
          <m:sub>
            <m:r>
              <m:rPr/>
              <m:t>FF</m:t>
            </m:r>
          </m:sub>
        </m:sSub>
        <m:r>
          <m:rPr>
            <m:sty m:val="p"/>
          </m:rPr>
          <m:t>(</m:t>
        </m:r>
        <m:r>
          <m:rPr/>
          <m:t>ω</m:t>
        </m:r>
        <m:r>
          <m:rPr>
            <m:sty m:val="p"/>
          </m:rPr>
          <m:t>)</m:t>
        </m:r>
      </m:oMath>
      <w:r>
        <w:rPr>
          <w:rFonts w:hint="eastAsia"/>
        </w:rPr>
        <w:t>，求响应功率谱</w:t>
      </w:r>
      <w:r>
        <w:t xml:space="preserve"> </w:t>
      </w:r>
      <m:oMath>
        <m:sSub>
          <m:sSubPr/>
          <m:e>
            <m:r>
              <m:rPr>
                <m:sty m:val="bi"/>
              </m:rPr>
              <m:t>S</m:t>
            </m:r>
          </m:e>
          <m:sub>
            <m:r>
              <m:rPr/>
              <m:t>uu</m:t>
            </m:r>
          </m:sub>
        </m:sSub>
        <m:r>
          <m:rPr>
            <m:sty m:val="p"/>
          </m:rPr>
          <m:t>(</m:t>
        </m:r>
        <m:r>
          <m:rPr/>
          <m:t>ω</m:t>
        </m:r>
        <m:r>
          <m:rPr>
            <m:sty m:val="p"/>
          </m:rPr>
          <m:t>)</m:t>
        </m:r>
      </m:oMath>
      <w:r>
        <w:t xml:space="preserve"> </w:t>
      </w:r>
      <w:r>
        <w:rPr>
          <w:rFonts w:hint="eastAsia"/>
        </w:rPr>
        <w:t>与响应标准差</w:t>
      </w:r>
      <w:r>
        <w:t xml:space="preserve"> </w:t>
      </w:r>
      <m:oMath>
        <m:sSub>
          <m:sSubPr/>
          <m:e>
            <m:r>
              <m:rPr/>
              <m:t>σ</m:t>
            </m:r>
          </m:e>
          <m:sub>
            <m:r>
              <m:rPr/>
              <m:t>u</m:t>
            </m:r>
          </m:sub>
        </m:sSub>
      </m:oMath>
      <w:r>
        <w:rPr>
          <w:rFonts w:hint="eastAsia"/>
        </w:rPr>
        <w:t>；对于零均值随机响应，标准差等于均方根（RMS）。核心是频响函数</w:t>
      </w:r>
      <w:r>
        <w:t xml:space="preserve"> </w:t>
      </w:r>
      <m:oMath>
        <m:r>
          <m:rPr>
            <m:sty m:val="bi"/>
          </m:rPr>
          <m:t>H</m:t>
        </m:r>
        <m:r>
          <m:rPr>
            <m:sty m:val="p"/>
          </m:rPr>
          <m:t>(</m:t>
        </m:r>
        <m:r>
          <m:rPr/>
          <m:t>ω</m:t>
        </m:r>
        <m:r>
          <m:rPr>
            <m:sty m:val="p"/>
          </m:rPr>
          <m:t>)</m:t>
        </m:r>
      </m:oMath>
      <w:r>
        <w:t xml:space="preserve"> </w:t>
      </w:r>
      <w:r>
        <w:rPr>
          <w:rFonts w:hint="eastAsia"/>
        </w:rPr>
        <w:t>与谱关系</w:t>
      </w:r>
      <w:r>
        <w:t xml:space="preserve"> </w:t>
      </w:r>
      <m:oMath>
        <m:sSub>
          <m:sSubPr/>
          <m:e>
            <m:r>
              <m:rPr>
                <m:sty m:val="bi"/>
              </m:rPr>
              <m:t>S</m:t>
            </m:r>
          </m:e>
          <m:sub>
            <m:r>
              <m:rPr/>
              <m:t>uu</m:t>
            </m:r>
          </m:sub>
        </m:sSub>
        <m:r>
          <m:rPr>
            <m:sty m:val="p"/>
          </m:rPr>
          <m:t>=</m:t>
        </m:r>
        <m:r>
          <m:rPr>
            <m:sty m:val="bi"/>
          </m:rPr>
          <m:t>H</m:t>
        </m:r>
        <m:r>
          <m:rPr/>
          <m:t> </m:t>
        </m:r>
        <m:sSub>
          <m:sSubPr/>
          <m:e>
            <m:r>
              <m:rPr>
                <m:sty m:val="bi"/>
              </m:rPr>
              <m:t>S</m:t>
            </m:r>
          </m:e>
          <m:sub>
            <m:r>
              <m:rPr/>
              <m:t>FF</m:t>
            </m:r>
          </m:sub>
        </m:sSub>
        <m:r>
          <m:rPr/>
          <m:t> </m:t>
        </m:r>
        <m:sSup>
          <m:sSupPr/>
          <m:e>
            <m:r>
              <m:rPr>
                <m:sty m:val="bi"/>
              </m:rPr>
              <m:t>H</m:t>
            </m:r>
          </m:e>
          <m:sup>
            <m:r>
              <m:rPr>
                <m:sty m:val="p"/>
                <m:scr m:val="sans-serif"/>
              </m:rPr>
              <m:t>H</m:t>
            </m:r>
          </m:sup>
        </m:sSup>
      </m:oMath>
      <w:r>
        <w:rPr>
          <w:rFonts w:hint="eastAsia"/>
        </w:rPr>
        <w:t>，其理论基础可参考随机振动、随机数据分析与结构动力学经典文献</w:t>
      </w:r>
      <w:r>
        <w:t xml:space="preserve"> </w:t>
      </w:r>
      <w:r>
        <w:rPr>
          <w:rFonts w:hint="eastAsia"/>
        </w:rPr>
        <w:t>[7–9,15,16]；</w:t>
      </w:r>
    </w:p>
    <w:p w14:paraId="08C1F660">
      <w:pPr>
        <w:pStyle w:val="11"/>
      </w:pPr>
      <w:r>
        <w:rPr>
          <w:rFonts w:hint="eastAsia"/>
        </w:rPr>
        <w:t>（2）</w:t>
      </w:r>
      <w:r>
        <w:rPr>
          <w:rFonts w:hint="eastAsia"/>
          <w:b/>
          <w:bCs/>
        </w:rPr>
        <w:t>非平稳随机振动（时域）</w:t>
      </w:r>
      <w:r>
        <w:rPr>
          <w:rFonts w:hint="eastAsia"/>
        </w:rPr>
        <w:t>——输入统计特征随时间变化（如发射、冲击的调制随机过程），求时变标准差</w:t>
      </w:r>
      <w:r>
        <w:t xml:space="preserve"> </w:t>
      </w:r>
      <m:oMath>
        <m:sSub>
          <m:sSubPr/>
          <m:e>
            <m:r>
              <m:rPr/>
              <m:t>σ</m:t>
            </m:r>
          </m:e>
          <m:sub>
            <m:r>
              <m:rPr/>
              <m:t>u</m:t>
            </m:r>
          </m:sub>
        </m:sSub>
        <m:r>
          <m:rPr>
            <m:sty m:val="p"/>
          </m:rPr>
          <m:t>(</m:t>
        </m:r>
        <m:r>
          <m:rPr/>
          <m:t>t</m:t>
        </m:r>
        <m:r>
          <m:rPr>
            <m:sty m:val="p"/>
          </m:rPr>
          <m:t>)</m:t>
        </m:r>
      </m:oMath>
      <w:r>
        <w:rPr>
          <w:rFonts w:hint="eastAsia"/>
        </w:rPr>
        <w:t>、时变均方根</w:t>
      </w:r>
      <w:r>
        <w:t xml:space="preserve"> </w:t>
      </w:r>
      <m:oMath>
        <m:sSub>
          <m:sSubPr/>
          <m:e>
            <m:r>
              <m:rPr/>
              <m:t>u</m:t>
            </m:r>
          </m:e>
          <m:sub>
            <m:r>
              <m:rPr>
                <m:sty m:val="p"/>
              </m:rPr>
              <m:t>rms</m:t>
            </m:r>
          </m:sub>
        </m:sSub>
        <m:r>
          <m:rPr>
            <m:sty m:val="p"/>
          </m:rPr>
          <m:t>(</m:t>
        </m:r>
        <m:r>
          <m:rPr/>
          <m:t>t</m:t>
        </m:r>
        <m:r>
          <m:rPr>
            <m:sty m:val="p"/>
          </m:rPr>
          <m:t>)</m:t>
        </m:r>
      </m:oMath>
      <w:r>
        <w:t xml:space="preserve"> </w:t>
      </w:r>
      <w:r>
        <w:rPr>
          <w:rFonts w:hint="eastAsia"/>
        </w:rPr>
        <w:t>与固定时刻的响应边缘概率密度函数</w:t>
      </w:r>
      <w:r>
        <w:t xml:space="preserve"> </w:t>
      </w:r>
      <m:oMath>
        <m:sSub>
          <m:sSubPr/>
          <m:e>
            <m:r>
              <m:rPr/>
              <m:t>p</m:t>
            </m:r>
          </m:e>
          <m:sub>
            <m:r>
              <m:rPr/>
              <m:t>u</m:t>
            </m:r>
          </m:sub>
        </m:sSub>
        <m:r>
          <m:rPr>
            <m:sty m:val="p"/>
          </m:rPr>
          <m:t>(</m:t>
        </m:r>
        <m:r>
          <m:rPr/>
          <m:t>x</m:t>
        </m:r>
        <m:r>
          <m:rPr>
            <m:sty m:val="p"/>
          </m:rPr>
          <m:t>,</m:t>
        </m:r>
        <m:r>
          <m:rPr/>
          <m:t>t</m:t>
        </m:r>
        <m:r>
          <m:rPr>
            <m:sty m:val="p"/>
          </m:rPr>
          <m:t>)</m:t>
        </m:r>
      </m:oMath>
      <w:r>
        <w:rPr>
          <w:rFonts w:hint="eastAsia"/>
        </w:rPr>
        <w:t>；</w:t>
      </w:r>
    </w:p>
    <w:p w14:paraId="1644F942">
      <w:pPr>
        <w:pStyle w:val="11"/>
      </w:pPr>
      <w:r>
        <w:rPr>
          <w:rFonts w:hint="eastAsia"/>
        </w:rPr>
        <w:t>（3）</w:t>
      </w:r>
      <w:r>
        <w:rPr>
          <w:rFonts w:hint="eastAsia"/>
          <w:b/>
          <w:bCs/>
        </w:rPr>
        <w:t>响应谱分析</w:t>
      </w:r>
      <w:r>
        <w:rPr>
          <w:rFonts w:hint="eastAsia"/>
        </w:rPr>
        <w:t>——已知设计反应谱、结构模态和阻尼等数据，用模态叠加估计结构峰值响应</w:t>
      </w:r>
      <w:r>
        <w:t xml:space="preserve"> </w:t>
      </w:r>
      <m:oMath>
        <m:r>
          <m:rPr/>
          <m:t>R</m:t>
        </m:r>
      </m:oMath>
      <w:r>
        <w:rPr>
          <w:rFonts w:hint="eastAsia"/>
        </w:rPr>
        <w:t>（由各阶模态峰值贡献</w:t>
      </w:r>
      <w:r>
        <w:t xml:space="preserve"> </w:t>
      </w:r>
      <m:oMath>
        <m:sSub>
          <m:sSubPr/>
          <m:e>
            <m:r>
              <m:rPr/>
              <m:t>r</m:t>
            </m:r>
          </m:e>
          <m:sub>
            <m:r>
              <m:rPr/>
              <m:t>i</m:t>
            </m:r>
          </m:sub>
        </m:sSub>
      </m:oMath>
      <w:r>
        <w:t xml:space="preserve"> </w:t>
      </w:r>
      <w:r>
        <w:rPr>
          <w:rFonts w:hint="eastAsia"/>
        </w:rPr>
        <w:t>组合而成）。</w:t>
      </w:r>
    </w:p>
    <w:p w14:paraId="5018E86B">
      <w:pPr>
        <w:pStyle w:val="11"/>
      </w:pPr>
      <w:r>
        <w:rPr>
          <w:rFonts w:hint="eastAsia"/>
        </w:rPr>
        <w:t>从输入、处理和输出看，三类算法的边界清晰而互补。平稳随机振动以</w:t>
      </w:r>
      <w:r>
        <w:t xml:space="preserve"> </w:t>
      </w:r>
      <m:oMath>
        <m:sSub>
          <m:sSubPr/>
          <m:e>
            <m:r>
              <m:rPr>
                <m:sty m:val="bi"/>
              </m:rPr>
              <m:t>S</m:t>
            </m:r>
          </m:e>
          <m:sub>
            <m:r>
              <m:rPr/>
              <m:t>FF</m:t>
            </m:r>
          </m:sub>
        </m:sSub>
        <m:r>
          <m:rPr>
            <m:sty m:val="p"/>
          </m:rPr>
          <m:t>(</m:t>
        </m:r>
        <m:r>
          <m:rPr/>
          <m:t>ω</m:t>
        </m:r>
        <m:r>
          <m:rPr>
            <m:sty m:val="p"/>
          </m:rPr>
          <m:t>)</m:t>
        </m:r>
      </m:oMath>
      <w:r>
        <w:t xml:space="preserve"> </w:t>
      </w:r>
      <w:r>
        <w:rPr>
          <w:rFonts w:hint="eastAsia"/>
        </w:rPr>
        <w:t>为输入，通过频响函数</w:t>
      </w:r>
      <w:r>
        <w:t xml:space="preserve"> </w:t>
      </w:r>
      <m:oMath>
        <m:r>
          <m:rPr>
            <m:sty m:val="bi"/>
          </m:rPr>
          <m:t>H</m:t>
        </m:r>
        <m:r>
          <m:rPr>
            <m:sty m:val="p"/>
          </m:rPr>
          <m:t>(</m:t>
        </m:r>
        <m:r>
          <m:rPr/>
          <m:t>ω</m:t>
        </m:r>
        <m:r>
          <m:rPr>
            <m:sty m:val="p"/>
          </m:rPr>
          <m:t>)</m:t>
        </m:r>
      </m:oMath>
      <w:r>
        <w:rPr>
          <w:rFonts w:hint="eastAsia"/>
        </w:rPr>
        <w:t>、模态叠加或</w:t>
      </w:r>
      <w:r>
        <w:t xml:space="preserve"> PEM </w:t>
      </w:r>
      <w:r>
        <w:rPr>
          <w:rFonts w:hint="eastAsia"/>
        </w:rPr>
        <w:t>虚拟激励法得到</w:t>
      </w:r>
      <w:r>
        <w:t xml:space="preserve"> </w:t>
      </w:r>
      <m:oMath>
        <m:sSub>
          <m:sSubPr/>
          <m:e>
            <m:r>
              <m:rPr>
                <m:sty m:val="bi"/>
              </m:rPr>
              <m:t>S</m:t>
            </m:r>
          </m:e>
          <m:sub>
            <m:r>
              <m:rPr/>
              <m:t>uu</m:t>
            </m:r>
          </m:sub>
        </m:sSub>
        <m:r>
          <m:rPr>
            <m:sty m:val="p"/>
          </m:rPr>
          <m:t>(</m:t>
        </m:r>
        <m:r>
          <m:rPr/>
          <m:t>ω</m:t>
        </m:r>
        <m:r>
          <m:rPr>
            <m:sty m:val="p"/>
          </m:rPr>
          <m:t>)</m:t>
        </m:r>
      </m:oMath>
      <w:r>
        <w:rPr>
          <w:rFonts w:hint="eastAsia"/>
        </w:rPr>
        <w:t>，再经频率积分得到响应方差、标准差和零均值条件下的</w:t>
      </w:r>
      <w:r>
        <w:t xml:space="preserve"> </w:t>
      </w:r>
      <w:r>
        <w:rPr>
          <w:rFonts w:hint="eastAsia"/>
        </w:rPr>
        <w:t>RMS；非平稳随机振动以演变功率谱</w:t>
      </w:r>
      <w:r>
        <w:t xml:space="preserve"> </w:t>
      </w:r>
      <m:oMath>
        <m:sSub>
          <m:sSubPr/>
          <m:e>
            <m:r>
              <m:rPr>
                <m:sty m:val="bi"/>
              </m:rPr>
              <m:t>G</m:t>
            </m:r>
          </m:e>
          <m:sub>
            <m:r>
              <m:rPr/>
              <m:t>FF</m:t>
            </m:r>
          </m:sub>
        </m:sSub>
        <m:r>
          <m:rPr>
            <m:sty m:val="p"/>
          </m:rPr>
          <m:t>(</m:t>
        </m:r>
        <m:r>
          <m:rPr/>
          <m:t>ω</m:t>
        </m:r>
        <m:r>
          <m:rPr>
            <m:sty m:val="p"/>
          </m:rPr>
          <m:t>,</m:t>
        </m:r>
        <m:r>
          <m:rPr/>
          <m:t>t</m:t>
        </m:r>
        <m:r>
          <m:rPr>
            <m:sty m:val="p"/>
          </m:rPr>
          <m:t>)</m:t>
        </m:r>
      </m:oMath>
      <w:r>
        <w:t xml:space="preserve"> </w:t>
      </w:r>
      <w:r>
        <w:rPr>
          <w:rFonts w:hint="eastAsia"/>
        </w:rPr>
        <w:t>或调制随机过程为输入，通过时域虚拟激励和逐步积分得到</w:t>
      </w:r>
      <w:r>
        <w:t xml:space="preserve"> </w:t>
      </w:r>
      <m:oMath>
        <m:sSub>
          <m:sSubPr/>
          <m:e>
            <m:r>
              <m:rPr/>
              <m:t>σ</m:t>
            </m:r>
          </m:e>
          <m:sub>
            <m:r>
              <m:rPr/>
              <m:t>u</m:t>
            </m:r>
          </m:sub>
        </m:sSub>
        <m:r>
          <m:rPr>
            <m:sty m:val="p"/>
          </m:rPr>
          <m:t>(</m:t>
        </m:r>
        <m:r>
          <m:rPr/>
          <m:t>t</m:t>
        </m:r>
        <m:r>
          <m:rPr>
            <m:sty m:val="p"/>
          </m:rPr>
          <m:t>)</m:t>
        </m:r>
      </m:oMath>
      <w:r>
        <w:t>、</w:t>
      </w:r>
      <m:oMath>
        <m:sSub>
          <m:sSubPr/>
          <m:e>
            <m:r>
              <m:rPr/>
              <m:t>u</m:t>
            </m:r>
          </m:e>
          <m:sub>
            <m:r>
              <m:rPr>
                <m:sty m:val="p"/>
              </m:rPr>
              <m:t>rms</m:t>
            </m:r>
          </m:sub>
        </m:sSub>
        <m:r>
          <m:rPr>
            <m:sty m:val="p"/>
          </m:rPr>
          <m:t>(</m:t>
        </m:r>
        <m:r>
          <m:rPr/>
          <m:t>t</m:t>
        </m:r>
        <m:r>
          <m:rPr>
            <m:sty m:val="p"/>
          </m:rPr>
          <m:t>)</m:t>
        </m:r>
      </m:oMath>
      <w:r>
        <w:t xml:space="preserve"> </w:t>
      </w:r>
      <w:r>
        <w:rPr>
          <w:rFonts w:hint="eastAsia"/>
        </w:rPr>
        <w:t>和固定时刻的</w:t>
      </w:r>
      <w:r>
        <w:t xml:space="preserve"> </w:t>
      </w:r>
      <m:oMath>
        <m:sSub>
          <m:sSubPr/>
          <m:e>
            <m:r>
              <m:rPr/>
              <m:t>p</m:t>
            </m:r>
          </m:e>
          <m:sub>
            <m:r>
              <m:rPr/>
              <m:t>u</m:t>
            </m:r>
          </m:sub>
        </m:sSub>
        <m:r>
          <m:rPr>
            <m:sty m:val="p"/>
          </m:rPr>
          <m:t>(</m:t>
        </m:r>
        <m:r>
          <m:rPr/>
          <m:t>x</m:t>
        </m:r>
        <m:r>
          <m:rPr>
            <m:sty m:val="p"/>
          </m:rPr>
          <m:t>,</m:t>
        </m:r>
        <m:r>
          <m:rPr/>
          <m:t>t</m:t>
        </m:r>
        <m:r>
          <m:rPr>
            <m:sty m:val="p"/>
          </m:rPr>
          <m:t>)</m:t>
        </m:r>
      </m:oMath>
      <w:r>
        <w:rPr>
          <w:rFonts w:hint="eastAsia"/>
        </w:rPr>
        <w:t>；响应谱分析则以设计反应谱、固有频率、振型、阻尼比和输入方向为输入，经模态参与系数和</w:t>
      </w:r>
      <w:r>
        <w:t xml:space="preserve"> SRSS/NRL/GRP/CQC </w:t>
      </w:r>
      <w:r>
        <w:rPr>
          <w:rFonts w:hint="eastAsia"/>
        </w:rPr>
        <w:t>等组合规则得到指定响应量的峰值估计</w:t>
      </w:r>
      <w:r>
        <w:t xml:space="preserve"> </w:t>
      </w:r>
      <m:oMath>
        <m:r>
          <m:rPr/>
          <m:t>R</m:t>
        </m:r>
      </m:oMath>
      <w:r>
        <w:rPr>
          <w:rFonts w:hint="eastAsia"/>
        </w:rPr>
        <w:t>。其中，功率谱描述随机过程方差在频率轴上的分布，响应谱描述单自由度振子峰值响应随频率或周期的包络，两者输入含义、输出目标和组合公式均不同，实施中必须严格区分。</w:t>
      </w:r>
    </w:p>
    <w:p w14:paraId="57888D58">
      <w:pPr>
        <w:pStyle w:val="11"/>
      </w:pPr>
      <w:r>
        <w:rPr>
          <w:rFonts w:hint="eastAsia"/>
        </w:rPr>
        <w:t>由此可见，C</w:t>
      </w:r>
      <w:r>
        <w:t xml:space="preserve"> </w:t>
      </w:r>
      <w:r>
        <w:rPr>
          <w:rFonts w:hint="eastAsia"/>
        </w:rPr>
        <w:t>包不是单一公式的封装，而是面向“平稳随机统计量、非平稳时变统计量、工程峰值估计”三类问题建立统一的数据接口、算法实现和验证体系。其技术难点集中在谱矩阵相关性处理、频响/时域求解调用、模态组合适用条件、频率与时间离散误差控制，以及结果向节点、单元和指定响应分量的恢复。</w:t>
      </w:r>
    </w:p>
    <w:bookmarkEnd w:id="3"/>
    <w:p w14:paraId="6F63FA1C">
      <w:pPr>
        <w:pStyle w:val="4"/>
      </w:pPr>
      <w:bookmarkStart w:id="4" w:name="c-包与-ab-包的关系及在整体求解器中的定位"/>
      <w:r>
        <w:t xml:space="preserve">1.3 C </w:t>
      </w:r>
      <w:r>
        <w:rPr>
          <w:rFonts w:hint="eastAsia"/>
        </w:rPr>
        <w:t>包与</w:t>
      </w:r>
      <w:r>
        <w:t xml:space="preserve"> A、B </w:t>
      </w:r>
      <w:r>
        <w:rPr>
          <w:rFonts w:hint="eastAsia"/>
        </w:rPr>
        <w:t>包的关系及在整体求解器中的定位</w:t>
      </w:r>
    </w:p>
    <w:p w14:paraId="0082E44F">
      <w:pPr>
        <w:pStyle w:val="70"/>
      </w:pPr>
      <w:r>
        <w:rPr>
          <w:rFonts w:hint="eastAsia"/>
        </w:rPr>
        <w:t>本项目</w:t>
      </w:r>
      <w:r>
        <w:t xml:space="preserve"> A、B、C </w:t>
      </w:r>
      <w:r>
        <w:rPr>
          <w:rFonts w:hint="eastAsia"/>
        </w:rPr>
        <w:t>三包面向同一个国产结构动力学求解器，共享同一套有限元建模底座（混合网格</w:t>
      </w:r>
      <w:r>
        <w:t xml:space="preserve"> → </w:t>
      </w:r>
      <w:r>
        <w:rPr>
          <w:rFonts w:hint="eastAsia"/>
        </w:rPr>
        <w:t>单元/材料/连接/边界</w:t>
      </w:r>
      <w:r>
        <w:t xml:space="preserve"> → </w:t>
      </w:r>
      <m:oMath>
        <m:r>
          <m:rPr>
            <m:sty m:val="bi"/>
          </m:rPr>
          <m:t>M</m:t>
        </m:r>
      </m:oMath>
      <w:r>
        <w:t>/</w:t>
      </w:r>
      <m:oMath>
        <m:r>
          <m:rPr>
            <m:sty m:val="bi"/>
          </m:rPr>
          <m:t>C</m:t>
        </m:r>
      </m:oMath>
      <w:r>
        <w:t>/</w:t>
      </w:r>
      <m:oMath>
        <m:r>
          <m:rPr>
            <m:sty m:val="bi"/>
          </m:rPr>
          <m:t>K</m:t>
        </m:r>
      </m:oMath>
      <w:r>
        <w:t xml:space="preserve"> </w:t>
      </w:r>
      <w:r>
        <w:rPr>
          <w:rFonts w:hint="eastAsia"/>
        </w:rPr>
        <w:t>组装），并在数据上层层衔接，构成“模态</w:t>
      </w:r>
      <w:r>
        <w:t xml:space="preserve"> → </w:t>
      </w:r>
      <w:r>
        <w:rPr>
          <w:rFonts w:hint="eastAsia"/>
        </w:rPr>
        <w:t>确定性响应</w:t>
      </w:r>
      <w:r>
        <w:t xml:space="preserve"> → </w:t>
      </w:r>
      <w:r>
        <w:rPr>
          <w:rFonts w:hint="eastAsia"/>
        </w:rPr>
        <w:t>随机响应”的完整动力学分析链：</w:t>
      </w:r>
    </w:p>
    <w:p w14:paraId="3CF7E9B8">
      <w:pPr>
        <w:pStyle w:val="71"/>
        <w:numPr>
          <w:ilvl w:val="0"/>
          <w:numId w:val="1"/>
        </w:numPr>
      </w:pPr>
      <w:r>
        <w:rPr>
          <w:b/>
          <w:bCs/>
        </w:rPr>
        <w:t xml:space="preserve">A </w:t>
      </w:r>
      <w:r>
        <w:rPr>
          <w:rFonts w:hint="eastAsia"/>
          <w:b/>
          <w:bCs/>
        </w:rPr>
        <w:t>包（结构模态分析）</w:t>
      </w:r>
      <w:r>
        <w:rPr>
          <w:rFonts w:hint="eastAsia"/>
        </w:rPr>
        <w:t>——求结构的固有频率与振型，是整个动力学分析体系的地基；</w:t>
      </w:r>
    </w:p>
    <w:p w14:paraId="21EB9B8C">
      <w:pPr>
        <w:pStyle w:val="71"/>
        <w:numPr>
          <w:ilvl w:val="0"/>
          <w:numId w:val="1"/>
        </w:numPr>
      </w:pPr>
      <w:r>
        <w:rPr>
          <w:b/>
          <w:bCs/>
        </w:rPr>
        <w:t xml:space="preserve">B </w:t>
      </w:r>
      <w:r>
        <w:rPr>
          <w:rFonts w:hint="eastAsia"/>
          <w:b/>
          <w:bCs/>
        </w:rPr>
        <w:t>包（结构动力响应分析）</w:t>
      </w:r>
      <w:r>
        <w:rPr>
          <w:rFonts w:hint="eastAsia"/>
        </w:rPr>
        <w:t>——在模态基础上求确定性载荷（瞬态/频响）下的响应，且招标文件明确要求其“支持平稳随机振动频域求解调用和非平稳随机振动时域求解调用，为后续随机振动分析模块提供稳定接口”——即</w:t>
      </w:r>
      <w:r>
        <w:t xml:space="preserve"> B </w:t>
      </w:r>
      <w:r>
        <w:rPr>
          <w:rFonts w:hint="eastAsia"/>
        </w:rPr>
        <w:t>包在设计上即为</w:t>
      </w:r>
      <w:r>
        <w:t xml:space="preserve"> C </w:t>
      </w:r>
      <w:r>
        <w:rPr>
          <w:rFonts w:hint="eastAsia"/>
        </w:rPr>
        <w:t>包预留了求解调用入口；</w:t>
      </w:r>
    </w:p>
    <w:p w14:paraId="0DBE012D">
      <w:pPr>
        <w:pStyle w:val="71"/>
        <w:numPr>
          <w:ilvl w:val="0"/>
          <w:numId w:val="1"/>
        </w:numPr>
      </w:pPr>
      <w:r>
        <w:rPr>
          <w:b/>
          <w:bCs/>
        </w:rPr>
        <w:t xml:space="preserve">C </w:t>
      </w:r>
      <w:r>
        <w:rPr>
          <w:rFonts w:hint="eastAsia"/>
          <w:b/>
          <w:bCs/>
        </w:rPr>
        <w:t>包（结构随机振动分析，本投标包）</w:t>
      </w:r>
      <w:r>
        <w:rPr>
          <w:rFonts w:hint="eastAsia"/>
        </w:rPr>
        <w:t>——处理随机/反应谱激励下的统计响应，位于这条分析链的最上层：其</w:t>
      </w:r>
      <w:r>
        <w:t xml:space="preserve"> CQC/SRSS </w:t>
      </w:r>
      <w:r>
        <w:rPr>
          <w:rFonts w:hint="eastAsia"/>
        </w:rPr>
        <w:t>功率谱与响应谱四种叠加法以</w:t>
      </w:r>
      <w:r>
        <w:rPr>
          <w:rFonts w:hint="eastAsia"/>
          <w:b/>
          <w:bCs/>
        </w:rPr>
        <w:t>模态数据（A</w:t>
      </w:r>
      <w:r>
        <w:rPr>
          <w:b/>
          <w:bCs/>
        </w:rPr>
        <w:t xml:space="preserve"> </w:t>
      </w:r>
      <w:r>
        <w:rPr>
          <w:rFonts w:hint="eastAsia"/>
          <w:b/>
          <w:bCs/>
        </w:rPr>
        <w:t>包能力）</w:t>
      </w:r>
      <w:r>
        <w:rPr>
          <w:rFonts w:hint="eastAsia"/>
        </w:rPr>
        <w:t>为输入，其</w:t>
      </w:r>
      <w:r>
        <w:t xml:space="preserve"> PEM </w:t>
      </w:r>
      <w:r>
        <w:rPr>
          <w:rFonts w:hint="eastAsia"/>
        </w:rPr>
        <w:t>与非平稳时域分析以</w:t>
      </w:r>
      <w:r>
        <w:rPr>
          <w:rFonts w:hint="eastAsia"/>
          <w:b/>
          <w:bCs/>
        </w:rPr>
        <w:t>频域/时域求解能力（B</w:t>
      </w:r>
      <w:r>
        <w:rPr>
          <w:b/>
          <w:bCs/>
        </w:rPr>
        <w:t xml:space="preserve"> </w:t>
      </w:r>
      <w:r>
        <w:rPr>
          <w:rFonts w:hint="eastAsia"/>
          <w:b/>
          <w:bCs/>
        </w:rPr>
        <w:t>包能力）</w:t>
      </w:r>
      <w:r>
        <w:rPr>
          <w:rFonts w:hint="eastAsia"/>
        </w:rPr>
        <w:t>为后端。</w:t>
      </w:r>
    </w:p>
    <w:p w14:paraId="3A90F926">
      <w:pPr>
        <w:pStyle w:val="70"/>
      </w:pPr>
      <w:r>
        <w:rPr>
          <w:rFonts w:hint="eastAsia"/>
        </w:rPr>
        <w:t>也就是说，在采购人最终的整体求解器蓝图中，</w:t>
      </w:r>
      <w:r>
        <w:rPr>
          <w:b/>
          <w:bCs/>
        </w:rPr>
        <w:t xml:space="preserve">C </w:t>
      </w:r>
      <w:r>
        <w:rPr>
          <w:rFonts w:hint="eastAsia"/>
          <w:b/>
          <w:bCs/>
        </w:rPr>
        <w:t>包自然地以</w:t>
      </w:r>
      <w:r>
        <w:rPr>
          <w:b/>
          <w:bCs/>
        </w:rPr>
        <w:t xml:space="preserve"> A </w:t>
      </w:r>
      <w:r>
        <w:rPr>
          <w:rFonts w:hint="eastAsia"/>
          <w:b/>
          <w:bCs/>
        </w:rPr>
        <w:t>包的模态数据与</w:t>
      </w:r>
      <w:r>
        <w:rPr>
          <w:b/>
          <w:bCs/>
        </w:rPr>
        <w:t xml:space="preserve"> B </w:t>
      </w:r>
      <w:r>
        <w:rPr>
          <w:rFonts w:hint="eastAsia"/>
          <w:b/>
          <w:bCs/>
        </w:rPr>
        <w:t>包的求解能力为上游</w:t>
      </w:r>
      <w:r>
        <w:rPr>
          <w:rFonts w:hint="eastAsia"/>
        </w:rPr>
        <w:t>。我方对这一关系的应对策略分别面向“C</w:t>
      </w:r>
      <w:r>
        <w:t xml:space="preserve"> </w:t>
      </w:r>
      <w:r>
        <w:rPr>
          <w:rFonts w:hint="eastAsia"/>
        </w:rPr>
        <w:t>包独立交付验收”与“采购人整体集成”两种情形：</w:t>
      </w:r>
    </w:p>
    <w:p w14:paraId="4241F6B1">
      <w:pPr>
        <w:pStyle w:val="11"/>
      </w:pPr>
      <w:r>
        <w:rPr>
          <w:rFonts w:hint="eastAsia"/>
        </w:rPr>
        <w:t>（1）</w:t>
      </w:r>
      <w:r>
        <w:rPr>
          <w:b/>
          <w:bCs/>
        </w:rPr>
        <w:t xml:space="preserve">C </w:t>
      </w:r>
      <w:r>
        <w:rPr>
          <w:rFonts w:hint="eastAsia"/>
          <w:b/>
          <w:bCs/>
        </w:rPr>
        <w:t>包独立交付验收时</w:t>
      </w:r>
      <w:r>
        <w:t xml:space="preserve">——C </w:t>
      </w:r>
      <w:r>
        <w:rPr>
          <w:rFonts w:hint="eastAsia"/>
        </w:rPr>
        <w:t>模块提供标准化数据与求解服务接口，可接收质量矩阵、阻尼矩阵、刚度矩阵、模态数据以及频域/时域求解结果；同时配套标准算例、基准数据和必要的测试支撑组件，确保</w:t>
      </w:r>
      <w:r>
        <w:t xml:space="preserve"> C </w:t>
      </w:r>
      <w:r>
        <w:rPr>
          <w:rFonts w:hint="eastAsia"/>
        </w:rPr>
        <w:t>包核心算法可独立运行、验证和验收，不以</w:t>
      </w:r>
      <w:r>
        <w:t xml:space="preserve"> A、B </w:t>
      </w:r>
      <w:r>
        <w:rPr>
          <w:rFonts w:hint="eastAsia"/>
        </w:rPr>
        <w:t>包是否同时交付为前提（详见</w:t>
      </w:r>
      <w:r>
        <w:t xml:space="preserve"> </w:t>
      </w:r>
      <w:r>
        <w:rPr>
          <w:rFonts w:hint="eastAsia"/>
        </w:rPr>
        <w:t>1.4）；</w:t>
      </w:r>
    </w:p>
    <w:p w14:paraId="6366C710">
      <w:pPr>
        <w:pStyle w:val="11"/>
      </w:pPr>
      <w:r>
        <w:rPr>
          <w:rFonts w:hint="eastAsia"/>
        </w:rPr>
        <w:t>（2）</w:t>
      </w:r>
      <w:r>
        <w:rPr>
          <w:rFonts w:hint="eastAsia"/>
          <w:b/>
          <w:bCs/>
        </w:rPr>
        <w:t>面向整体集成时</w:t>
      </w:r>
      <w:r>
        <w:t xml:space="preserve">——C </w:t>
      </w:r>
      <w:r>
        <w:rPr>
          <w:rFonts w:hint="eastAsia"/>
        </w:rPr>
        <w:t>模块的数据接口与</w:t>
      </w:r>
      <w:r>
        <w:t xml:space="preserve"> A、B </w:t>
      </w:r>
      <w:r>
        <w:rPr>
          <w:rFonts w:hint="eastAsia"/>
        </w:rPr>
        <w:t>包的自然边界保持一致：模态数据接口承接</w:t>
      </w:r>
      <w:r>
        <w:t xml:space="preserve"> A </w:t>
      </w:r>
      <w:r>
        <w:rPr>
          <w:rFonts w:hint="eastAsia"/>
        </w:rPr>
        <w:t>包输出，频域/时域求解服务接口承接</w:t>
      </w:r>
      <w:r>
        <w:t xml:space="preserve"> B </w:t>
      </w:r>
      <w:r>
        <w:rPr>
          <w:rFonts w:hint="eastAsia"/>
        </w:rPr>
        <w:t>包为随机振动预留的调用能力。具体数据结构、调用协议和集成边界在项目需求确认与接口设计阶段与采购人共同固化，以降低后续适配工作量，避免接口孤岛与重复开发。</w:t>
      </w:r>
    </w:p>
    <w:p w14:paraId="7D81444F">
      <w:pPr>
        <w:pStyle w:val="11"/>
      </w:pPr>
      <w:r>
        <w:rPr>
          <w:rFonts w:hint="eastAsia"/>
        </w:rPr>
        <w:t>按数据流理解，采购人有限元模型首先形成</w:t>
      </w:r>
      <w:r>
        <w:t xml:space="preserve"> </w:t>
      </w:r>
      <m:oMath>
        <m:r>
          <m:rPr>
            <m:sty m:val="bi"/>
          </m:rPr>
          <m:t>M</m:t>
        </m:r>
      </m:oMath>
      <w:r>
        <w:t>、</w:t>
      </w:r>
      <m:oMath>
        <m:r>
          <m:rPr>
            <m:sty m:val="bi"/>
          </m:rPr>
          <m:t>C</m:t>
        </m:r>
      </m:oMath>
      <w:r>
        <w:t>、</w:t>
      </w:r>
      <m:oMath>
        <m:r>
          <m:rPr>
            <m:sty m:val="bi"/>
          </m:rPr>
          <m:t>K</m:t>
        </m:r>
      </m:oMath>
      <w:r>
        <w:t xml:space="preserve"> </w:t>
      </w:r>
      <w:r>
        <w:rPr>
          <w:rFonts w:hint="eastAsia"/>
        </w:rPr>
        <w:t>及自由度映射；A</w:t>
      </w:r>
      <w:r>
        <w:t xml:space="preserve"> </w:t>
      </w:r>
      <w:r>
        <w:rPr>
          <w:rFonts w:hint="eastAsia"/>
        </w:rPr>
        <w:t>包或采购人既有模态模块据此求得</w:t>
      </w:r>
      <w:r>
        <w:t xml:space="preserve"> </w:t>
      </w:r>
      <m:oMath>
        <m:sSub>
          <m:sSubPr/>
          <m:e>
            <m:r>
              <m:rPr/>
              <m:t>ω</m:t>
            </m:r>
          </m:e>
          <m:sub>
            <m:r>
              <m:rPr/>
              <m:t>i</m:t>
            </m:r>
          </m:sub>
        </m:sSub>
      </m:oMath>
      <w:r>
        <w:t>、</w:t>
      </w:r>
      <m:oMath>
        <m:sSub>
          <m:sSubPr/>
          <m:e>
            <m:r>
              <m:rPr>
                <m:sty m:val="bi"/>
              </m:rPr>
              <m:t>ϕ</m:t>
            </m:r>
          </m:e>
          <m:sub>
            <m:r>
              <m:rPr/>
              <m:t>i</m:t>
            </m:r>
          </m:sub>
        </m:sSub>
      </m:oMath>
      <w:r>
        <w:rPr>
          <w:rFonts w:hint="eastAsia"/>
        </w:rPr>
        <w:t>、模态质量、模态阻尼和模态参与信息；B</w:t>
      </w:r>
      <w:r>
        <w:t xml:space="preserve"> </w:t>
      </w:r>
      <w:r>
        <w:rPr>
          <w:rFonts w:hint="eastAsia"/>
        </w:rPr>
        <w:t>包或既有动力响应模块基于同一组矩阵与模态数据提供频率响应批量求解和时域积分服务；C</w:t>
      </w:r>
      <w:r>
        <w:t xml:space="preserve"> </w:t>
      </w:r>
      <w:r>
        <w:rPr>
          <w:rFonts w:hint="eastAsia"/>
        </w:rPr>
        <w:t>包在最上层接收这些确定性动力学数据，同时接收输入功率谱、演变功率谱或设计反应谱，完成随机响应功率谱、时变统计量和响应谱峰值组合计算。独立验收阶段，上述上游输入可由测试支撑组件以标准矩阵、标准模态、解析频响或轻量化求解服务形式提供；整体集成阶段，则切换为采购人正式</w:t>
      </w:r>
      <w:r>
        <w:t xml:space="preserve"> A/B </w:t>
      </w:r>
      <w:r>
        <w:rPr>
          <w:rFonts w:hint="eastAsia"/>
        </w:rPr>
        <w:t>模块或现有求解器服务。</w:t>
      </w:r>
    </w:p>
    <w:p w14:paraId="7E7FB735">
      <w:pPr>
        <w:pStyle w:val="11"/>
      </w:pPr>
      <w:r>
        <w:rPr>
          <w:rFonts w:hint="eastAsia"/>
        </w:rPr>
        <w:t>这一设计既保证</w:t>
      </w:r>
      <w:r>
        <w:t xml:space="preserve"> C </w:t>
      </w:r>
      <w:r>
        <w:rPr>
          <w:rFonts w:hint="eastAsia"/>
        </w:rPr>
        <w:t>包核心算法作为独立标的可验证、可验收，又使其能够复用采购人现有能力或</w:t>
      </w:r>
      <w:r>
        <w:t xml:space="preserve"> A、B </w:t>
      </w:r>
      <w:r>
        <w:rPr>
          <w:rFonts w:hint="eastAsia"/>
        </w:rPr>
        <w:t>包成果，契合采购人“三模块协同、统一求解器”的总体目标。</w:t>
      </w:r>
    </w:p>
    <w:bookmarkEnd w:id="4"/>
    <w:p w14:paraId="659ED4FE">
      <w:pPr>
        <w:pStyle w:val="4"/>
      </w:pPr>
      <w:bookmarkStart w:id="5" w:name="c-包支撑能力与接口边界"/>
      <w:r>
        <w:t xml:space="preserve">1.4 C </w:t>
      </w:r>
      <w:r>
        <w:rPr>
          <w:rFonts w:hint="eastAsia"/>
        </w:rPr>
        <w:t>包支撑能力与接口边界</w:t>
      </w:r>
    </w:p>
    <w:p w14:paraId="0296D22D">
      <w:pPr>
        <w:pStyle w:val="70"/>
      </w:pPr>
      <w:r>
        <w:t xml:space="preserve">C </w:t>
      </w:r>
      <w:r>
        <w:rPr>
          <w:rFonts w:hint="eastAsia"/>
        </w:rPr>
        <w:t>包三类分析算法需要相应的结构动力学基础数据与求解能力：</w:t>
      </w:r>
    </w:p>
    <w:p w14:paraId="3FEC203A">
      <w:pPr>
        <w:pStyle w:val="71"/>
        <w:numPr>
          <w:ilvl w:val="0"/>
          <w:numId w:val="1"/>
        </w:numPr>
      </w:pPr>
      <w:r>
        <w:rPr>
          <w:rFonts w:hint="eastAsia"/>
        </w:rPr>
        <w:t>功率谱法的</w:t>
      </w:r>
      <w:r>
        <w:t xml:space="preserve"> </w:t>
      </w:r>
      <w:r>
        <w:rPr>
          <w:b/>
          <w:bCs/>
        </w:rPr>
        <w:t>CQC / SRSS</w:t>
      </w:r>
      <w:r>
        <w:t xml:space="preserve"> </w:t>
      </w:r>
      <w:r>
        <w:rPr>
          <w:rFonts w:hint="eastAsia"/>
        </w:rPr>
        <w:t>与</w:t>
      </w:r>
      <w:r>
        <w:rPr>
          <w:rFonts w:hint="eastAsia"/>
          <w:b/>
          <w:bCs/>
        </w:rPr>
        <w:t>响应谱分析</w:t>
      </w:r>
      <w:r>
        <w:rPr>
          <w:rFonts w:hint="eastAsia"/>
        </w:rPr>
        <w:t>需要固有频率、振型、模态阻尼和模态参与系数等模态数据；</w:t>
      </w:r>
    </w:p>
    <w:p w14:paraId="2866B304">
      <w:pPr>
        <w:pStyle w:val="71"/>
        <w:numPr>
          <w:ilvl w:val="0"/>
          <w:numId w:val="1"/>
        </w:numPr>
      </w:pPr>
      <w:r>
        <w:rPr>
          <w:rFonts w:hint="eastAsia"/>
          <w:b/>
          <w:bCs/>
        </w:rPr>
        <w:t>PEM（虚拟激励法）</w:t>
      </w:r>
      <w:r>
        <w:rPr>
          <w:rFonts w:hint="eastAsia"/>
        </w:rPr>
        <w:t>需要调用确定性频率响应求解能力；</w:t>
      </w:r>
    </w:p>
    <w:p w14:paraId="3FE3B428">
      <w:pPr>
        <w:pStyle w:val="71"/>
        <w:numPr>
          <w:ilvl w:val="0"/>
          <w:numId w:val="1"/>
        </w:numPr>
      </w:pPr>
      <w:r>
        <w:rPr>
          <w:rFonts w:hint="eastAsia"/>
          <w:b/>
          <w:bCs/>
        </w:rPr>
        <w:t>非平稳随机振动分析</w:t>
      </w:r>
      <w:r>
        <w:rPr>
          <w:rFonts w:hint="eastAsia"/>
        </w:rPr>
        <w:t>需要调用时域积分求解能力。</w:t>
      </w:r>
    </w:p>
    <w:p w14:paraId="1A449BB2">
      <w:pPr>
        <w:pStyle w:val="70"/>
      </w:pPr>
      <w:r>
        <w:rPr>
          <w:rFonts w:hint="eastAsia"/>
        </w:rPr>
        <w:t>基于上述依赖关系，本方案采用“</w:t>
      </w:r>
      <w:r>
        <w:rPr>
          <w:rFonts w:hint="eastAsia"/>
          <w:b/>
          <w:bCs/>
        </w:rPr>
        <w:t>随机振动算法库</w:t>
      </w:r>
      <w:r>
        <w:rPr>
          <w:b/>
          <w:bCs/>
        </w:rPr>
        <w:t xml:space="preserve"> + </w:t>
      </w:r>
      <w:r>
        <w:rPr>
          <w:rFonts w:hint="eastAsia"/>
          <w:b/>
          <w:bCs/>
        </w:rPr>
        <w:t>标准支撑接口</w:t>
      </w:r>
      <w:r>
        <w:rPr>
          <w:b/>
          <w:bCs/>
        </w:rPr>
        <w:t xml:space="preserve"> + </w:t>
      </w:r>
      <w:r>
        <w:rPr>
          <w:rFonts w:hint="eastAsia"/>
          <w:b/>
          <w:bCs/>
        </w:rPr>
        <w:t>测试支撑组件</w:t>
      </w:r>
      <w:r>
        <w:rPr>
          <w:rFonts w:hint="eastAsia"/>
        </w:rPr>
        <w:t>”的技术组织方式：</w:t>
      </w:r>
    </w:p>
    <w:p w14:paraId="790F9A0C">
      <w:pPr>
        <w:pStyle w:val="11"/>
      </w:pPr>
      <w:r>
        <w:rPr>
          <w:rFonts w:hint="eastAsia"/>
        </w:rPr>
        <w:t>（1）</w:t>
      </w:r>
      <w:r>
        <w:rPr>
          <w:rFonts w:hint="eastAsia"/>
          <w:b/>
          <w:bCs/>
        </w:rPr>
        <w:t>随机振动算法库</w:t>
      </w:r>
      <w:r>
        <w:rPr>
          <w:rFonts w:hint="eastAsia"/>
        </w:rPr>
        <w:t>负责实现功率谱分析、非平稳随机振动分析和响应谱分析等</w:t>
      </w:r>
      <w:r>
        <w:t xml:space="preserve"> C </w:t>
      </w:r>
      <w:r>
        <w:rPr>
          <w:rFonts w:hint="eastAsia"/>
        </w:rPr>
        <w:t>包核心功能；</w:t>
      </w:r>
    </w:p>
    <w:p w14:paraId="20FD2F46">
      <w:pPr>
        <w:pStyle w:val="11"/>
      </w:pPr>
      <w:r>
        <w:rPr>
          <w:rFonts w:hint="eastAsia"/>
        </w:rPr>
        <w:t>（2）</w:t>
      </w:r>
      <w:r>
        <w:rPr>
          <w:rFonts w:hint="eastAsia"/>
          <w:b/>
          <w:bCs/>
        </w:rPr>
        <w:t>标准支撑接口</w:t>
      </w:r>
      <w:r>
        <w:rPr>
          <w:rFonts w:hint="eastAsia"/>
        </w:rPr>
        <w:t>用于接收采购人现有框架或</w:t>
      </w:r>
      <w:r>
        <w:t xml:space="preserve"> A、B </w:t>
      </w:r>
      <w:r>
        <w:rPr>
          <w:rFonts w:hint="eastAsia"/>
        </w:rPr>
        <w:t>模块提供的模型数据、</w:t>
      </w:r>
      <m:oMath>
        <m:r>
          <m:rPr>
            <m:sty m:val="bi"/>
          </m:rPr>
          <m:t>M</m:t>
        </m:r>
      </m:oMath>
      <w:r>
        <w:t>/</w:t>
      </w:r>
      <m:oMath>
        <m:r>
          <m:rPr>
            <m:sty m:val="bi"/>
          </m:rPr>
          <m:t>C</m:t>
        </m:r>
      </m:oMath>
      <w:r>
        <w:t>/</w:t>
      </w:r>
      <m:oMath>
        <m:r>
          <m:rPr>
            <m:sty m:val="bi"/>
          </m:rPr>
          <m:t>K</m:t>
        </m:r>
      </m:oMath>
      <w:r>
        <w:t xml:space="preserve"> </w:t>
      </w:r>
      <w:r>
        <w:rPr>
          <w:rFonts w:hint="eastAsia"/>
        </w:rPr>
        <w:t>矩阵、模态数据，以及频域和时域求解服务；</w:t>
      </w:r>
    </w:p>
    <w:p w14:paraId="281BD415">
      <w:pPr>
        <w:pStyle w:val="11"/>
      </w:pPr>
      <w:r>
        <w:rPr>
          <w:rFonts w:hint="eastAsia"/>
        </w:rPr>
        <w:t>（3）</w:t>
      </w:r>
      <w:r>
        <w:rPr>
          <w:rFonts w:hint="eastAsia"/>
          <w:b/>
          <w:bCs/>
        </w:rPr>
        <w:t>测试支撑组件</w:t>
      </w:r>
      <w:r>
        <w:rPr>
          <w:rFonts w:hint="eastAsia"/>
        </w:rPr>
        <w:t>提供标准模型、基准数据、模拟求解服务及必要的轻量化测试能力，用于在</w:t>
      </w:r>
      <w:r>
        <w:t xml:space="preserve"> A、B </w:t>
      </w:r>
      <w:r>
        <w:rPr>
          <w:rFonts w:hint="eastAsia"/>
        </w:rPr>
        <w:t>模块尚未接入时完成</w:t>
      </w:r>
      <w:r>
        <w:t xml:space="preserve"> C </w:t>
      </w:r>
      <w:r>
        <w:rPr>
          <w:rFonts w:hint="eastAsia"/>
        </w:rPr>
        <w:t>包核心算法的单元测试、集成测试和独立验收；正式集成后，C</w:t>
      </w:r>
      <w:r>
        <w:t xml:space="preserve"> </w:t>
      </w:r>
      <w:r>
        <w:rPr>
          <w:rFonts w:hint="eastAsia"/>
        </w:rPr>
        <w:t>模块通过同一标准接口复用采购人现有求解器或</w:t>
      </w:r>
      <w:r>
        <w:t xml:space="preserve"> A、B </w:t>
      </w:r>
      <w:r>
        <w:rPr>
          <w:rFonts w:hint="eastAsia"/>
        </w:rPr>
        <w:t>模块提供的基础能力。</w:t>
      </w:r>
    </w:p>
    <w:p w14:paraId="06DDC5ED">
      <w:pPr>
        <w:pStyle w:val="11"/>
      </w:pPr>
      <w:r>
        <w:rPr>
          <w:rFonts w:hint="eastAsia"/>
        </w:rPr>
        <w:t>对于招标文件要求支持的杆、梁、壳、实体、连接、质量、阻尼、材料和约束等模型能力，本模块通过统一模型适配接口和分析数据协议予以承接，确保相应模型形成的矩阵、模态、载荷及结果恢复数据能够完整进入随机振动分析流程，并可按节点、单元和指定响应分量输出功率谱、均方根、时变统计量及响应谱组合结果。</w:t>
      </w:r>
    </w:p>
    <w:p w14:paraId="7A8EAACF">
      <w:pPr>
        <w:pStyle w:val="11"/>
      </w:pPr>
      <w:r>
        <w:rPr>
          <w:rFonts w:hint="eastAsia"/>
        </w:rPr>
        <w:t>投标阶段提供初步接口规范，明确矩阵、模态、载荷谱、反应谱、响应位置及结果数据的基本结构和调用方式；合同实施后，根据采购人总体求解器的既有数据结构完成接口确认、适配和版本固化。</w:t>
      </w:r>
    </w:p>
    <w:p w14:paraId="5431C333">
      <w:pPr>
        <w:pStyle w:val="11"/>
      </w:pPr>
      <w:r>
        <w:rPr>
          <w:rFonts w:hint="eastAsia"/>
        </w:rPr>
        <w:t>具体而言，C</w:t>
      </w:r>
      <w:r>
        <w:t xml:space="preserve"> </w:t>
      </w:r>
      <w:r>
        <w:rPr>
          <w:rFonts w:hint="eastAsia"/>
        </w:rPr>
        <w:t>包接口边界包括三类对象。第一类为</w:t>
      </w:r>
      <w:r>
        <w:rPr>
          <w:rFonts w:hint="eastAsia"/>
          <w:b/>
          <w:bCs/>
        </w:rPr>
        <w:t>输入数据对象</w:t>
      </w:r>
      <w:r>
        <w:rPr>
          <w:rFonts w:hint="eastAsia"/>
        </w:rPr>
        <w:t>：</w:t>
      </w:r>
      <m:oMath>
        <m:r>
          <m:rPr>
            <m:sty m:val="bi"/>
          </m:rPr>
          <m:t>M</m:t>
        </m:r>
      </m:oMath>
      <w:r>
        <w:t>、</w:t>
      </w:r>
      <m:oMath>
        <m:r>
          <m:rPr>
            <m:sty m:val="bi"/>
          </m:rPr>
          <m:t>C</m:t>
        </m:r>
      </m:oMath>
      <w:r>
        <w:t>、</w:t>
      </w:r>
      <m:oMath>
        <m:r>
          <m:rPr>
            <m:sty m:val="bi"/>
          </m:rPr>
          <m:t>K</m:t>
        </m:r>
      </m:oMath>
      <w:r>
        <w:t xml:space="preserve"> </w:t>
      </w:r>
      <w:r>
        <w:rPr>
          <w:rFonts w:hint="eastAsia"/>
        </w:rPr>
        <w:t>等矩阵，自由度编号与约束处理后的映射关系，固有频率、振型、模态质量、模态阻尼和模态参与系数，输入载荷功率谱矩阵、演变功率谱、设计反应谱、激励方向、支座分组、响应提取位置及节点/单元结果恢复算子。第二类为</w:t>
      </w:r>
      <w:r>
        <w:rPr>
          <w:rFonts w:hint="eastAsia"/>
          <w:b/>
          <w:bCs/>
        </w:rPr>
        <w:t>支撑服务对象</w:t>
      </w:r>
      <w:r>
        <w:rPr>
          <w:rFonts w:hint="eastAsia"/>
        </w:rPr>
        <w:t>：频率响应批量求解服务、时域积分服务，以及独立验收所需的标准算例和基准数据服务。第三类为</w:t>
      </w:r>
      <w:r>
        <w:rPr>
          <w:rFonts w:hint="eastAsia"/>
          <w:b/>
          <w:bCs/>
        </w:rPr>
        <w:t>输出结果对象</w:t>
      </w:r>
      <w:r>
        <w:rPr>
          <w:rFonts w:hint="eastAsia"/>
        </w:rPr>
        <w:t>：响应功率谱、响应均方根、时变均方根、固定时刻概率密度、响应谱组合峰值，以及按节点、单元和指定响应分量组织的结果数据。</w:t>
      </w:r>
    </w:p>
    <w:p w14:paraId="262F116E">
      <w:pPr>
        <w:pStyle w:val="11"/>
      </w:pPr>
      <w:r>
        <w:rPr>
          <w:rFonts w:hint="eastAsia"/>
        </w:rPr>
        <w:t>同时需要明确，C</w:t>
      </w:r>
      <w:r>
        <w:t xml:space="preserve"> </w:t>
      </w:r>
      <w:r>
        <w:rPr>
          <w:rFonts w:hint="eastAsia"/>
        </w:rPr>
        <w:t>包不重复建设完整有限元前处理系统、通用单元库、A</w:t>
      </w:r>
      <w:r>
        <w:t xml:space="preserve"> </w:t>
      </w:r>
      <w:r>
        <w:rPr>
          <w:rFonts w:hint="eastAsia"/>
        </w:rPr>
        <w:t>包模态求解器或</w:t>
      </w:r>
      <w:r>
        <w:t xml:space="preserve"> B </w:t>
      </w:r>
      <w:r>
        <w:rPr>
          <w:rFonts w:hint="eastAsia"/>
        </w:rPr>
        <w:t>包确定性动力响应求解器；其责任是通过标准接口完整承接这些上游能力形成的数据，并在随机振动算法层完成统计响应计算、结果恢复和证明材料输出。这样既避免与</w:t>
      </w:r>
      <w:r>
        <w:t xml:space="preserve"> A/B </w:t>
      </w:r>
      <w:r>
        <w:rPr>
          <w:rFonts w:hint="eastAsia"/>
        </w:rPr>
        <w:t>包或采购人既有求解器重复建设，又保证</w:t>
      </w:r>
      <w:r>
        <w:t xml:space="preserve"> C </w:t>
      </w:r>
      <w:r>
        <w:rPr>
          <w:rFonts w:hint="eastAsia"/>
        </w:rPr>
        <w:t>包作为独立采购标的具备清晰的可验收边界。</w:t>
      </w:r>
    </w:p>
    <w:p w14:paraId="53A38239">
      <w:pPr>
        <w:pStyle w:val="11"/>
      </w:pPr>
      <w:r>
        <w:rPr>
          <w:rFonts w:hint="eastAsia"/>
        </w:rPr>
        <w:t>该方案既保证</w:t>
      </w:r>
      <w:r>
        <w:t xml:space="preserve"> C </w:t>
      </w:r>
      <w:r>
        <w:rPr>
          <w:rFonts w:hint="eastAsia"/>
        </w:rPr>
        <w:t>包核心算法能够独立验证和验收，又可充分复用</w:t>
      </w:r>
      <w:r>
        <w:t xml:space="preserve"> A、B </w:t>
      </w:r>
      <w:r>
        <w:rPr>
          <w:rFonts w:hint="eastAsia"/>
        </w:rPr>
        <w:t>包或采购人现有求解器的基础能力，避免重复建设完整的有限元建模、模态和动力响应求解系统。</w:t>
      </w:r>
    </w:p>
    <w:bookmarkEnd w:id="5"/>
    <w:p w14:paraId="2C75C312">
      <w:pPr>
        <w:pStyle w:val="4"/>
      </w:pPr>
      <w:bookmarkStart w:id="6" w:name="对-关键指标与-重要指标的理解"/>
      <w:r>
        <w:t xml:space="preserve">1.5 </w:t>
      </w:r>
      <w:r>
        <w:rPr>
          <w:rFonts w:hint="eastAsia"/>
        </w:rPr>
        <w:t>对</w:t>
      </w:r>
      <w:r>
        <w:t xml:space="preserve"> ★ </w:t>
      </w:r>
      <w:r>
        <w:rPr>
          <w:rFonts w:hint="eastAsia"/>
        </w:rPr>
        <w:t>关键指标与</w:t>
      </w:r>
      <w:r>
        <w:t xml:space="preserve"> ▲ </w:t>
      </w:r>
      <w:r>
        <w:rPr>
          <w:rFonts w:hint="eastAsia"/>
        </w:rPr>
        <w:t>重要指标的理解</w:t>
      </w:r>
    </w:p>
    <w:p w14:paraId="451A4AC3">
      <w:pPr>
        <w:pStyle w:val="70"/>
      </w:pPr>
      <w:r>
        <w:rPr>
          <w:rFonts w:hint="eastAsia"/>
        </w:rPr>
        <w:t>招标文件明确：C</w:t>
      </w:r>
      <w:r>
        <w:t xml:space="preserve"> </w:t>
      </w:r>
      <w:r>
        <w:rPr>
          <w:rFonts w:hint="eastAsia"/>
        </w:rPr>
        <w:t>包含</w:t>
      </w:r>
      <w:r>
        <w:t xml:space="preserve"> </w:t>
      </w:r>
      <w:r>
        <w:rPr>
          <w:b/>
          <w:bCs/>
        </w:rPr>
        <w:t xml:space="preserve">3 </w:t>
      </w:r>
      <w:r>
        <w:rPr>
          <w:rFonts w:hint="eastAsia"/>
          <w:b/>
          <w:bCs/>
        </w:rPr>
        <w:t>个</w:t>
      </w:r>
      <w:r>
        <w:rPr>
          <w:b/>
          <w:bCs/>
        </w:rPr>
        <w:t xml:space="preserve"> ★ </w:t>
      </w:r>
      <w:r>
        <w:rPr>
          <w:rFonts w:hint="eastAsia"/>
          <w:b/>
          <w:bCs/>
        </w:rPr>
        <w:t>功能</w:t>
      </w:r>
      <w:r>
        <w:rPr>
          <w:rFonts w:hint="eastAsia"/>
        </w:rPr>
        <w:t>（平稳随机振动、非平稳随机振动、响应谱分析），★</w:t>
      </w:r>
      <w:r>
        <w:t xml:space="preserve"> </w:t>
      </w:r>
      <w:r>
        <w:rPr>
          <w:rFonts w:hint="eastAsia"/>
        </w:rPr>
        <w:t>为关键指标，不满足将导致响应被拒绝（废标）；含</w:t>
      </w:r>
      <w:r>
        <w:t xml:space="preserve"> </w:t>
      </w:r>
      <w:r>
        <w:rPr>
          <w:b/>
          <w:bCs/>
        </w:rPr>
        <w:t xml:space="preserve">20 </w:t>
      </w:r>
      <w:r>
        <w:rPr>
          <w:rFonts w:hint="eastAsia"/>
          <w:b/>
          <w:bCs/>
        </w:rPr>
        <w:t>个</w:t>
      </w:r>
      <w:r>
        <w:rPr>
          <w:b/>
          <w:bCs/>
        </w:rPr>
        <w:t xml:space="preserve"> ▲ </w:t>
      </w:r>
      <w:r>
        <w:rPr>
          <w:rFonts w:hint="eastAsia"/>
          <w:b/>
          <w:bCs/>
        </w:rPr>
        <w:t>性能指标</w:t>
      </w:r>
      <w:r>
        <w:rPr>
          <w:rFonts w:hint="eastAsia"/>
        </w:rPr>
        <w:t>，▲</w:t>
      </w:r>
      <w:r>
        <w:t xml:space="preserve"> </w:t>
      </w:r>
      <w:r>
        <w:rPr>
          <w:rFonts w:hint="eastAsia"/>
        </w:rPr>
        <w:t>项完全满足或正偏离方可得分（部分满足不得分），技术分</w:t>
      </w:r>
      <w:r>
        <w:t xml:space="preserve"> 50 </w:t>
      </w:r>
      <w:r>
        <w:rPr>
          <w:rFonts w:hint="eastAsia"/>
        </w:rPr>
        <w:t>分全部来自</w:t>
      </w:r>
      <w:r>
        <w:t xml:space="preserve"> ▲ </w:t>
      </w:r>
      <w:r>
        <w:rPr>
          <w:rFonts w:hint="eastAsia"/>
        </w:rPr>
        <w:t>项（20×2.5）。其中部分算法条款明确要求附算法原理描述与算例测试报告。</w:t>
      </w:r>
    </w:p>
    <w:p w14:paraId="426AE89F">
      <w:pPr>
        <w:pStyle w:val="11"/>
      </w:pPr>
      <w:r>
        <w:rPr>
          <w:rFonts w:hint="eastAsia"/>
        </w:rPr>
        <w:t>我方据此确立响应原则：</w:t>
      </w:r>
      <w:r>
        <w:rPr>
          <w:b/>
          <w:bCs/>
        </w:rPr>
        <w:t xml:space="preserve">3 </w:t>
      </w:r>
      <w:r>
        <w:rPr>
          <w:rFonts w:hint="eastAsia"/>
          <w:b/>
          <w:bCs/>
        </w:rPr>
        <w:t>个</w:t>
      </w:r>
      <w:r>
        <w:rPr>
          <w:b/>
          <w:bCs/>
        </w:rPr>
        <w:t xml:space="preserve"> ★ </w:t>
      </w:r>
      <w:r>
        <w:rPr>
          <w:rFonts w:hint="eastAsia"/>
          <w:b/>
          <w:bCs/>
        </w:rPr>
        <w:t>全部无偏离满足，20</w:t>
      </w:r>
      <w:r>
        <w:rPr>
          <w:b/>
          <w:bCs/>
        </w:rPr>
        <w:t xml:space="preserve"> </w:t>
      </w:r>
      <w:r>
        <w:rPr>
          <w:rFonts w:hint="eastAsia"/>
          <w:b/>
          <w:bCs/>
        </w:rPr>
        <w:t>个</w:t>
      </w:r>
      <w:r>
        <w:rPr>
          <w:b/>
          <w:bCs/>
        </w:rPr>
        <w:t xml:space="preserve"> ▲ </w:t>
      </w:r>
      <w:r>
        <w:rPr>
          <w:rFonts w:hint="eastAsia"/>
          <w:b/>
          <w:bCs/>
        </w:rPr>
        <w:t>全部“完全响应”；对招标文件明确要求证明材料的条款，按要求提供算法原理描述、算例测试报告或相应记录</w:t>
      </w:r>
      <w:r>
        <w:rPr>
          <w:rFonts w:hint="eastAsia"/>
        </w:rPr>
        <w:t>——本说明第三章逐条落实。</w:t>
      </w:r>
    </w:p>
    <w:p w14:paraId="10FC0021">
      <w:pPr>
        <w:pStyle w:val="11"/>
      </w:pPr>
      <w:r>
        <w:rPr>
          <w:rFonts w:hint="eastAsia"/>
        </w:rPr>
        <w:t>在证明材料组织上，我方按“条款—算法—算例—记录”对应关系展开。3</w:t>
      </w:r>
      <w:r>
        <w:t xml:space="preserve"> </w:t>
      </w:r>
      <w:r>
        <w:rPr>
          <w:rFonts w:hint="eastAsia"/>
        </w:rPr>
        <w:t>个</w:t>
      </w:r>
      <w:r>
        <w:t xml:space="preserve"> ★ </w:t>
      </w:r>
      <w:r>
        <w:rPr>
          <w:rFonts w:hint="eastAsia"/>
        </w:rPr>
        <w:t>项在正文中明确完全满足，并在第三章分别给出平稳随机振动、非平稳随机振动和响应谱分析的算法路径；▲1–▲9</w:t>
      </w:r>
      <w:r>
        <w:t xml:space="preserve"> </w:t>
      </w:r>
      <w:r>
        <w:rPr>
          <w:rFonts w:hint="eastAsia"/>
        </w:rPr>
        <w:t>侧重证明模型适配和数据承接能力，通过模型适配算例、接口数据检查记录、节点/单元结果和必要截图说明其进入随机振动流程的完整性；▲12–▲15、▲17–▲20</w:t>
      </w:r>
      <w:r>
        <w:t xml:space="preserve"> </w:t>
      </w:r>
      <w:r>
        <w:rPr>
          <w:rFonts w:hint="eastAsia"/>
        </w:rPr>
        <w:t>属于算法证明重点，按要求提供算法原理描述和算例测试报告；▲13</w:t>
      </w:r>
      <w:r>
        <w:t xml:space="preserve"> </w:t>
      </w:r>
      <w:r>
        <w:rPr>
          <w:rFonts w:hint="eastAsia"/>
        </w:rPr>
        <w:t>重点说明响应功率谱积分、均方根计算、解析解或基准算例校核。所有</w:t>
      </w:r>
      <w:r>
        <w:t xml:space="preserve"> ▲ </w:t>
      </w:r>
      <w:r>
        <w:rPr>
          <w:rFonts w:hint="eastAsia"/>
        </w:rPr>
        <w:t>项统一按“完全响应”组织材料，避免出现部分满足、条件满足或口径不一致造成评分风险。</w:t>
      </w:r>
    </w:p>
    <w:bookmarkEnd w:id="6"/>
    <w:p w14:paraId="6651C312">
      <w:pPr>
        <w:pStyle w:val="4"/>
      </w:pPr>
      <w:bookmarkStart w:id="7" w:name="对交付与服务约束的理解"/>
      <w:r>
        <w:t xml:space="preserve">1.6 </w:t>
      </w:r>
      <w:r>
        <w:rPr>
          <w:rFonts w:hint="eastAsia"/>
        </w:rPr>
        <w:t>对交付与服务约束的理解</w:t>
      </w:r>
    </w:p>
    <w:p w14:paraId="1A394C12">
      <w:pPr>
        <w:pStyle w:val="70"/>
      </w:pPr>
      <w:r>
        <w:rPr>
          <w:rFonts w:hint="eastAsia"/>
        </w:rPr>
        <w:t>招标文件要求合同签订后</w:t>
      </w:r>
      <w:r>
        <w:t xml:space="preserve"> 2 </w:t>
      </w:r>
      <w:r>
        <w:rPr>
          <w:rFonts w:hint="eastAsia"/>
        </w:rPr>
        <w:t>个月内交付（★），验收合格后</w:t>
      </w:r>
      <w:r>
        <w:t xml:space="preserve"> 7 </w:t>
      </w:r>
      <w:r>
        <w:rPr>
          <w:rFonts w:hint="eastAsia"/>
        </w:rPr>
        <w:t>个工作日内开展不少于</w:t>
      </w:r>
      <w:r>
        <w:t xml:space="preserve"> 3 </w:t>
      </w:r>
      <w:r>
        <w:rPr>
          <w:rFonts w:hint="eastAsia"/>
        </w:rPr>
        <w:t>日培训，质保期</w:t>
      </w:r>
      <w:r>
        <w:t xml:space="preserve"> 1 </w:t>
      </w:r>
      <w:r>
        <w:rPr>
          <w:rFonts w:hint="eastAsia"/>
        </w:rPr>
        <w:t>年并提供</w:t>
      </w:r>
      <w:r>
        <w:t xml:space="preserve"> 7×24 </w:t>
      </w:r>
      <w:r>
        <w:rPr>
          <w:rFonts w:hint="eastAsia"/>
        </w:rPr>
        <w:t>应急响应。为满足上述交付要求，我方将依托既有有限元方法、数值线性代数、频域分析及工程软件研发基础，采用成熟算法原理、模块化实施和算例驱动验证的技术路线。项目实施期间按照“接口确认、算法实现、算例验证、集成联调、文档交付”的流程并行推进，并通过阶段性成果检查和自动化回归测试控制进度与质量。</w:t>
      </w:r>
    </w:p>
    <w:p w14:paraId="16266A14">
      <w:pPr>
        <w:pStyle w:val="11"/>
      </w:pPr>
      <w:r>
        <w:rPr>
          <w:rFonts w:hint="eastAsia"/>
        </w:rPr>
        <w:t>实施节奏上，第一阶段完成需求复核与接口确认，固化矩阵、模态、激励谱、反应谱、响应位置、结果恢复和求解服务等输入输出数据对象；第二阶段完成三类算法库的核心实现与单元测试，覆盖功率谱分析、非平稳随机振动分析和响应谱分析；第三阶段完成标准算例、解析解或基准结果校核、算法交叉验证和算例测试报告编制；第四阶段在采购人指定环境下开展构建、集成联调、文档交付和培训材料准备。全过程通过阶段评审、自动化回归测试、问题清单闭环和接口版本记录控制风险，确保</w:t>
      </w:r>
      <w:r>
        <w:t xml:space="preserve"> 2 </w:t>
      </w:r>
      <w:r>
        <w:rPr>
          <w:rFonts w:hint="eastAsia"/>
        </w:rPr>
        <w:t>个月交付期内形成可编译、可运行、可验证、可移交的成果。</w:t>
      </w:r>
    </w:p>
    <w:bookmarkEnd w:id="7"/>
    <w:p w14:paraId="2A5BF99F">
      <w:pPr>
        <w:pStyle w:val="4"/>
      </w:pPr>
      <w:bookmarkStart w:id="8" w:name="小结"/>
      <w:r>
        <w:t xml:space="preserve">1.7 </w:t>
      </w:r>
      <w:r>
        <w:rPr>
          <w:rFonts w:hint="eastAsia"/>
        </w:rPr>
        <w:t>小结</w:t>
      </w:r>
    </w:p>
    <w:p w14:paraId="05842EC8">
      <w:pPr>
        <w:pStyle w:val="70"/>
      </w:pPr>
      <w:r>
        <w:t xml:space="preserve">C </w:t>
      </w:r>
      <w:r>
        <w:rPr>
          <w:rFonts w:hint="eastAsia"/>
        </w:rPr>
        <w:t>包的本质是为国产结构动力学求解器补齐“随机振动”统计响应分析能力，并以源代码、接口、文档、算例和知识产权完整移交的方式形成采购人可长期维护的算法资产。我方对第一章需求分析的结论是：C</w:t>
      </w:r>
      <w:r>
        <w:t xml:space="preserve"> </w:t>
      </w:r>
      <w:r>
        <w:rPr>
          <w:rFonts w:hint="eastAsia"/>
        </w:rPr>
        <w:t>包应定位为嵌入式随机振动算法库，而非完整商业</w:t>
      </w:r>
      <w:r>
        <w:t xml:space="preserve"> CAE </w:t>
      </w:r>
      <w:r>
        <w:rPr>
          <w:rFonts w:hint="eastAsia"/>
        </w:rPr>
        <w:t>软件；其核心任务是围绕平稳随机振动、非平稳随机振动和响应谱分析三类功能，承接</w:t>
      </w:r>
      <w:r>
        <w:t xml:space="preserve"> A </w:t>
      </w:r>
      <w:r>
        <w:rPr>
          <w:rFonts w:hint="eastAsia"/>
        </w:rPr>
        <w:t>包模态数据与</w:t>
      </w:r>
      <w:r>
        <w:t xml:space="preserve"> B </w:t>
      </w:r>
      <w:r>
        <w:rPr>
          <w:rFonts w:hint="eastAsia"/>
        </w:rPr>
        <w:t>包频响/时域求解能力，完成随机统计响应和峰值响应估计。</w:t>
      </w:r>
    </w:p>
    <w:p w14:paraId="391ABF81">
      <w:pPr>
        <w:pStyle w:val="11"/>
      </w:pPr>
      <w:r>
        <w:rPr>
          <w:rFonts w:hint="eastAsia"/>
        </w:rPr>
        <w:t>据此，我方总体应对思路是：</w:t>
      </w:r>
      <w:r>
        <w:rPr>
          <w:rFonts w:hint="eastAsia"/>
          <w:b/>
          <w:bCs/>
        </w:rPr>
        <w:t>以随机振动算法库实现三类核心功能，以标准支撑接口承接模型、模态及频域/时域求解能力，以测试支撑组件保证独立验证和验收，以模块化分层架构保证可嵌入性，并针对招标文件指定条款提供算法原理和算例测试材料</w:t>
      </w:r>
      <w:r>
        <w:rPr>
          <w:rFonts w:hint="eastAsia"/>
        </w:rPr>
        <w:t>。第二章将在此理解基础上进一步展开总体技术路线、软件架构、集成方案和质量验证体系。</w:t>
      </w:r>
    </w:p>
    <w:bookmarkEnd w:id="1"/>
    <w:bookmarkEnd w:id="8"/>
    <w:p w14:paraId="205CB569">
      <w:pPr>
        <w:pStyle w:val="3"/>
      </w:pPr>
      <w:bookmarkStart w:id="9" w:name="二总体方案"/>
      <w:r>
        <w:rPr>
          <w:rFonts w:hint="eastAsia"/>
        </w:rPr>
        <w:t>二、总体方案</w:t>
      </w:r>
    </w:p>
    <w:p w14:paraId="3CF68812">
      <w:pPr>
        <w:pStyle w:val="4"/>
      </w:pPr>
      <w:bookmarkStart w:id="10" w:name="总体技术路线"/>
      <w:r>
        <w:t xml:space="preserve">2.1 </w:t>
      </w:r>
      <w:r>
        <w:rPr>
          <w:rFonts w:hint="eastAsia"/>
        </w:rPr>
        <w:t>总体技术路线</w:t>
      </w:r>
    </w:p>
    <w:p w14:paraId="5290D192">
      <w:pPr>
        <w:pStyle w:val="70"/>
      </w:pPr>
      <w:r>
        <w:t xml:space="preserve">C </w:t>
      </w:r>
      <w:r>
        <w:rPr>
          <w:rFonts w:hint="eastAsia"/>
        </w:rPr>
        <w:t>模块采用“</w:t>
      </w:r>
      <w:r>
        <w:rPr>
          <w:rFonts w:hint="eastAsia"/>
          <w:b/>
          <w:bCs/>
        </w:rPr>
        <w:t>一套标准支撑接口</w:t>
      </w:r>
      <w:r>
        <w:rPr>
          <w:b/>
          <w:bCs/>
        </w:rPr>
        <w:t xml:space="preserve"> + </w:t>
      </w:r>
      <w:r>
        <w:rPr>
          <w:rFonts w:hint="eastAsia"/>
          <w:b/>
          <w:bCs/>
        </w:rPr>
        <w:t>三类算法库</w:t>
      </w:r>
      <w:r>
        <w:rPr>
          <w:b/>
          <w:bCs/>
        </w:rPr>
        <w:t xml:space="preserve"> + </w:t>
      </w:r>
      <w:r>
        <w:rPr>
          <w:rFonts w:hint="eastAsia"/>
          <w:b/>
          <w:bCs/>
        </w:rPr>
        <w:t>一组测试支撑组件</w:t>
      </w:r>
      <w:r>
        <w:rPr>
          <w:rFonts w:hint="eastAsia"/>
        </w:rPr>
        <w:t>”的总体技术路线：</w:t>
      </w:r>
    </w:p>
    <w:p w14:paraId="0EA76526">
      <w:pPr>
        <w:pStyle w:val="11"/>
      </w:pPr>
      <w:r>
        <w:rPr>
          <w:rFonts w:hint="eastAsia"/>
          <w:b/>
          <w:bCs/>
        </w:rPr>
        <w:t>一套标准支撑接口</w:t>
      </w:r>
      <w:r>
        <w:rPr>
          <w:rFonts w:hint="eastAsia"/>
        </w:rPr>
        <w:t>——面向采购人总体求解器定义统一的数据与服务边界，接收模型及载荷数据、</w:t>
      </w:r>
      <m:oMath>
        <m:r>
          <m:rPr>
            <m:sty m:val="bi"/>
          </m:rPr>
          <m:t>M</m:t>
        </m:r>
      </m:oMath>
      <w:r>
        <w:t>/</w:t>
      </w:r>
      <m:oMath>
        <m:r>
          <m:rPr>
            <m:sty m:val="bi"/>
          </m:rPr>
          <m:t>C</m:t>
        </m:r>
      </m:oMath>
      <w:r>
        <w:t>/</w:t>
      </w:r>
      <m:oMath>
        <m:r>
          <m:rPr>
            <m:sty m:val="bi"/>
          </m:rPr>
          <m:t>K</m:t>
        </m:r>
      </m:oMath>
      <w:r>
        <w:t xml:space="preserve"> </w:t>
      </w:r>
      <w:r>
        <w:rPr>
          <w:rFonts w:hint="eastAsia"/>
        </w:rPr>
        <w:t>矩阵、模态数据，并调用频率响应和时间积分服务；接口同时支持采购人现有框架、A/B</w:t>
      </w:r>
      <w:r>
        <w:t xml:space="preserve"> </w:t>
      </w:r>
      <w:r>
        <w:rPr>
          <w:rFonts w:hint="eastAsia"/>
        </w:rPr>
        <w:t>模块及测试支撑组件接入。</w:t>
      </w:r>
    </w:p>
    <w:p w14:paraId="31A0E069">
      <w:pPr>
        <w:pStyle w:val="11"/>
      </w:pPr>
      <w:r>
        <w:rPr>
          <w:rFonts w:hint="eastAsia"/>
        </w:rPr>
        <w:t>该接口是</w:t>
      </w:r>
      <w:r>
        <w:t xml:space="preserve"> C </w:t>
      </w:r>
      <w:r>
        <w:rPr>
          <w:rFonts w:hint="eastAsia"/>
        </w:rPr>
        <w:t>模块与采购人总体求解器之间的“契约层”。向上，它为用户工况、算法参数和结果提取提供稳定入口；向下，它只要求上游提供随机振动分析必需的数据和服务，不限定采购人内部有限元建模、矩阵组装、模态求解或频响/时域求解的具体实现。通过这种方式，C</w:t>
      </w:r>
      <w:r>
        <w:t xml:space="preserve"> </w:t>
      </w:r>
      <w:r>
        <w:rPr>
          <w:rFonts w:hint="eastAsia"/>
        </w:rPr>
        <w:t>包既能够在采购人最终统一求解器中嵌入运行，也能够在</w:t>
      </w:r>
      <w:r>
        <w:t xml:space="preserve"> A、B </w:t>
      </w:r>
      <w:r>
        <w:rPr>
          <w:rFonts w:hint="eastAsia"/>
        </w:rPr>
        <w:t>包尚未完成集成时依托测试支撑组件独立验证。</w:t>
      </w:r>
    </w:p>
    <w:p w14:paraId="30B6D38E">
      <w:pPr>
        <w:pStyle w:val="11"/>
      </w:pPr>
      <w:r>
        <w:rPr>
          <w:rFonts w:hint="eastAsia"/>
          <w:b/>
          <w:bCs/>
        </w:rPr>
        <w:t>三类算法库</w:t>
      </w:r>
      <w:r>
        <w:rPr>
          <w:rFonts w:hint="eastAsia"/>
        </w:rPr>
        <w:t>——对应招标</w:t>
      </w:r>
      <w:r>
        <w:t xml:space="preserve"> C </w:t>
      </w:r>
      <w:r>
        <w:rPr>
          <w:rFonts w:hint="eastAsia"/>
        </w:rPr>
        <w:t>包要求的三类算法：</w:t>
      </w:r>
    </w:p>
    <w:p w14:paraId="04858E2F">
      <w:pPr>
        <w:pStyle w:val="11"/>
      </w:pPr>
      <w:r>
        <w:rPr>
          <w:rFonts w:hint="eastAsia"/>
        </w:rPr>
        <w:t>（1）</w:t>
      </w:r>
      <w:r>
        <w:rPr>
          <w:rFonts w:hint="eastAsia"/>
          <w:b/>
          <w:bCs/>
        </w:rPr>
        <w:t>功率谱分析算法库</w:t>
      </w:r>
      <w:r>
        <w:rPr>
          <w:rFonts w:hint="eastAsia"/>
        </w:rPr>
        <w:t>：CQC、SRSS、PEM（虚拟激励法）求响应功率谱，及响应均方根计算；</w:t>
      </w:r>
    </w:p>
    <w:p w14:paraId="0E10B1DB">
      <w:pPr>
        <w:pStyle w:val="11"/>
      </w:pPr>
      <w:r>
        <w:rPr>
          <w:rFonts w:hint="eastAsia"/>
        </w:rPr>
        <w:t>（2）</w:t>
      </w:r>
      <w:r>
        <w:rPr>
          <w:rFonts w:hint="eastAsia"/>
          <w:b/>
          <w:bCs/>
        </w:rPr>
        <w:t>随机振动时域分析算法库</w:t>
      </w:r>
      <w:r>
        <w:rPr>
          <w:rFonts w:hint="eastAsia"/>
        </w:rPr>
        <w:t>：非平稳随机振动的时变均方根与响应概率密度函数计算；</w:t>
      </w:r>
    </w:p>
    <w:p w14:paraId="02373CFA">
      <w:pPr>
        <w:pStyle w:val="11"/>
      </w:pPr>
      <w:r>
        <w:rPr>
          <w:rFonts w:hint="eastAsia"/>
        </w:rPr>
        <w:t>（3）</w:t>
      </w:r>
      <w:r>
        <w:rPr>
          <w:rFonts w:hint="eastAsia"/>
          <w:b/>
          <w:bCs/>
        </w:rPr>
        <w:t>响应谱分析算法库</w:t>
      </w:r>
      <w:r>
        <w:rPr>
          <w:rFonts w:hint="eastAsia"/>
        </w:rPr>
        <w:t>：单点/多点激励下</w:t>
      </w:r>
      <w:r>
        <w:t xml:space="preserve"> SRSS、NRL、GRP、CQC </w:t>
      </w:r>
      <w:r>
        <w:rPr>
          <w:rFonts w:hint="eastAsia"/>
        </w:rPr>
        <w:t>四种模态组合的峰值响应</w:t>
      </w:r>
      <w:r>
        <w:t xml:space="preserve"> </w:t>
      </w:r>
      <m:oMath>
        <m:r>
          <m:rPr/>
          <m:t>R</m:t>
        </m:r>
      </m:oMath>
      <w:r>
        <w:t xml:space="preserve"> </w:t>
      </w:r>
      <w:r>
        <w:rPr>
          <w:rFonts w:hint="eastAsia"/>
        </w:rPr>
        <w:t>估计。</w:t>
      </w:r>
    </w:p>
    <w:p w14:paraId="17A8668C">
      <w:pPr>
        <w:pStyle w:val="11"/>
      </w:pPr>
      <w:r>
        <w:rPr>
          <w:rFonts w:hint="eastAsia"/>
        </w:rPr>
        <w:t>三类算法库采用统一的工况对象和结果对象组织：工况对象描述激励谱、反应谱、输入方向、支座分组、频率/时间离散、模态截断和输出请求；结果对象描述响应功率谱、均方根、时变统计量、概率密度、响应谱组合峰值及其节点/单元结果恢复信息。这样可以保证平稳随机、非平稳随机和响应谱分析虽然数学模型不同，但在用户调用、批量计算、结果导出和算例回归层面保持一致。</w:t>
      </w:r>
    </w:p>
    <w:p w14:paraId="6AF110AA">
      <w:pPr>
        <w:pStyle w:val="11"/>
      </w:pPr>
      <w:r>
        <w:rPr>
          <w:rFonts w:hint="eastAsia"/>
          <w:b/>
          <w:bCs/>
        </w:rPr>
        <w:t>一组测试支撑组件</w:t>
      </w:r>
      <w:r>
        <w:rPr>
          <w:rFonts w:hint="eastAsia"/>
        </w:rPr>
        <w:t>——提供标准模型、矩阵与模态基准数据、频域/时域模拟服务、算例驱动和结果比对工具，用于脱离</w:t>
      </w:r>
      <w:r>
        <w:t xml:space="preserve"> A、B </w:t>
      </w:r>
      <w:r>
        <w:rPr>
          <w:rFonts w:hint="eastAsia"/>
        </w:rPr>
        <w:t>模块开展算法测试、回归验证和独立验收。</w:t>
      </w:r>
    </w:p>
    <w:p w14:paraId="2D847774">
      <w:pPr>
        <w:pStyle w:val="11"/>
      </w:pPr>
      <w:r>
        <w:rPr>
          <w:rFonts w:hint="eastAsia"/>
        </w:rPr>
        <w:t>测试支撑组件不替代正式</w:t>
      </w:r>
      <w:r>
        <w:t xml:space="preserve"> A/B </w:t>
      </w:r>
      <w:r>
        <w:rPr>
          <w:rFonts w:hint="eastAsia"/>
        </w:rPr>
        <w:t>模块，而是为</w:t>
      </w:r>
      <w:r>
        <w:t xml:space="preserve"> C </w:t>
      </w:r>
      <w:r>
        <w:rPr>
          <w:rFonts w:hint="eastAsia"/>
        </w:rPr>
        <w:t>包交付提供可复现的验证环境。其作用包括：提供单自由度和多自由度解析/半解析算例，提供可控的矩阵、模态和频响基准数据，模拟频率响应批量调用和时域积分调用，生成算例测试报告所需的数据表、曲线和误差比对结果。正式集成时，测试支撑组件与采购人求解服务遵循同一接口，从而降低切换成本。</w:t>
      </w:r>
    </w:p>
    <w:p w14:paraId="60F9236B">
      <w:pPr>
        <w:pStyle w:val="11"/>
      </w:pPr>
      <w:r>
        <w:rPr>
          <w:rFonts w:hint="eastAsia"/>
        </w:rPr>
        <w:t>技术路线的关键决策：</w:t>
      </w:r>
    </w:p>
    <w:p w14:paraId="2095ACAD">
      <w:pPr>
        <w:pStyle w:val="11"/>
      </w:pPr>
      <w:r>
        <w:rPr>
          <w:rFonts w:hint="eastAsia"/>
          <w:b/>
          <w:bCs/>
        </w:rPr>
        <w:t>（1）标准化模态数据作为枢纽。</w:t>
      </w:r>
      <w:r>
        <w:t xml:space="preserve"> CQC/SRSS </w:t>
      </w:r>
      <w:r>
        <w:rPr>
          <w:rFonts w:hint="eastAsia"/>
        </w:rPr>
        <w:t>功率谱和响应谱四种叠加法共享统一的模态数据结构（频率、振型、模态质量/刚度/阻尼、模态参与系数），支持</w:t>
      </w:r>
      <w:r>
        <w:t xml:space="preserve"> A </w:t>
      </w:r>
      <w:r>
        <w:rPr>
          <w:rFonts w:hint="eastAsia"/>
        </w:rPr>
        <w:t>包、采购人现有模态模块或测试基准数据接入，实现一次计算、多分析复用。</w:t>
      </w:r>
    </w:p>
    <w:p w14:paraId="20D05D2A">
      <w:pPr>
        <w:pStyle w:val="11"/>
      </w:pPr>
      <w:r>
        <w:rPr>
          <w:rFonts w:hint="eastAsia"/>
        </w:rPr>
        <w:t>模态数据统一后，功率谱分析中的模态广义力谱、响应谱分析中的模态参与系数、结果恢复中的节点/单元响应分量可以使用同一套自由度映射和归一化约定，避免同一模型在不同算法入口中重复转换。若采购人已有模态模块采用不同归一化方式，C</w:t>
      </w:r>
      <w:r>
        <w:t xml:space="preserve"> </w:t>
      </w:r>
      <w:r>
        <w:rPr>
          <w:rFonts w:hint="eastAsia"/>
        </w:rPr>
        <w:t>模块在接口层记录模态质量和归一化信息，并在算法层按统一公式转换。</w:t>
      </w:r>
    </w:p>
    <w:p w14:paraId="4D5AA024">
      <w:pPr>
        <w:pStyle w:val="11"/>
      </w:pPr>
      <w:r>
        <w:rPr>
          <w:rFonts w:hint="eastAsia"/>
          <w:b/>
          <w:bCs/>
        </w:rPr>
        <w:t>（2）频响服务与</w:t>
      </w:r>
      <w:r>
        <w:rPr>
          <w:b/>
          <w:bCs/>
        </w:rPr>
        <w:t xml:space="preserve"> PEM </w:t>
      </w:r>
      <w:r>
        <w:rPr>
          <w:rFonts w:hint="eastAsia"/>
          <w:b/>
          <w:bCs/>
        </w:rPr>
        <w:t>深度结合。</w:t>
      </w:r>
      <w:r>
        <w:t xml:space="preserve"> PEM </w:t>
      </w:r>
      <w:r>
        <w:rPr>
          <w:rFonts w:hint="eastAsia"/>
        </w:rPr>
        <w:t>将随机响应谱计算转化为一系列确定性简谐响应计算。C</w:t>
      </w:r>
      <w:r>
        <w:t xml:space="preserve"> </w:t>
      </w:r>
      <w:r>
        <w:rPr>
          <w:rFonts w:hint="eastAsia"/>
        </w:rPr>
        <w:t>模块通过统一频响服务接口批量提交虚拟激励并获取响应，使其能够复用</w:t>
      </w:r>
      <w:r>
        <w:t xml:space="preserve"> B </w:t>
      </w:r>
      <w:r>
        <w:rPr>
          <w:rFonts w:hint="eastAsia"/>
        </w:rPr>
        <w:t>包或采购人现有频率响应能力；独立测试时则由测试支撑组件提供基准频响数据或轻量化验证服务。</w:t>
      </w:r>
    </w:p>
    <w:p w14:paraId="2EEDFF06">
      <w:pPr>
        <w:pStyle w:val="11"/>
      </w:pPr>
      <w:r>
        <w:t xml:space="preserve">PEM </w:t>
      </w:r>
      <w:r>
        <w:rPr>
          <w:rFonts w:hint="eastAsia"/>
        </w:rPr>
        <w:t>的工程实现按“谱矩阵检查与分解</w:t>
      </w:r>
      <w:r>
        <w:t xml:space="preserve"> → </w:t>
      </w:r>
      <w:r>
        <w:rPr>
          <w:rFonts w:hint="eastAsia"/>
        </w:rPr>
        <w:t>虚拟激励构造</w:t>
      </w:r>
      <w:r>
        <w:t xml:space="preserve"> → </w:t>
      </w:r>
      <w:r>
        <w:rPr>
          <w:rFonts w:hint="eastAsia"/>
        </w:rPr>
        <w:t>批量频响求解</w:t>
      </w:r>
      <w:r>
        <w:t xml:space="preserve"> → </w:t>
      </w:r>
      <w:r>
        <w:rPr>
          <w:rFonts w:hint="eastAsia"/>
        </w:rPr>
        <w:t>响应谱重构</w:t>
      </w:r>
      <w:r>
        <w:t xml:space="preserve"> → RMS </w:t>
      </w:r>
      <w:r>
        <w:rPr>
          <w:rFonts w:hint="eastAsia"/>
        </w:rPr>
        <w:t>后处理”的流程组织。接口层支持按频点、按激励分量和按响应集合批量提交任务；算法层记录谱分解方法、有效秩、截断阈值和被舍弃谱能量，便于算例报告追溯。</w:t>
      </w:r>
    </w:p>
    <w:p w14:paraId="10350495">
      <w:pPr>
        <w:pStyle w:val="11"/>
      </w:pPr>
      <w:r>
        <w:rPr>
          <w:rFonts w:hint="eastAsia"/>
          <w:b/>
          <w:bCs/>
        </w:rPr>
        <w:t>（3）面向大规模数据的接口设计。</w:t>
      </w:r>
      <w:r>
        <w:t xml:space="preserve"> </w:t>
      </w:r>
      <w:r>
        <w:rPr>
          <w:rFonts w:hint="eastAsia"/>
        </w:rPr>
        <w:t>矩阵和谱数据接口支持稀疏存储、批量频点、分块输出及按需提取，避免不必要的数据复制；具体模态、频响和时域求解算法由所接入的</w:t>
      </w:r>
      <w:r>
        <w:t xml:space="preserve"> A/B </w:t>
      </w:r>
      <w:r>
        <w:rPr>
          <w:rFonts w:hint="eastAsia"/>
        </w:rPr>
        <w:t>模块或采购人求解服务负责。</w:t>
      </w:r>
    </w:p>
    <w:p w14:paraId="3B1B661E">
      <w:pPr>
        <w:pStyle w:val="11"/>
      </w:pPr>
      <w:r>
        <w:rPr>
          <w:rFonts w:hint="eastAsia"/>
        </w:rPr>
        <w:t>对于工程规模模型，C</w:t>
      </w:r>
      <w:r>
        <w:t xml:space="preserve"> </w:t>
      </w:r>
      <w:r>
        <w:rPr>
          <w:rFonts w:hint="eastAsia"/>
        </w:rPr>
        <w:t>模块默认以“只计算用户请求的响应集合”为原则，不强制输出全自由度全频点全矩阵结果。功率谱和时变统计量可按频段、工况、响应位置分块组织；结果恢复阶段按节点、单元和响应分量进行选择性计算，减少内存占用和文件输出压力。</w:t>
      </w:r>
    </w:p>
    <w:p w14:paraId="5F151C8B">
      <w:pPr>
        <w:pStyle w:val="11"/>
      </w:pPr>
      <w:r>
        <w:rPr>
          <w:rFonts w:hint="eastAsia"/>
          <w:b/>
          <w:bCs/>
        </w:rPr>
        <w:t>（4）多工况组织。</w:t>
      </w:r>
      <w:r>
        <w:t xml:space="preserve"> </w:t>
      </w:r>
      <w:r>
        <w:rPr>
          <w:rFonts w:hint="eastAsia"/>
        </w:rPr>
        <w:t>激励谱、反应谱、约束集合以“工况（Case）”对象组织，支持单次建模、多工况批量求解与分组导出，满足招标对多工况计算组织的要求。</w:t>
      </w:r>
    </w:p>
    <w:p w14:paraId="1E7ABE51">
      <w:pPr>
        <w:pStyle w:val="11"/>
      </w:pPr>
      <w:r>
        <w:rPr>
          <w:rFonts w:hint="eastAsia"/>
        </w:rPr>
        <w:t>多工况组织同时服务于验收测试和工程使用：同一模型可以配置不同输入功率谱、不同调制函数、不同反应谱曲线、不同支座分组和不同响应提取集合；批量计算过程中保留工况标识、算法参数、频率/时间网格和结果文件索引，保证结果可追溯、可复跑、可比对。</w:t>
      </w:r>
    </w:p>
    <w:bookmarkEnd w:id="10"/>
    <w:p w14:paraId="423A6EB2">
      <w:pPr>
        <w:pStyle w:val="4"/>
      </w:pPr>
      <w:bookmarkStart w:id="11" w:name="软件总体架构设计"/>
      <w:r>
        <w:t xml:space="preserve">2.2 </w:t>
      </w:r>
      <w:r>
        <w:rPr>
          <w:rFonts w:hint="eastAsia"/>
        </w:rPr>
        <w:t>软件总体架构设计</w:t>
      </w:r>
    </w:p>
    <w:p w14:paraId="6FCAF988">
      <w:pPr>
        <w:pStyle w:val="70"/>
      </w:pPr>
      <w:r>
        <w:rPr>
          <w:rFonts w:hint="eastAsia"/>
        </w:rPr>
        <w:t>模块采用自下而上四层架构，各层接口明确、可独立测试：</w:t>
      </w:r>
    </w:p>
    <w:p w14:paraId="0D87C110">
      <w:pPr>
        <w:pStyle w:val="11"/>
      </w:pPr>
      <w:r>
        <w:rPr>
          <w:b/>
          <w:bCs/>
        </w:rPr>
        <w:t xml:space="preserve">Layer 0 —— </w:t>
      </w:r>
      <w:r>
        <w:rPr>
          <w:rFonts w:hint="eastAsia"/>
          <w:b/>
          <w:bCs/>
        </w:rPr>
        <w:t>数据协议与适配层。</w:t>
      </w:r>
    </w:p>
    <w:p w14:paraId="37E6BBA8">
      <w:pPr>
        <w:pStyle w:val="11"/>
      </w:pPr>
      <w:r>
        <w:rPr>
          <w:rFonts w:hint="eastAsia"/>
        </w:rPr>
        <w:t>（1）定义模型标识、自由度映射、矩阵、模态、随机激励谱、反应谱、工况及结果数据协议，并提供输入完整性、维度一致性、单位和频率网格校验；</w:t>
      </w:r>
    </w:p>
    <w:p w14:paraId="464EB63E">
      <w:pPr>
        <w:pStyle w:val="11"/>
      </w:pPr>
      <w:r>
        <w:rPr>
          <w:rFonts w:hint="eastAsia"/>
        </w:rPr>
        <w:t>（2）通过适配器与采购人现有模型和结果数据格式衔接。投标阶段提供初步数据协议和接口定义；合同实施后结合采购人既有数据结构完成字段映射、格式适配和接口版本固化，避免将</w:t>
      </w:r>
      <w:r>
        <w:t xml:space="preserve"> C </w:t>
      </w:r>
      <w:r>
        <w:rPr>
          <w:rFonts w:hint="eastAsia"/>
        </w:rPr>
        <w:t>模块绑定于单一前后处理格式。</w:t>
      </w:r>
    </w:p>
    <w:p w14:paraId="053C3F3E">
      <w:pPr>
        <w:pStyle w:val="11"/>
      </w:pPr>
      <w:r>
        <w:rPr>
          <w:rFonts w:hint="eastAsia"/>
        </w:rPr>
        <w:t>该层重点解决“数据能否被可信读取和解释”的问题。对矩阵数据，检查维度、对称性/稀疏格式、自由度顺序和约束处理状态；对模态数据，检查频率、振型、模态质量、阻尼比和归一化信息是否齐备；对谱数据，检查频率网格、自/互功率谱矩阵维度、Hermitian</w:t>
      </w:r>
      <w:r>
        <w:t xml:space="preserve"> </w:t>
      </w:r>
      <w:r>
        <w:rPr>
          <w:rFonts w:hint="eastAsia"/>
        </w:rPr>
        <w:t>性和半正定性；对反应谱，检查谱类型、阻尼比、插值方式和单位。所有检查结果进入算例测试记录，作为可验收材料的一部分。</w:t>
      </w:r>
    </w:p>
    <w:p w14:paraId="3B76862C">
      <w:pPr>
        <w:pStyle w:val="11"/>
      </w:pPr>
      <w:r>
        <w:rPr>
          <w:b/>
          <w:bCs/>
        </w:rPr>
        <w:t xml:space="preserve">Layer 1 —— </w:t>
      </w:r>
      <w:r>
        <w:rPr>
          <w:rFonts w:hint="eastAsia"/>
          <w:b/>
          <w:bCs/>
        </w:rPr>
        <w:t>模型适配与分析数据准备层。</w:t>
      </w:r>
      <w:r>
        <w:t xml:space="preserve"> </w:t>
      </w:r>
      <w:r>
        <w:rPr>
          <w:rFonts w:hint="eastAsia"/>
        </w:rPr>
        <w:t>承接杆/梁、二维剪切单元与壳、实体、刚性及物理连接、质量、阻尼、材料和约束等模型信息，建立其与随机振动分析所需矩阵、模态、响应位置及载荷通道之间的映射，并维护节点、单元和响应分量对应的结果恢复关系。基础运动激励通过强制位移/基础运动输入通道传递至随机振动和响应谱分析。</w:t>
      </w:r>
    </w:p>
    <w:p w14:paraId="092AB8A6">
      <w:pPr>
        <w:pStyle w:val="11"/>
      </w:pPr>
      <w:r>
        <w:rPr>
          <w:rFonts w:hint="eastAsia"/>
        </w:rPr>
        <w:t>该层不重新实现通用有限元单元库，而是面向随机振动分析准备所需数据：把模型自由度、输入通道、支座分组、响应提取位置和单元结果恢复算子整理为算法层可直接调用的数据对象。对连接、质量、阻尼、材料和约束等模型能力，重点保证其形成的矩阵、模态和结果恢复关系能够完整传递到功率谱、非平稳随机和响应谱分析中。</w:t>
      </w:r>
    </w:p>
    <w:p w14:paraId="2136CF6A">
      <w:pPr>
        <w:pStyle w:val="11"/>
      </w:pPr>
      <w:r>
        <w:rPr>
          <w:b/>
          <w:bCs/>
        </w:rPr>
        <w:t xml:space="preserve">Layer 2 —— </w:t>
      </w:r>
      <w:r>
        <w:rPr>
          <w:rFonts w:hint="eastAsia"/>
          <w:b/>
          <w:bCs/>
        </w:rPr>
        <w:t>支撑求解服务接口层。</w:t>
      </w:r>
      <w:r>
        <w:t xml:space="preserve"> </w:t>
      </w:r>
      <w:r>
        <w:rPr>
          <w:rFonts w:hint="eastAsia"/>
        </w:rPr>
        <w:t>定义模态数据获取、频率响应批量求解和时域积分调用接口，可接入</w:t>
      </w:r>
      <w:r>
        <w:t xml:space="preserve"> A </w:t>
      </w:r>
      <w:r>
        <w:rPr>
          <w:rFonts w:hint="eastAsia"/>
        </w:rPr>
        <w:t>包、B</w:t>
      </w:r>
      <w:r>
        <w:t xml:space="preserve"> </w:t>
      </w:r>
      <w:r>
        <w:rPr>
          <w:rFonts w:hint="eastAsia"/>
        </w:rPr>
        <w:t>包或采购人现有求解器；测试支撑组件按照同一接口提供基准数据和轻量化验证服务，以保证接口可独立测试。</w:t>
      </w:r>
    </w:p>
    <w:p w14:paraId="72B6A5DC">
      <w:pPr>
        <w:pStyle w:val="11"/>
      </w:pPr>
      <w:r>
        <w:rPr>
          <w:rFonts w:hint="eastAsia"/>
        </w:rPr>
        <w:t>该层是</w:t>
      </w:r>
      <w:r>
        <w:t xml:space="preserve"> C </w:t>
      </w:r>
      <w:r>
        <w:rPr>
          <w:rFonts w:hint="eastAsia"/>
        </w:rPr>
        <w:t>包复用</w:t>
      </w:r>
      <w:r>
        <w:t xml:space="preserve"> A/B </w:t>
      </w:r>
      <w:r>
        <w:rPr>
          <w:rFonts w:hint="eastAsia"/>
        </w:rPr>
        <w:t>包能力的关键。模态数据服务提供频率、振型、模态质量、阻尼和参与系数；频响服务接收频点、虚拟激励和响应请求，返回指定响应量的复频响结果；时域积分服务接收时变虚拟激励、时间步长和输出请求，返回时变响应历程或统计重构所需数据。接口只规定</w:t>
      </w:r>
      <w:r>
        <w:t xml:space="preserve"> C </w:t>
      </w:r>
      <w:r>
        <w:rPr>
          <w:rFonts w:hint="eastAsia"/>
        </w:rPr>
        <w:t>包所需的数据契约，不限制采购人内部采用直接法、模态法、稀疏求解器或其他实现。</w:t>
      </w:r>
    </w:p>
    <w:p w14:paraId="799DAC07">
      <w:pPr>
        <w:pStyle w:val="11"/>
      </w:pPr>
      <w:r>
        <w:rPr>
          <w:b/>
          <w:bCs/>
        </w:rPr>
        <w:t xml:space="preserve">Layer 3 —— </w:t>
      </w:r>
      <w:r>
        <w:rPr>
          <w:rFonts w:hint="eastAsia"/>
          <w:b/>
          <w:bCs/>
        </w:rPr>
        <w:t>随机振动算法与应用接口层。</w:t>
      </w:r>
      <w:r>
        <w:t xml:space="preserve"> </w:t>
      </w:r>
      <w:r>
        <w:rPr>
          <w:rFonts w:hint="eastAsia"/>
        </w:rPr>
        <w:t>实现</w:t>
      </w:r>
      <w:r>
        <w:t xml:space="preserve"> 2.1 </w:t>
      </w:r>
      <w:r>
        <w:rPr>
          <w:rFonts w:hint="eastAsia"/>
        </w:rPr>
        <w:t>节三类算法库，组织分析工况、算法参数和结果提取；对外提供稳定的库调用接口及测试驱动，支持框架集成、独立算例验证和批量回归测试。</w:t>
      </w:r>
    </w:p>
    <w:p w14:paraId="458B1B1C">
      <w:pPr>
        <w:pStyle w:val="11"/>
      </w:pPr>
      <w:r>
        <w:rPr>
          <w:rFonts w:hint="eastAsia"/>
        </w:rPr>
        <w:t>该层面向用户分析任务组织计算流程：平稳随机振动按</w:t>
      </w:r>
      <w:r>
        <w:t xml:space="preserve"> CQC/SRSS/PEM </w:t>
      </w:r>
      <w:r>
        <w:rPr>
          <w:rFonts w:hint="eastAsia"/>
        </w:rPr>
        <w:t>计算响应功率谱和</w:t>
      </w:r>
      <w:r>
        <w:t xml:space="preserve"> </w:t>
      </w:r>
      <w:r>
        <w:rPr>
          <w:rFonts w:hint="eastAsia"/>
        </w:rPr>
        <w:t>RMS；非平稳随机振动按演变功率谱和时域虚拟激励计算时变</w:t>
      </w:r>
      <w:r>
        <w:t xml:space="preserve"> RMS </w:t>
      </w:r>
      <w:r>
        <w:rPr>
          <w:rFonts w:hint="eastAsia"/>
        </w:rPr>
        <w:t>与概率密度；响应谱分析按单点/多点激励和四种组合规则计算峰值响应。算法层同时生成日志、参数摘要和误差比对信息，便于第三章各</w:t>
      </w:r>
      <w:r>
        <w:t xml:space="preserve"> ▲ </w:t>
      </w:r>
      <w:r>
        <w:rPr>
          <w:rFonts w:hint="eastAsia"/>
        </w:rPr>
        <w:t>条款形成算法说明和算例报告。</w:t>
      </w:r>
    </w:p>
    <w:bookmarkEnd w:id="11"/>
    <w:p w14:paraId="33A14710">
      <w:pPr>
        <w:pStyle w:val="4"/>
      </w:pPr>
      <w:bookmarkStart w:id="12" w:name="与采购人自研求解器框架的集成方案"/>
      <w:r>
        <w:t xml:space="preserve">2.3 </w:t>
      </w:r>
      <w:r>
        <w:rPr>
          <w:rFonts w:hint="eastAsia"/>
        </w:rPr>
        <w:t>与采购人自研求解器框架的集成方案</w:t>
      </w:r>
    </w:p>
    <w:p w14:paraId="4B56AC51">
      <w:pPr>
        <w:pStyle w:val="70"/>
      </w:pPr>
      <w:r>
        <w:rPr>
          <w:rFonts w:hint="eastAsia"/>
        </w:rPr>
        <w:t>为保证“接口清晰、可嵌入自研国产求解器框架”，我方承诺：</w:t>
      </w:r>
    </w:p>
    <w:p w14:paraId="4C6232A0">
      <w:pPr>
        <w:pStyle w:val="11"/>
      </w:pPr>
      <w:r>
        <w:rPr>
          <w:rFonts w:hint="eastAsia"/>
        </w:rPr>
        <w:t>（1）</w:t>
      </w:r>
      <w:r>
        <w:rPr>
          <w:rFonts w:hint="eastAsia"/>
          <w:b/>
          <w:bCs/>
        </w:rPr>
        <w:t>纯库交付</w:t>
      </w:r>
      <w:r>
        <w:rPr>
          <w:rFonts w:hint="eastAsia"/>
        </w:rPr>
        <w:t>：源代码</w:t>
      </w:r>
      <w:r>
        <w:t xml:space="preserve"> + CMake </w:t>
      </w:r>
      <w:r>
        <w:rPr>
          <w:rFonts w:hint="eastAsia"/>
        </w:rPr>
        <w:t>构建脚本交付，编译产物为静态/动态库，不捆绑</w:t>
      </w:r>
      <w:r>
        <w:t xml:space="preserve"> </w:t>
      </w:r>
      <w:r>
        <w:rPr>
          <w:rFonts w:hint="eastAsia"/>
        </w:rPr>
        <w:t>GUI、不依赖商业组件；第三方依赖仅限可再分发的开源数值库，随源码一并交付并锁定版本；</w:t>
      </w:r>
    </w:p>
    <w:p w14:paraId="307AD7E0">
      <w:pPr>
        <w:pStyle w:val="11"/>
      </w:pPr>
      <w:r>
        <w:rPr>
          <w:rFonts w:hint="eastAsia"/>
        </w:rPr>
        <w:t>（2）</w:t>
      </w:r>
      <w:r>
        <w:rPr>
          <w:rFonts w:hint="eastAsia"/>
          <w:b/>
          <w:bCs/>
        </w:rPr>
        <w:t>两类调用方式</w:t>
      </w:r>
      <w:r>
        <w:rPr>
          <w:rFonts w:hint="eastAsia"/>
        </w:rPr>
        <w:t>：数据注入方式——采购人框架直接提供</w:t>
      </w:r>
      <w:r>
        <w:t xml:space="preserve"> </w:t>
      </w:r>
      <m:oMath>
        <m:r>
          <m:rPr>
            <m:sty m:val="bi"/>
          </m:rPr>
          <m:t>M</m:t>
        </m:r>
      </m:oMath>
      <w:r>
        <w:t>/</w:t>
      </w:r>
      <m:oMath>
        <m:r>
          <m:rPr>
            <m:sty m:val="bi"/>
          </m:rPr>
          <m:t>C</m:t>
        </m:r>
      </m:oMath>
      <w:r>
        <w:t>/</w:t>
      </w:r>
      <m:oMath>
        <m:r>
          <m:rPr>
            <m:sty m:val="bi"/>
          </m:rPr>
          <m:t>K</m:t>
        </m:r>
      </m:oMath>
      <w:r>
        <w:rPr>
          <w:rFonts w:hint="eastAsia"/>
        </w:rPr>
        <w:t>、模态及载荷谱等数据；服务调用方式——C</w:t>
      </w:r>
      <w:r>
        <w:t xml:space="preserve"> </w:t>
      </w:r>
      <w:r>
        <w:rPr>
          <w:rFonts w:hint="eastAsia"/>
        </w:rPr>
        <w:t>模块通过标准接口调用采购人或</w:t>
      </w:r>
      <w:r>
        <w:t xml:space="preserve"> A/B </w:t>
      </w:r>
      <w:r>
        <w:rPr>
          <w:rFonts w:hint="eastAsia"/>
        </w:rPr>
        <w:t>模块提供的模态、频响和时域求解服务；</w:t>
      </w:r>
    </w:p>
    <w:p w14:paraId="5242AB87">
      <w:pPr>
        <w:pStyle w:val="11"/>
      </w:pPr>
      <w:r>
        <w:rPr>
          <w:rFonts w:hint="eastAsia"/>
        </w:rPr>
        <w:t>数据注入方式适用于采购人已有矩阵、模态或频响结果的场景，便于快速开展</w:t>
      </w:r>
      <w:r>
        <w:t xml:space="preserve"> C </w:t>
      </w:r>
      <w:r>
        <w:rPr>
          <w:rFonts w:hint="eastAsia"/>
        </w:rPr>
        <w:t>包独立验收、算法比对和科研验证；服务调用方式适用于最终统一求解器集成场景，C</w:t>
      </w:r>
      <w:r>
        <w:t xml:space="preserve"> </w:t>
      </w:r>
      <w:r>
        <w:rPr>
          <w:rFonts w:hint="eastAsia"/>
        </w:rPr>
        <w:t>模块仅发起模态、频响或时域积分请求，由采购人框架调度底层求解器完成计算。两种方式共享同一套工况描述和结果格式，保证从独立验收到整体集成的迁移路径平滑。</w:t>
      </w:r>
    </w:p>
    <w:p w14:paraId="697828C4">
      <w:pPr>
        <w:pStyle w:val="11"/>
      </w:pPr>
      <w:r>
        <w:rPr>
          <w:rFonts w:hint="eastAsia"/>
        </w:rPr>
        <w:t>（3）</w:t>
      </w:r>
      <w:r>
        <w:rPr>
          <w:rFonts w:hint="eastAsia"/>
          <w:b/>
          <w:bCs/>
        </w:rPr>
        <w:t>数据协议文档化</w:t>
      </w:r>
      <w:r>
        <w:rPr>
          <w:rFonts w:hint="eastAsia"/>
        </w:rPr>
        <w:t>：投标阶段提供初步接口规范；交付时形成经联调确认并完成版本固化的正式接口文档和示例代码，覆盖矩阵格式、模型与自由度映射、模态数据结构、求解服务接口、激励谱/反应谱、结果恢复及结果数据结构；</w:t>
      </w:r>
    </w:p>
    <w:p w14:paraId="57D0D249">
      <w:pPr>
        <w:pStyle w:val="11"/>
      </w:pPr>
      <w:r>
        <w:rPr>
          <w:rFonts w:hint="eastAsia"/>
        </w:rPr>
        <w:t>正式接口文档将至少说明：输入对象的字段含义、维度约定、单位约定、坐标与自由度编号规则、谱数据归一化约定、频率/时间网格、错误码和日志输出；示例代码覆盖平稳功率谱、非平稳时变</w:t>
      </w:r>
      <w:r>
        <w:t xml:space="preserve"> RMS </w:t>
      </w:r>
      <w:r>
        <w:rPr>
          <w:rFonts w:hint="eastAsia"/>
        </w:rPr>
        <w:t>和响应谱组合三个典型调用流程。接口版本固化后，后续字段扩展采用兼容方式进行，避免影响已验收算例复跑。</w:t>
      </w:r>
    </w:p>
    <w:p w14:paraId="4DD94A4E">
      <w:pPr>
        <w:pStyle w:val="11"/>
      </w:pPr>
      <w:r>
        <w:rPr>
          <w:rFonts w:hint="eastAsia"/>
        </w:rPr>
        <w:t>（4）</w:t>
      </w:r>
      <w:r>
        <w:rPr>
          <w:rFonts w:hint="eastAsia"/>
          <w:b/>
          <w:bCs/>
        </w:rPr>
        <w:t>联调支持</w:t>
      </w:r>
      <w:r>
        <w:rPr>
          <w:rFonts w:hint="eastAsia"/>
        </w:rPr>
        <w:t>：交付期内安排专人与采购人研发团队按指定编译环境（含国产软硬件平台）完成构建与联调验证。</w:t>
      </w:r>
    </w:p>
    <w:p w14:paraId="0BB4B6E2">
      <w:pPr>
        <w:pStyle w:val="11"/>
      </w:pPr>
      <w:r>
        <w:rPr>
          <w:rFonts w:hint="eastAsia"/>
        </w:rPr>
        <w:t>联调按“编译通过</w:t>
      </w:r>
      <w:r>
        <w:t xml:space="preserve"> → </w:t>
      </w:r>
      <w:r>
        <w:rPr>
          <w:rFonts w:hint="eastAsia"/>
        </w:rPr>
        <w:t>接口样例通过</w:t>
      </w:r>
      <w:r>
        <w:t xml:space="preserve"> → </w:t>
      </w:r>
      <w:r>
        <w:rPr>
          <w:rFonts w:hint="eastAsia"/>
        </w:rPr>
        <w:t>标准算例通过</w:t>
      </w:r>
      <w:r>
        <w:t xml:space="preserve"> → </w:t>
      </w:r>
      <w:r>
        <w:rPr>
          <w:rFonts w:hint="eastAsia"/>
        </w:rPr>
        <w:t>工程模型试算</w:t>
      </w:r>
      <w:r>
        <w:t xml:space="preserve"> → </w:t>
      </w:r>
      <w:r>
        <w:rPr>
          <w:rFonts w:hint="eastAsia"/>
        </w:rPr>
        <w:t>问题闭环”的顺序推进。每一轮联调保留环境信息、编译日志、输入数据摘要、结果摘要和问题处理记录，确保交付过程可追溯。对国产软硬件平台，重点验证编译链、数值库、文件路径、浮点差异和批量算例运行稳定性。</w:t>
      </w:r>
    </w:p>
    <w:bookmarkEnd w:id="12"/>
    <w:p w14:paraId="12D4C6F3">
      <w:pPr>
        <w:pStyle w:val="4"/>
      </w:pPr>
      <w:bookmarkStart w:id="13" w:name="质量保证与验证体系"/>
      <w:r>
        <w:t xml:space="preserve">2.4 </w:t>
      </w:r>
      <w:r>
        <w:rPr>
          <w:rFonts w:hint="eastAsia"/>
        </w:rPr>
        <w:t>质量保证与验证体系</w:t>
      </w:r>
    </w:p>
    <w:p w14:paraId="65A3FF3C">
      <w:pPr>
        <w:pStyle w:val="70"/>
      </w:pPr>
      <w:r>
        <w:rPr>
          <w:rFonts w:hint="eastAsia"/>
        </w:rPr>
        <w:t>（1）</w:t>
      </w:r>
      <w:r>
        <w:rPr>
          <w:rFonts w:hint="eastAsia"/>
          <w:b/>
          <w:bCs/>
        </w:rPr>
        <w:t>三级算例验证</w:t>
      </w:r>
      <w:r>
        <w:rPr>
          <w:rFonts w:hint="eastAsia"/>
        </w:rPr>
        <w:t>：解析解算例（单自由度系统白噪声响应等有闭式解的问题）→</w:t>
      </w:r>
      <w:r>
        <w:t xml:space="preserve"> </w:t>
      </w:r>
      <w:r>
        <w:rPr>
          <w:rFonts w:hint="eastAsia"/>
        </w:rPr>
        <w:t>标准基准算例</w:t>
      </w:r>
      <w:r>
        <w:t xml:space="preserve"> → </w:t>
      </w:r>
      <w:r>
        <w:rPr>
          <w:rFonts w:hint="eastAsia"/>
        </w:rPr>
        <w:t>工程规模算例（复杂混合网格、多点激励），每个</w:t>
      </w:r>
      <w:r>
        <w:t xml:space="preserve"> ▲ </w:t>
      </w:r>
      <w:r>
        <w:rPr>
          <w:rFonts w:hint="eastAsia"/>
        </w:rPr>
        <w:t>算法条款至少覆盖前两级；</w:t>
      </w:r>
    </w:p>
    <w:p w14:paraId="399FFAD3">
      <w:pPr>
        <w:pStyle w:val="11"/>
      </w:pPr>
      <w:r>
        <w:rPr>
          <w:rFonts w:hint="eastAsia"/>
        </w:rPr>
        <w:t>第一级解析解算例用于核对公式、单位、谱归一化、频率积分和响应</w:t>
      </w:r>
      <w:r>
        <w:t xml:space="preserve"> </w:t>
      </w:r>
      <w:r>
        <w:rPr>
          <w:rFonts w:hint="eastAsia"/>
        </w:rPr>
        <w:t>RMS；第二级标准基准算例用于核对多自由度模态叠加、输入通道相关性、响应位置恢复和响应谱组合；第三级工程规模算例用于核对混合网格、复杂连接、多支座激励、大规模频率网格和结果导出的工程可用性。每类算例均记录输入数据、算法参数、结果曲线、误差指标和结论。</w:t>
      </w:r>
    </w:p>
    <w:p w14:paraId="2B7BDA28">
      <w:pPr>
        <w:pStyle w:val="11"/>
      </w:pPr>
      <w:r>
        <w:rPr>
          <w:rFonts w:hint="eastAsia"/>
        </w:rPr>
        <w:t>（2）</w:t>
      </w:r>
      <w:r>
        <w:rPr>
          <w:rFonts w:hint="eastAsia"/>
          <w:b/>
          <w:bCs/>
        </w:rPr>
        <w:t>交叉校核</w:t>
      </w:r>
      <w:r>
        <w:rPr>
          <w:rFonts w:hint="eastAsia"/>
        </w:rPr>
        <w:t>：CQC</w:t>
      </w:r>
      <w:r>
        <w:t xml:space="preserve"> </w:t>
      </w:r>
      <w:r>
        <w:rPr>
          <w:rFonts w:hint="eastAsia"/>
        </w:rPr>
        <w:t>与</w:t>
      </w:r>
      <w:r>
        <w:t xml:space="preserve"> PEM </w:t>
      </w:r>
      <w:r>
        <w:rPr>
          <w:rFonts w:hint="eastAsia"/>
        </w:rPr>
        <w:t>在同一算例上互校，频域平稳极限与时域非平稳长时解互校，蒙特卡洛抽样作为随机响应统计量的参考解；响应谱组合（SRSS/NRL/GRP/CQC）因给出峰值估计而非完整时程，在典型工况中与线性时程峰值包络或规范基准结果进行对照核验；</w:t>
      </w:r>
    </w:p>
    <w:p w14:paraId="67457679">
      <w:pPr>
        <w:pStyle w:val="11"/>
      </w:pPr>
      <w:r>
        <w:rPr>
          <w:rFonts w:hint="eastAsia"/>
        </w:rPr>
        <w:t>（3）</w:t>
      </w:r>
      <w:r>
        <w:rPr>
          <w:rFonts w:hint="eastAsia"/>
          <w:b/>
          <w:bCs/>
        </w:rPr>
        <w:t>自动回归</w:t>
      </w:r>
      <w:r>
        <w:rPr>
          <w:rFonts w:hint="eastAsia"/>
        </w:rPr>
        <w:t>：全部算例纳入自动化回归测试集，每次代码变更后全量运行；</w:t>
      </w:r>
    </w:p>
    <w:p w14:paraId="156BDB6E">
      <w:pPr>
        <w:pStyle w:val="11"/>
      </w:pPr>
      <w:r>
        <w:rPr>
          <w:rFonts w:hint="eastAsia"/>
        </w:rPr>
        <w:t>自动回归测试覆盖接口读取、数据校验、功率谱算法、非平稳算法、响应谱组合、结果导出和报告生成。对随机样本统计类校核，固定随机种子、样本规模和误差统计方式；对跨平台浮点差异，采用相对误差、归一化均方误差等数值容差判定，而不要求逐位二进制一致。回归结果形成日志和汇总表，可在采购人环境下复跑。</w:t>
      </w:r>
    </w:p>
    <w:p w14:paraId="67994DFD">
      <w:pPr>
        <w:pStyle w:val="11"/>
      </w:pPr>
      <w:r>
        <w:rPr>
          <w:rFonts w:hint="eastAsia"/>
        </w:rPr>
        <w:t>（4）</w:t>
      </w:r>
      <w:r>
        <w:rPr>
          <w:rFonts w:hint="eastAsia"/>
          <w:b/>
          <w:bCs/>
        </w:rPr>
        <w:t>文档交付</w:t>
      </w:r>
      <w:r>
        <w:rPr>
          <w:rFonts w:hint="eastAsia"/>
        </w:rPr>
        <w:t>：算法原理手册、用户手册（中文）、接口文档、算例报告随软件一并交付。</w:t>
      </w:r>
    </w:p>
    <w:p w14:paraId="7043EFE2">
      <w:pPr>
        <w:pStyle w:val="11"/>
      </w:pPr>
      <w:r>
        <w:rPr>
          <w:rFonts w:hint="eastAsia"/>
        </w:rPr>
        <w:t>文档体系与代码和算例同步组织。算法原理手册说明公式、适用假设、输入输出和数值流程；用户手册说明工况配置、运行步骤和结果解释；接口文档说明数据协议和调用方式；算例报告说明模型、参数、计算过程、结果曲线和误差结论。上述文档共同支撑采购人后续维护、二次开发和验收复查。</w:t>
      </w:r>
    </w:p>
    <w:p w14:paraId="1060FCDE">
      <w:pPr>
        <w:pStyle w:val="11"/>
      </w:pPr>
      <w:r>
        <w:rPr>
          <w:rFonts w:hint="eastAsia"/>
        </w:rPr>
        <w:t>为使验收具有可操作性，本方案在算例报告中设置量化比对指标：功率谱峰值频率和峰值幅值、RMS</w:t>
      </w:r>
      <w:r>
        <w:t xml:space="preserve"> </w:t>
      </w:r>
      <w:r>
        <w:rPr>
          <w:rFonts w:hint="eastAsia"/>
        </w:rPr>
        <w:t>相对误差、PEM</w:t>
      </w:r>
      <w:r>
        <w:t xml:space="preserve"> </w:t>
      </w:r>
      <w:r>
        <w:rPr>
          <w:rFonts w:hint="eastAsia"/>
        </w:rPr>
        <w:t>与</w:t>
      </w:r>
      <w:r>
        <w:t xml:space="preserve"> CQC </w:t>
      </w:r>
      <w:r>
        <w:rPr>
          <w:rFonts w:hint="eastAsia"/>
        </w:rPr>
        <w:t>关键响应量差异、非平稳时变标准差曲线误差、概率密度与样本统计结果差异、响应谱组合峰值差异等。具体阈值在合同实施和验收方案确认阶段与采购人共同固化；投标阶段原则上采用“解析解或基准解可解释、算法间交叉校核一致、工程算例趋势合理、回归测试可复现”的判定口径。</w:t>
      </w:r>
    </w:p>
    <w:bookmarkEnd w:id="13"/>
    <w:p w14:paraId="4E4AE153">
      <w:pPr>
        <w:pStyle w:val="4"/>
      </w:pPr>
      <w:bookmarkStart w:id="14" w:name="小结-1"/>
      <w:r>
        <w:t xml:space="preserve">2.5 </w:t>
      </w:r>
      <w:r>
        <w:rPr>
          <w:rFonts w:hint="eastAsia"/>
        </w:rPr>
        <w:t>小结</w:t>
      </w:r>
    </w:p>
    <w:p w14:paraId="588FAD8F">
      <w:pPr>
        <w:pStyle w:val="70"/>
      </w:pPr>
      <w:r>
        <w:rPr>
          <w:rFonts w:hint="eastAsia"/>
        </w:rPr>
        <w:t>总体方案以“标准支撑接口</w:t>
      </w:r>
      <w:r>
        <w:t xml:space="preserve"> + </w:t>
      </w:r>
      <w:r>
        <w:rPr>
          <w:rFonts w:hint="eastAsia"/>
        </w:rPr>
        <w:t>三类算法库</w:t>
      </w:r>
      <w:r>
        <w:t xml:space="preserve"> + </w:t>
      </w:r>
      <w:r>
        <w:rPr>
          <w:rFonts w:hint="eastAsia"/>
        </w:rPr>
        <w:t>测试支撑组件”为主线组织</w:t>
      </w:r>
      <w:r>
        <w:t xml:space="preserve"> C </w:t>
      </w:r>
      <w:r>
        <w:rPr>
          <w:rFonts w:hint="eastAsia"/>
        </w:rPr>
        <w:t>包实施：标准支撑接口保证</w:t>
      </w:r>
      <w:r>
        <w:t xml:space="preserve"> C </w:t>
      </w:r>
      <w:r>
        <w:rPr>
          <w:rFonts w:hint="eastAsia"/>
        </w:rPr>
        <w:t>模块既能独立验收又能嵌入采购人统一求解器；三类算法库覆盖平稳随机振动、非平稳随机振动和响应谱分析全部核心功能；测试支撑组件、三级算例、交叉校核和自动回归共同保证算法结果可解释、可复跑、可验收。</w:t>
      </w:r>
    </w:p>
    <w:p w14:paraId="180EF327">
      <w:pPr>
        <w:pStyle w:val="11"/>
      </w:pPr>
      <w:r>
        <w:rPr>
          <w:rFonts w:hint="eastAsia"/>
        </w:rPr>
        <w:t>通过上述方案，C</w:t>
      </w:r>
      <w:r>
        <w:t xml:space="preserve"> </w:t>
      </w:r>
      <w:r>
        <w:rPr>
          <w:rFonts w:hint="eastAsia"/>
        </w:rPr>
        <w:t>包在工程边界上不重复建设完整有限元前处理、模态求解和确定性动力响应求解能力，而是通过数据协议和服务接口充分复用采购人现有能力或</w:t>
      </w:r>
      <w:r>
        <w:t xml:space="preserve"> A/B </w:t>
      </w:r>
      <w:r>
        <w:rPr>
          <w:rFonts w:hint="eastAsia"/>
        </w:rPr>
        <w:t>包成果；在软件形态上以纯算法库、接口文档、示例代码和算例报告交付；在质量控制上以可量化的基准比对和回归测试支撑第三章全部</w:t>
      </w:r>
      <w:r>
        <w:t xml:space="preserve"> ★/▲ </w:t>
      </w:r>
      <w:r>
        <w:rPr>
          <w:rFonts w:hint="eastAsia"/>
        </w:rPr>
        <w:t>条款的逐条响应。</w:t>
      </w:r>
    </w:p>
    <w:p w14:paraId="235D9D5B">
      <w:r>
        <w:pict>
          <v:rect id="_x0000_i1026" o:spt="1" style="height:1.5pt;width:0pt;" coordsize="21600,21600" o:hr="t" o:hrstd="t" o:hralign="center">
            <v:path/>
            <v:fill focussize="0,0"/>
            <v:stroke/>
            <v:imagedata o:title=""/>
            <o:lock v:ext="edit"/>
            <w10:wrap type="none"/>
            <w10:anchorlock/>
          </v:rect>
        </w:pict>
      </w:r>
    </w:p>
    <w:bookmarkEnd w:id="9"/>
    <w:bookmarkEnd w:id="14"/>
    <w:p w14:paraId="3D01CD4E">
      <w:pPr>
        <w:pStyle w:val="3"/>
      </w:pPr>
      <w:bookmarkStart w:id="15" w:name="三功能要求响应与实现方案"/>
      <w:r>
        <w:rPr>
          <w:rFonts w:hint="eastAsia"/>
        </w:rPr>
        <w:t>三、功能要求响应与实现方案</w:t>
      </w:r>
    </w:p>
    <w:p w14:paraId="1E5D2D70">
      <w:pPr>
        <w:pStyle w:val="70"/>
      </w:pPr>
      <w:r>
        <w:rPr>
          <w:rFonts w:hint="eastAsia"/>
        </w:rPr>
        <w:t>本章严格对应招标文件第三章</w:t>
      </w:r>
      <w:r>
        <w:t xml:space="preserve"> C </w:t>
      </w:r>
      <w:r>
        <w:rPr>
          <w:rFonts w:hint="eastAsia"/>
        </w:rPr>
        <w:t>包“结构随机振动分析模块”技术参数，对</w:t>
      </w:r>
      <w:r>
        <w:t xml:space="preserve"> 3 </w:t>
      </w:r>
      <w:r>
        <w:rPr>
          <w:rFonts w:hint="eastAsia"/>
        </w:rPr>
        <w:t>个</w:t>
      </w:r>
      <w:r>
        <w:t xml:space="preserve"> ★ </w:t>
      </w:r>
      <w:r>
        <w:rPr>
          <w:rFonts w:hint="eastAsia"/>
        </w:rPr>
        <w:t>功能逐条响应、对</w:t>
      </w:r>
      <w:r>
        <w:t xml:space="preserve"> 20 </w:t>
      </w:r>
      <w:r>
        <w:rPr>
          <w:rFonts w:hint="eastAsia"/>
        </w:rPr>
        <w:t>个</w:t>
      </w:r>
      <w:r>
        <w:t xml:space="preserve"> ▲ </w:t>
      </w:r>
      <w:r>
        <w:rPr>
          <w:rFonts w:hint="eastAsia"/>
        </w:rPr>
        <w:t>性能指标逐条“完全响应”。全部</w:t>
      </w:r>
      <w:r>
        <w:t xml:space="preserve"> ★/▲ </w:t>
      </w:r>
      <w:r>
        <w:rPr>
          <w:rFonts w:hint="eastAsia"/>
        </w:rPr>
        <w:t>项承诺</w:t>
      </w:r>
      <w:r>
        <w:rPr>
          <w:rFonts w:hint="eastAsia"/>
          <w:b/>
          <w:bCs/>
        </w:rPr>
        <w:t>无负偏离</w:t>
      </w:r>
      <w:r>
        <w:rPr>
          <w:rFonts w:hint="eastAsia"/>
        </w:rPr>
        <w:t>；招标文件明确要求证明材料的条款，按要求提供算法原理描述与算例测试报告。</w:t>
      </w:r>
    </w:p>
    <w:p w14:paraId="7CEEAAC8">
      <w:pPr>
        <w:pStyle w:val="11"/>
      </w:pPr>
      <w:r>
        <w:rPr>
          <w:rFonts w:hint="eastAsia"/>
        </w:rPr>
        <w:t>本章数学表述统一采用线性结构动力学假设：结构在小振动、线弹性、参数不随时间变化条件下满足</w:t>
      </w:r>
      <w:r>
        <w:t xml:space="preserve"> </w:t>
      </w:r>
      <m:oMath>
        <m:r>
          <m:rPr>
            <m:sty m:val="bi"/>
          </m:rPr>
          <m:t>M</m:t>
        </m:r>
        <m:acc>
          <m:accPr>
            <m:chr m:val="̈"/>
          </m:accPr>
          <m:e>
            <m:r>
              <m:rPr>
                <m:sty m:val="bi"/>
              </m:rPr>
              <m:t>u</m:t>
            </m:r>
          </m:e>
        </m:acc>
        <m:r>
          <m:rPr>
            <m:sty m:val="p"/>
          </m:rPr>
          <m:t>+</m:t>
        </m:r>
        <m:r>
          <m:rPr>
            <m:sty m:val="bi"/>
          </m:rPr>
          <m:t>C</m:t>
        </m:r>
        <m:acc>
          <m:accPr>
            <m:chr m:val="̇"/>
          </m:accPr>
          <m:e>
            <m:r>
              <m:rPr>
                <m:sty m:val="bi"/>
              </m:rPr>
              <m:t>u</m:t>
            </m:r>
          </m:e>
        </m:acc>
        <m:r>
          <m:rPr>
            <m:sty m:val="p"/>
          </m:rPr>
          <m:t>+</m:t>
        </m:r>
        <m:r>
          <m:rPr>
            <m:sty m:val="bi"/>
          </m:rPr>
          <m:t>Ku</m:t>
        </m:r>
        <m:r>
          <m:rPr>
            <m:sty m:val="p"/>
          </m:rPr>
          <m:t>=</m:t>
        </m:r>
        <m:r>
          <m:rPr>
            <m:sty m:val="bi"/>
          </m:rPr>
          <m:t>F</m:t>
        </m:r>
        <m:r>
          <m:rPr>
            <m:sty m:val="p"/>
          </m:rPr>
          <m:t>(</m:t>
        </m:r>
        <m:r>
          <m:rPr/>
          <m:t>t</m:t>
        </m:r>
        <m:r>
          <m:rPr>
            <m:sty m:val="p"/>
          </m:rPr>
          <m:t>)</m:t>
        </m:r>
      </m:oMath>
      <w:r>
        <w:rPr>
          <w:rFonts w:hint="eastAsia"/>
        </w:rPr>
        <w:t>；平稳随机分析采用双边角频率功率谱约定，响应方差由</w:t>
      </w:r>
      <w:r>
        <w:t xml:space="preserve"> </w:t>
      </w:r>
      <m:oMath>
        <m:nary>
          <m:naryPr>
            <m:limLoc m:val="subSup"/>
          </m:naryPr>
          <m:sub>
            <m:r>
              <m:rPr>
                <m:sty m:val="p"/>
              </m:rPr>
              <m:t>−∞</m:t>
            </m:r>
          </m:sub>
          <m:sup>
            <m:r>
              <m:rPr>
                <m:sty m:val="p"/>
              </m:rPr>
              <m:t>+∞</m:t>
            </m:r>
          </m:sup>
          <m:e>
            <m:sSub>
              <m:sSubPr/>
              <m:e>
                <m:r>
                  <m:rPr/>
                  <m:t>S</m:t>
                </m:r>
              </m:e>
              <m:sub>
                <m:r>
                  <m:rPr/>
                  <m:t>uu</m:t>
                </m:r>
              </m:sub>
            </m:sSub>
          </m:e>
        </m:nary>
        <m:r>
          <m:rPr>
            <m:sty m:val="p"/>
          </m:rPr>
          <m:t>(</m:t>
        </m:r>
        <m:r>
          <m:rPr/>
          <m:t>ω</m:t>
        </m:r>
        <m:r>
          <m:rPr>
            <m:sty m:val="p"/>
          </m:rPr>
          <m:t>)</m:t>
        </m:r>
        <m:r>
          <m:rPr/>
          <m:t> </m:t>
        </m:r>
        <m:r>
          <m:rPr>
            <m:sty m:val="p"/>
          </m:rPr>
          <m:t>d</m:t>
        </m:r>
        <m:r>
          <m:rPr/>
          <m:t>ω</m:t>
        </m:r>
      </m:oMath>
      <w:r>
        <w:t xml:space="preserve"> </w:t>
      </w:r>
      <w:r>
        <w:rPr>
          <w:rFonts w:hint="eastAsia"/>
        </w:rPr>
        <w:t>得到；若项目实施中采用单边谱或其他傅里叶归一化，接口文档和算例报告将同步记录换算关系。合法的功率谱矩阵在每个频点应满足</w:t>
      </w:r>
      <w:r>
        <w:t xml:space="preserve"> Hermitian </w:t>
      </w:r>
      <w:r>
        <w:rPr>
          <w:rFonts w:hint="eastAsia"/>
        </w:rPr>
        <w:t>半正定，即</w:t>
      </w:r>
      <w:r>
        <w:t xml:space="preserve"> </w:t>
      </w:r>
      <m:oMath>
        <m:sSub>
          <m:sSubPr/>
          <m:e>
            <m:r>
              <m:rPr>
                <m:sty m:val="bi"/>
              </m:rPr>
              <m:t>S</m:t>
            </m:r>
          </m:e>
          <m:sub>
            <m:r>
              <m:rPr/>
              <m:t>FF</m:t>
            </m:r>
          </m:sub>
        </m:sSub>
        <m:r>
          <m:rPr>
            <m:sty m:val="p"/>
          </m:rPr>
          <m:t>(</m:t>
        </m:r>
        <m:r>
          <m:rPr/>
          <m:t>ω</m:t>
        </m:r>
        <m:r>
          <m:rPr>
            <m:sty m:val="p"/>
          </m:rPr>
          <m:t>)=(</m:t>
        </m:r>
        <m:sSub>
          <m:sSubPr/>
          <m:e>
            <m:r>
              <m:rPr>
                <m:sty m:val="bi"/>
              </m:rPr>
              <m:t>S</m:t>
            </m:r>
          </m:e>
          <m:sub>
            <m:r>
              <m:rPr/>
              <m:t>FF</m:t>
            </m:r>
          </m:sub>
        </m:sSub>
        <m:r>
          <m:rPr>
            <m:sty m:val="p"/>
          </m:rPr>
          <m:t>(</m:t>
        </m:r>
        <m:r>
          <m:rPr/>
          <m:t>ω</m:t>
        </m:r>
        <m:r>
          <m:rPr>
            <m:sty m:val="p"/>
          </m:rPr>
          <m:t>)</m:t>
        </m:r>
        <m:sSup>
          <m:sSupPr/>
          <m:e>
            <m:r>
              <m:rPr>
                <m:sty m:val="p"/>
              </m:rPr>
              <m:t>)</m:t>
            </m:r>
          </m:e>
          <m:sup>
            <m:r>
              <m:rPr>
                <m:sty m:val="p"/>
                <m:scr m:val="sans-serif"/>
              </m:rPr>
              <m:t>H</m:t>
            </m:r>
          </m:sup>
        </m:sSup>
      </m:oMath>
      <w:r>
        <w:t xml:space="preserve"> </w:t>
      </w:r>
      <w:r>
        <w:rPr>
          <w:rFonts w:hint="eastAsia"/>
        </w:rPr>
        <w:t>且</w:t>
      </w:r>
      <w:r>
        <w:t xml:space="preserve"> </w:t>
      </w:r>
      <m:oMath>
        <m:sSup>
          <m:sSupPr/>
          <m:e>
            <m:r>
              <m:rPr>
                <m:sty m:val="bi"/>
              </m:rPr>
              <m:t>x</m:t>
            </m:r>
          </m:e>
          <m:sup>
            <m:r>
              <m:rPr>
                <m:sty m:val="p"/>
                <m:scr m:val="sans-serif"/>
              </m:rPr>
              <m:t>H</m:t>
            </m:r>
          </m:sup>
        </m:sSup>
        <m:sSub>
          <m:sSubPr/>
          <m:e>
            <m:r>
              <m:rPr>
                <m:sty m:val="bi"/>
              </m:rPr>
              <m:t>S</m:t>
            </m:r>
          </m:e>
          <m:sub>
            <m:r>
              <m:rPr/>
              <m:t>FF</m:t>
            </m:r>
          </m:sub>
        </m:sSub>
        <m:r>
          <m:rPr>
            <m:sty m:val="p"/>
          </m:rPr>
          <m:t>(</m:t>
        </m:r>
        <m:r>
          <m:rPr/>
          <m:t>ω</m:t>
        </m:r>
        <m:r>
          <m:rPr>
            <m:sty m:val="p"/>
          </m:rPr>
          <m:t>)</m:t>
        </m:r>
        <m:r>
          <m:rPr>
            <m:sty m:val="bi"/>
          </m:rPr>
          <m:t>x</m:t>
        </m:r>
        <m:r>
          <m:rPr>
            <m:sty m:val="p"/>
          </m:rPr>
          <m:t>≥</m:t>
        </m:r>
        <m:r>
          <m:rPr/>
          <m:t>0</m:t>
        </m:r>
      </m:oMath>
      <w:r>
        <w:rPr>
          <w:rFonts w:hint="eastAsia"/>
        </w:rPr>
        <w:t>，这是</w:t>
      </w:r>
      <w:r>
        <w:t xml:space="preserve"> CQC、SRSS </w:t>
      </w:r>
      <w:r>
        <w:rPr>
          <w:rFonts w:hint="eastAsia"/>
        </w:rPr>
        <w:t>和</w:t>
      </w:r>
      <w:r>
        <w:t xml:space="preserve"> PEM </w:t>
      </w:r>
      <w:r>
        <w:rPr>
          <w:rFonts w:hint="eastAsia"/>
        </w:rPr>
        <w:t>三类算法共同的输入一致性基础。</w:t>
      </w:r>
    </w:p>
    <w:p w14:paraId="31CA4904">
      <w:pPr>
        <w:pStyle w:val="4"/>
      </w:pPr>
      <w:bookmarkStart w:id="16" w:name="核心功能逐条响应3-项全部完全满足"/>
      <w:r>
        <w:t xml:space="preserve">3.1 ★ </w:t>
      </w:r>
      <w:r>
        <w:rPr>
          <w:rFonts w:hint="eastAsia"/>
        </w:rPr>
        <w:t>核心功能逐条响应（3</w:t>
      </w:r>
      <w:r>
        <w:t xml:space="preserve"> </w:t>
      </w:r>
      <w:r>
        <w:rPr>
          <w:rFonts w:hint="eastAsia"/>
        </w:rPr>
        <w:t>项，全部完全满足）</w:t>
      </w:r>
    </w:p>
    <w:p w14:paraId="592F8908">
      <w:pPr>
        <w:pStyle w:val="70"/>
      </w:pPr>
      <w:r>
        <w:rPr>
          <w:b/>
          <w:bCs/>
        </w:rPr>
        <w:t xml:space="preserve">★1 </w:t>
      </w:r>
      <w:r>
        <w:rPr>
          <w:rFonts w:hint="eastAsia"/>
          <w:b/>
          <w:bCs/>
        </w:rPr>
        <w:t>具备结构平稳随机振动分析功能。</w:t>
      </w:r>
      <w:r>
        <w:t xml:space="preserve"> </w:t>
      </w:r>
      <w:r>
        <w:rPr>
          <w:rFonts w:hint="eastAsia"/>
        </w:rPr>
        <w:t>响应：</w:t>
      </w:r>
      <w:r>
        <w:rPr>
          <w:rFonts w:hint="eastAsia"/>
          <w:b/>
          <w:bCs/>
        </w:rPr>
        <w:t>完全满足，无偏离</w:t>
      </w:r>
      <w:r>
        <w:rPr>
          <w:rFonts w:hint="eastAsia"/>
        </w:rPr>
        <w:t>。面向线性结构的平稳随机振动分析，以输入激励功率谱矩阵</w:t>
      </w:r>
    </w:p>
    <w:p w14:paraId="6D33B9DF">
      <w:pPr>
        <w:pStyle w:val="11"/>
        <w:spacing w:before="120" w:after="120" w:line="240" w:lineRule="auto"/>
        <w:ind w:firstLine="0" w:firstLineChars="0"/>
      </w:pPr>
      <m:oMathPara>
        <m:oMathParaPr>
          <m:jc m:val="center"/>
        </m:oMathParaPr>
        <m:oMath>
          <m:sSub>
            <m:sSubPr/>
            <m:e>
              <m:r>
                <m:rPr>
                  <m:sty m:val="bi"/>
                </m:rPr>
                <m:t>S</m:t>
              </m:r>
            </m:e>
            <m:sub>
              <m:r>
                <m:rPr/>
                <m:t>FF</m:t>
              </m:r>
            </m:sub>
          </m:sSub>
          <m:r>
            <m:rPr>
              <m:sty m:val="p"/>
            </m:rPr>
            <m:t>(</m:t>
          </m:r>
          <m:r>
            <m:rPr/>
            <m:t>ω</m:t>
          </m:r>
          <m:r>
            <m:rPr>
              <m:sty m:val="p"/>
            </m:rPr>
            <m:t>)=</m:t>
          </m:r>
          <m:d>
            <m:dPr>
              <m:begChr m:val="["/>
              <m:sepChr m:val=""/>
              <m:endChr m:val="]"/>
            </m:dPr>
            <m:e>
              <m:sSub>
                <m:sSubPr/>
                <m:e>
                  <m:r>
                    <m:rPr/>
                    <m:t>S</m:t>
                  </m:r>
                </m:e>
                <m:sub>
                  <m:sSub>
                    <m:sSubPr/>
                    <m:e>
                      <m:r>
                        <m:rPr/>
                        <m:t>F</m:t>
                      </m:r>
                    </m:e>
                    <m:sub>
                      <m:r>
                        <m:rPr/>
                        <m:t>a</m:t>
                      </m:r>
                    </m:sub>
                  </m:sSub>
                  <m:sSub>
                    <m:sSubPr/>
                    <m:e>
                      <m:r>
                        <m:rPr/>
                        <m:t>F</m:t>
                      </m:r>
                    </m:e>
                    <m:sub>
                      <m:r>
                        <m:rPr/>
                        <m:t>b</m:t>
                      </m:r>
                    </m:sub>
                  </m:sSub>
                </m:sub>
              </m:sSub>
              <m:r>
                <m:rPr>
                  <m:sty m:val="p"/>
                </m:rPr>
                <m:t>(</m:t>
              </m:r>
              <m:r>
                <m:rPr/>
                <m:t>ω</m:t>
              </m:r>
              <m:r>
                <m:rPr>
                  <m:sty m:val="p"/>
                </m:rPr>
                <m:t>)</m:t>
              </m:r>
            </m:e>
          </m:d>
        </m:oMath>
      </m:oMathPara>
    </w:p>
    <w:p w14:paraId="3C9C43FC">
      <w:pPr>
        <w:pStyle w:val="70"/>
        <w:ind w:firstLine="0" w:firstLineChars="0"/>
      </w:pPr>
      <w:r>
        <w:rPr>
          <w:rFonts w:hint="eastAsia"/>
        </w:rPr>
        <w:t>描述已映射至结构物理自由度空间的各输入载荷分量的谱强度及相关关系。其中，</w:t>
      </w:r>
      <m:oMath>
        <m:sSub>
          <m:sSubPr/>
          <m:e>
            <m:r>
              <m:rPr/>
              <m:t>S</m:t>
            </m:r>
          </m:e>
          <m:sub>
            <m:sSub>
              <m:sSubPr/>
              <m:e>
                <m:r>
                  <m:rPr/>
                  <m:t>F</m:t>
                </m:r>
              </m:e>
              <m:sub>
                <m:r>
                  <m:rPr/>
                  <m:t>a</m:t>
                </m:r>
              </m:sub>
            </m:sSub>
            <m:sSub>
              <m:sSubPr/>
              <m:e>
                <m:r>
                  <m:rPr/>
                  <m:t>F</m:t>
                </m:r>
              </m:e>
              <m:sub>
                <m:r>
                  <m:rPr/>
                  <m:t>b</m:t>
                </m:r>
              </m:sub>
            </m:sSub>
          </m:sub>
        </m:sSub>
        <m:r>
          <m:rPr>
            <m:sty m:val="p"/>
          </m:rPr>
          <m:t>(</m:t>
        </m:r>
        <m:r>
          <m:rPr/>
          <m:t>ω</m:t>
        </m:r>
        <m:r>
          <m:rPr>
            <m:sty m:val="p"/>
          </m:rPr>
          <m:t>)</m:t>
        </m:r>
      </m:oMath>
      <w:r>
        <w:t xml:space="preserve"> </w:t>
      </w:r>
      <w:r>
        <w:rPr>
          <w:rFonts w:hint="eastAsia"/>
        </w:rPr>
        <w:t>表示结构物理自由度上的输入载荷分量</w:t>
      </w:r>
      <w:r>
        <w:t xml:space="preserve"> </w:t>
      </w:r>
      <m:oMath>
        <m:r>
          <m:rPr/>
          <m:t>a</m:t>
        </m:r>
      </m:oMath>
      <w:r>
        <w:t xml:space="preserve"> </w:t>
      </w:r>
      <w:r>
        <w:rPr>
          <w:rFonts w:hint="eastAsia"/>
        </w:rPr>
        <w:t>与</w:t>
      </w:r>
      <w:r>
        <w:t xml:space="preserve"> </w:t>
      </w:r>
      <m:oMath>
        <m:r>
          <m:rPr/>
          <m:t>b</m:t>
        </m:r>
      </m:oMath>
      <w:r>
        <w:t xml:space="preserve"> </w:t>
      </w:r>
      <w:r>
        <w:rPr>
          <w:rFonts w:hint="eastAsia"/>
        </w:rPr>
        <w:t>在频率</w:t>
      </w:r>
      <w:r>
        <w:t xml:space="preserve"> </w:t>
      </w:r>
      <m:oMath>
        <m:r>
          <m:rPr/>
          <m:t>ω</m:t>
        </m:r>
      </m:oMath>
      <w:r>
        <w:t xml:space="preserve"> </w:t>
      </w:r>
      <w:r>
        <w:rPr>
          <w:rFonts w:hint="eastAsia"/>
        </w:rPr>
        <w:t>处的互功率谱，用于描述两载荷分量的频域相关强度和相位关系；当</w:t>
      </w:r>
      <w:r>
        <w:t xml:space="preserve"> </w:t>
      </w:r>
      <m:oMath>
        <m:r>
          <m:rPr/>
          <m:t>a</m:t>
        </m:r>
        <m:r>
          <m:rPr>
            <m:sty m:val="p"/>
          </m:rPr>
          <m:t>=</m:t>
        </m:r>
        <m:r>
          <m:rPr/>
          <m:t>b</m:t>
        </m:r>
      </m:oMath>
      <w:r>
        <w:t xml:space="preserve"> </w:t>
      </w:r>
      <w:r>
        <w:rPr>
          <w:rFonts w:hint="eastAsia"/>
        </w:rPr>
        <w:t>时为自功率谱。通过频响函数</w:t>
      </w:r>
    </w:p>
    <w:p w14:paraId="1F018E56">
      <w:pPr>
        <w:pStyle w:val="11"/>
        <w:spacing w:before="120" w:after="120" w:line="240" w:lineRule="auto"/>
        <w:ind w:firstLine="0" w:firstLineChars="0"/>
      </w:pPr>
      <m:oMathPara>
        <m:oMathParaPr>
          <m:jc m:val="center"/>
        </m:oMathParaPr>
        <m:oMath>
          <m:r>
            <m:rPr>
              <m:sty m:val="bi"/>
            </m:rPr>
            <m:t>H</m:t>
          </m:r>
          <m:r>
            <m:rPr>
              <m:sty m:val="p"/>
            </m:rPr>
            <m:t>(</m:t>
          </m:r>
          <m:r>
            <m:rPr/>
            <m:t>ω</m:t>
          </m:r>
          <m:r>
            <m:rPr>
              <m:sty m:val="p"/>
            </m:rPr>
            <m:t>)=</m:t>
          </m:r>
          <m:sSup>
            <m:sSupPr/>
            <m:e>
              <m:d>
                <m:dPr>
                  <m:sepChr m:val=""/>
                </m:dPr>
                <m:e>
                  <m:r>
                    <m:rPr>
                      <m:sty m:val="bi"/>
                    </m:rPr>
                    <m:t>K</m:t>
                  </m:r>
                  <m:r>
                    <m:rPr>
                      <m:sty m:val="p"/>
                    </m:rPr>
                    <m:t>−</m:t>
                  </m:r>
                  <m:sSup>
                    <m:sSupPr/>
                    <m:e>
                      <m:r>
                        <m:rPr/>
                        <m:t>ω</m:t>
                      </m:r>
                    </m:e>
                    <m:sup>
                      <m:r>
                        <m:rPr/>
                        <m:t>2</m:t>
                      </m:r>
                    </m:sup>
                  </m:sSup>
                  <m:r>
                    <m:rPr>
                      <m:sty m:val="bi"/>
                    </m:rPr>
                    <m:t>M</m:t>
                  </m:r>
                  <m:r>
                    <m:rPr>
                      <m:sty m:val="p"/>
                    </m:rPr>
                    <m:t>+</m:t>
                  </m:r>
                  <m:r>
                    <m:rPr/>
                    <m:t>iω</m:t>
                  </m:r>
                  <m:r>
                    <m:rPr>
                      <m:sty m:val="bi"/>
                    </m:rPr>
                    <m:t>C</m:t>
                  </m:r>
                </m:e>
              </m:d>
            </m:e>
            <m:sup>
              <m:r>
                <m:rPr>
                  <m:sty m:val="p"/>
                </m:rPr>
                <m:t>−</m:t>
              </m:r>
              <m:r>
                <m:rPr/>
                <m:t>1</m:t>
              </m:r>
            </m:sup>
          </m:sSup>
        </m:oMath>
      </m:oMathPara>
    </w:p>
    <w:p w14:paraId="50C0F245">
      <w:pPr>
        <w:pStyle w:val="70"/>
        <w:ind w:firstLine="0" w:firstLineChars="0"/>
      </w:pPr>
      <w:r>
        <w:rPr>
          <w:rFonts w:hint="eastAsia"/>
        </w:rPr>
        <w:t>建立输入与输出的频域关系</w:t>
      </w:r>
      <w:r>
        <w:t xml:space="preserve"> </w:t>
      </w:r>
      <m:oMath>
        <m:acc>
          <m:accPr/>
          <m:e>
            <m:r>
              <m:rPr>
                <m:sty m:val="bi"/>
              </m:rPr>
              <m:t>u</m:t>
            </m:r>
          </m:e>
        </m:acc>
        <m:r>
          <m:rPr>
            <m:sty m:val="p"/>
          </m:rPr>
          <m:t>(</m:t>
        </m:r>
        <m:r>
          <m:rPr/>
          <m:t>ω</m:t>
        </m:r>
        <m:r>
          <m:rPr>
            <m:sty m:val="p"/>
          </m:rPr>
          <m:t>)=</m:t>
        </m:r>
        <m:r>
          <m:rPr>
            <m:sty m:val="bi"/>
          </m:rPr>
          <m:t>H</m:t>
        </m:r>
        <m:r>
          <m:rPr>
            <m:sty m:val="p"/>
          </m:rPr>
          <m:t>(</m:t>
        </m:r>
        <m:r>
          <m:rPr/>
          <m:t>ω</m:t>
        </m:r>
        <m:r>
          <m:rPr>
            <m:sty m:val="p"/>
          </m:rPr>
          <m:t>)</m:t>
        </m:r>
        <m:acc>
          <m:accPr/>
          <m:e>
            <m:r>
              <m:rPr>
                <m:sty m:val="bi"/>
              </m:rPr>
              <m:t>F</m:t>
            </m:r>
          </m:e>
        </m:acc>
        <m:r>
          <m:rPr>
            <m:sty m:val="p"/>
          </m:rPr>
          <m:t>(</m:t>
        </m:r>
        <m:r>
          <m:rPr/>
          <m:t>ω</m:t>
        </m:r>
        <m:r>
          <m:rPr>
            <m:sty m:val="p"/>
          </m:rPr>
          <m:t>)</m:t>
        </m:r>
      </m:oMath>
      <w:r>
        <w:rPr>
          <w:rFonts w:hint="eastAsia"/>
        </w:rPr>
        <w:t>。平稳随机过程的二阶统计量由相关函数和功率谱构成一对傅里叶变换；在本方案采用的谱归一化下，输入谱矩阵、频响函数和输出谱矩阵满足</w:t>
      </w:r>
    </w:p>
    <w:p w14:paraId="56E30305">
      <w:pPr>
        <w:pStyle w:val="11"/>
        <w:spacing w:before="120" w:after="120" w:line="240" w:lineRule="auto"/>
        <w:ind w:firstLine="0" w:firstLineChars="0"/>
      </w:pPr>
      <m:oMathPara>
        <m:oMathParaPr>
          <m:jc m:val="center"/>
        </m:oMathParaPr>
        <m:oMath>
          <m:sSub>
            <m:sSubPr/>
            <m:e>
              <m:r>
                <m:rPr>
                  <m:sty m:val="bi"/>
                </m:rPr>
                <m:t>S</m:t>
              </m:r>
            </m:e>
            <m:sub>
              <m:r>
                <m:rPr/>
                <m:t>uu</m:t>
              </m:r>
            </m:sub>
          </m:sSub>
          <m:r>
            <m:rPr>
              <m:sty m:val="p"/>
            </m:rPr>
            <m:t>(</m:t>
          </m:r>
          <m:r>
            <m:rPr/>
            <m:t>ω</m:t>
          </m:r>
          <m:r>
            <m:rPr>
              <m:sty m:val="p"/>
            </m:rPr>
            <m:t>)=</m:t>
          </m:r>
          <m:r>
            <m:rPr>
              <m:sty m:val="bi"/>
            </m:rPr>
            <m:t>H</m:t>
          </m:r>
          <m:r>
            <m:rPr>
              <m:sty m:val="p"/>
            </m:rPr>
            <m:t>(</m:t>
          </m:r>
          <m:r>
            <m:rPr/>
            <m:t>ω</m:t>
          </m:r>
          <m:r>
            <m:rPr>
              <m:sty m:val="p"/>
            </m:rPr>
            <m:t>)</m:t>
          </m:r>
          <m:sSub>
            <m:sSubPr/>
            <m:e>
              <m:r>
                <m:rPr>
                  <m:sty m:val="bi"/>
                </m:rPr>
                <m:t>S</m:t>
              </m:r>
            </m:e>
            <m:sub>
              <m:r>
                <m:rPr/>
                <m:t>FF</m:t>
              </m:r>
            </m:sub>
          </m:sSub>
          <m:r>
            <m:rPr>
              <m:sty m:val="p"/>
            </m:rPr>
            <m:t>(</m:t>
          </m:r>
          <m:r>
            <m:rPr/>
            <m:t>ω</m:t>
          </m:r>
          <m:r>
            <m:rPr>
              <m:sty m:val="p"/>
            </m:rPr>
            <m:t>)</m:t>
          </m:r>
          <m:sSup>
            <m:sSupPr/>
            <m:e>
              <m:r>
                <m:rPr>
                  <m:sty m:val="bi"/>
                </m:rPr>
                <m:t>H</m:t>
              </m:r>
            </m:e>
            <m:sup>
              <m:r>
                <m:rPr>
                  <m:sty m:val="p"/>
                  <m:scr m:val="sans-serif"/>
                </m:rPr>
                <m:t>H</m:t>
              </m:r>
            </m:sup>
          </m:sSup>
          <m:r>
            <m:rPr>
              <m:sty m:val="p"/>
            </m:rPr>
            <m:t>(</m:t>
          </m:r>
          <m:r>
            <m:rPr/>
            <m:t>ω</m:t>
          </m:r>
          <m:r>
            <m:rPr>
              <m:sty m:val="p"/>
            </m:rPr>
            <m:t>)</m:t>
          </m:r>
        </m:oMath>
      </m:oMathPara>
    </w:p>
    <w:p w14:paraId="40C2D292">
      <w:pPr>
        <w:pStyle w:val="70"/>
      </w:pPr>
      <w:r>
        <w:rPr>
          <w:rFonts w:hint="eastAsia"/>
        </w:rPr>
        <w:t>该式中的</w:t>
      </w:r>
      <w:r>
        <w:t xml:space="preserve"> </w:t>
      </w:r>
      <m:oMath>
        <m:r>
          <m:rPr>
            <m:sty m:val="p"/>
            <m:scr m:val="sans-serif"/>
          </m:rPr>
          <m:t>H</m:t>
        </m:r>
      </m:oMath>
      <w:r>
        <w:t xml:space="preserve"> </w:t>
      </w:r>
      <w:r>
        <w:rPr>
          <w:rFonts w:hint="eastAsia"/>
        </w:rPr>
        <w:t>表示共轭转置，不可写成普通转置，因为频响函数和互功率谱一般为复数；该关系也要求系统线性，若存在接触、屈服、大变形等非线性效应，则不能直接使用本章算法。提供</w:t>
      </w:r>
      <w:r>
        <w:t xml:space="preserve"> </w:t>
      </w:r>
      <w:r>
        <w:rPr>
          <w:rFonts w:hint="eastAsia"/>
        </w:rPr>
        <w:t>CQC（完全二次组合，Complete</w:t>
      </w:r>
      <w:r>
        <w:t xml:space="preserve"> Quadratic </w:t>
      </w:r>
      <w:r>
        <w:rPr>
          <w:rFonts w:hint="eastAsia"/>
        </w:rPr>
        <w:t>Combination）、SRSS（平方和开方，Square</w:t>
      </w:r>
      <w:r>
        <w:t xml:space="preserve"> Root of the Sum of </w:t>
      </w:r>
      <w:r>
        <w:rPr>
          <w:rFonts w:hint="eastAsia"/>
        </w:rPr>
        <w:t>Squares）、PEM（虚拟激励法，Pseudo</w:t>
      </w:r>
      <w:r>
        <w:t xml:space="preserve"> Excitation </w:t>
      </w:r>
      <w:r>
        <w:rPr>
          <w:rFonts w:hint="eastAsia"/>
        </w:rPr>
        <w:t>Method）三种响应功率谱求解算法，输出响应功率谱和响应标准差；对于零均值随机响应，标准差等于均方根。相关随机振动理论、随机数据处理和模态组合方法可参考文献</w:t>
      </w:r>
      <w:r>
        <w:t xml:space="preserve"> [4–9,15,16]。</w:t>
      </w:r>
    </w:p>
    <w:p w14:paraId="33628514">
      <w:pPr>
        <w:pStyle w:val="11"/>
      </w:pPr>
      <w:r>
        <w:rPr>
          <w:rFonts w:hint="eastAsia"/>
        </w:rPr>
        <w:t>实现流程上，模块首先读取并校验输入谱矩阵、频率网格、响应提取位置和模态/矩阵数据，检查谱矩阵维度、Hermitian</w:t>
      </w:r>
      <w:r>
        <w:t xml:space="preserve"> </w:t>
      </w:r>
      <w:r>
        <w:rPr>
          <w:rFonts w:hint="eastAsia"/>
        </w:rPr>
        <w:t>性、半正定性和单位约定；随后按用户选择的</w:t>
      </w:r>
      <w:r>
        <w:t xml:space="preserve"> CQC、SRSS </w:t>
      </w:r>
      <w:r>
        <w:rPr>
          <w:rFonts w:hint="eastAsia"/>
        </w:rPr>
        <w:t>或</w:t>
      </w:r>
      <w:r>
        <w:t xml:space="preserve"> PEM </w:t>
      </w:r>
      <w:r>
        <w:rPr>
          <w:rFonts w:hint="eastAsia"/>
        </w:rPr>
        <w:t>路线计算响应功率谱；最后沿频率积分得到方差、标准差和</w:t>
      </w:r>
      <w:r>
        <w:t xml:space="preserve"> </w:t>
      </w:r>
      <w:r>
        <w:rPr>
          <w:rFonts w:hint="eastAsia"/>
        </w:rPr>
        <w:t>RMS，并按节点、单元或指定响应分量输出结果。验收材料包括功率谱曲线、RMS</w:t>
      </w:r>
      <w:r>
        <w:t xml:space="preserve"> </w:t>
      </w:r>
      <w:r>
        <w:rPr>
          <w:rFonts w:hint="eastAsia"/>
        </w:rPr>
        <w:t>结果表、关键节点/单元结果截图、谱矩阵检查记录和与解析解或基准算例的误差对比。</w:t>
      </w:r>
    </w:p>
    <w:p w14:paraId="4966B524">
      <w:pPr>
        <w:pStyle w:val="11"/>
      </w:pPr>
      <w:r>
        <w:rPr>
          <w:b/>
          <w:bCs/>
        </w:rPr>
        <w:t xml:space="preserve">★2 </w:t>
      </w:r>
      <w:r>
        <w:rPr>
          <w:rFonts w:hint="eastAsia"/>
          <w:b/>
          <w:bCs/>
        </w:rPr>
        <w:t>具备结构非平稳随机振动分析功能。</w:t>
      </w:r>
      <w:r>
        <w:t xml:space="preserve"> </w:t>
      </w:r>
      <w:r>
        <w:rPr>
          <w:rFonts w:hint="eastAsia"/>
        </w:rPr>
        <w:t>响应：</w:t>
      </w:r>
      <w:r>
        <w:rPr>
          <w:rFonts w:hint="eastAsia"/>
          <w:b/>
          <w:bCs/>
        </w:rPr>
        <w:t>完全满足，无偏离</w:t>
      </w:r>
      <w:r>
        <w:rPr>
          <w:rFonts w:hint="eastAsia"/>
        </w:rPr>
        <w:t>。面向线性结构，支持均匀调制及采用演变功率谱描述的非平稳随机激励。总体计算关系为</w:t>
      </w:r>
    </w:p>
    <w:p w14:paraId="21289D4E">
      <w:pPr>
        <w:pStyle w:val="11"/>
        <w:spacing w:before="120" w:after="120" w:line="240" w:lineRule="auto"/>
        <w:ind w:firstLine="0" w:firstLineChars="0"/>
      </w:pPr>
      <m:oMathPara>
        <m:oMathParaPr>
          <m:jc m:val="center"/>
        </m:oMathParaPr>
        <m:oMath>
          <m:sSub>
            <m:sSubPr/>
            <m:e>
              <m:r>
                <m:rPr>
                  <m:sty m:val="bi"/>
                </m:rPr>
                <m:t>G</m:t>
              </m:r>
            </m:e>
            <m:sub>
              <m:r>
                <m:rPr/>
                <m:t>FF</m:t>
              </m:r>
            </m:sub>
          </m:sSub>
          <m:r>
            <m:rPr>
              <m:sty m:val="p"/>
            </m:rPr>
            <m:t>(</m:t>
          </m:r>
          <m:r>
            <m:rPr/>
            <m:t>ω</m:t>
          </m:r>
          <m:r>
            <m:rPr>
              <m:sty m:val="p"/>
            </m:rPr>
            <m:t>,</m:t>
          </m:r>
          <m:r>
            <m:rPr/>
            <m:t>t</m:t>
          </m:r>
          <m:r>
            <m:rPr>
              <m:sty m:val="p"/>
            </m:rPr>
            <m:t>)</m:t>
          </m:r>
          <m:limUpp>
            <m:limUppPr/>
            <m:e>
              <m:r>
                <m:rPr>
                  <m:sty m:val="p"/>
                </m:rPr>
                <m:t>→</m:t>
              </m:r>
            </m:e>
            <m:lim>
              <m:r>
                <m:rPr>
                  <m:nor/>
                  <m:sty m:val="p"/>
                </m:rPr>
                <w:rPr>
                  <w:b w:val="0"/>
                  <w:i w:val="0"/>
                </w:rPr>
                <m:t>时域虚拟激励与逐步积分</m:t>
              </m:r>
            </m:lim>
          </m:limUpp>
          <m:sSub>
            <m:sSubPr/>
            <m:e>
              <m:r>
                <m:rPr>
                  <m:sty m:val="bi"/>
                </m:rPr>
                <m:t>G</m:t>
              </m:r>
            </m:e>
            <m:sub>
              <m:r>
                <m:rPr/>
                <m:t>uu</m:t>
              </m:r>
            </m:sub>
          </m:sSub>
          <m:r>
            <m:rPr>
              <m:sty m:val="p"/>
            </m:rPr>
            <m:t>(</m:t>
          </m:r>
          <m:r>
            <m:rPr/>
            <m:t>ω</m:t>
          </m:r>
          <m:r>
            <m:rPr>
              <m:sty m:val="p"/>
            </m:rPr>
            <m:t>,</m:t>
          </m:r>
          <m:r>
            <m:rPr/>
            <m:t>t</m:t>
          </m:r>
          <m:r>
            <m:rPr>
              <m:sty m:val="p"/>
            </m:rPr>
            <m:t>)</m:t>
          </m:r>
          <m:limUpp>
            <m:limUppPr/>
            <m:e>
              <m:r>
                <m:rPr>
                  <m:sty m:val="p"/>
                </m:rPr>
                <m:t>→</m:t>
              </m:r>
            </m:e>
            <m:lim>
              <m:r>
                <m:rPr>
                  <m:nor/>
                  <m:sty m:val="p"/>
                </m:rPr>
                <w:rPr>
                  <w:b w:val="0"/>
                  <w:i w:val="0"/>
                </w:rPr>
                <m:t>统计后处理</m:t>
              </m:r>
            </m:lim>
          </m:limUpp>
          <m:d>
            <m:dPr>
              <m:begChr m:val="{"/>
              <m:sepChr m:val=""/>
              <m:endChr m:val="}"/>
            </m:dPr>
            <m:e>
              <m:sSub>
                <m:sSubPr/>
                <m:e>
                  <m:r>
                    <m:rPr/>
                    <m:t>σ</m:t>
                  </m:r>
                </m:e>
                <m:sub>
                  <m:r>
                    <m:rPr/>
                    <m:t>u</m:t>
                  </m:r>
                </m:sub>
              </m:sSub>
              <m:r>
                <m:rPr>
                  <m:sty m:val="p"/>
                </m:rPr>
                <m:t>(</m:t>
              </m:r>
              <m:r>
                <m:rPr/>
                <m:t>t</m:t>
              </m:r>
              <m:r>
                <m:rPr>
                  <m:sty m:val="p"/>
                </m:rPr>
                <m:t>),</m:t>
              </m:r>
              <m:r>
                <m:rPr/>
                <m:t> </m:t>
              </m:r>
              <m:sSub>
                <m:sSubPr/>
                <m:e>
                  <m:r>
                    <m:rPr/>
                    <m:t>u</m:t>
                  </m:r>
                </m:e>
                <m:sub>
                  <m:r>
                    <m:rPr>
                      <m:sty m:val="p"/>
                    </m:rPr>
                    <m:t>rms</m:t>
                  </m:r>
                </m:sub>
              </m:sSub>
              <m:r>
                <m:rPr>
                  <m:sty m:val="p"/>
                </m:rPr>
                <m:t>(</m:t>
              </m:r>
              <m:r>
                <m:rPr/>
                <m:t>t</m:t>
              </m:r>
              <m:r>
                <m:rPr>
                  <m:sty m:val="p"/>
                </m:rPr>
                <m:t>),</m:t>
              </m:r>
              <m:r>
                <m:rPr/>
                <m:t> </m:t>
              </m:r>
              <m:sSub>
                <m:sSubPr/>
                <m:e>
                  <m:r>
                    <m:rPr/>
                    <m:t>p</m:t>
                  </m:r>
                </m:e>
                <m:sub>
                  <m:r>
                    <m:rPr/>
                    <m:t>u</m:t>
                  </m:r>
                </m:sub>
              </m:sSub>
              <m:r>
                <m:rPr>
                  <m:sty m:val="p"/>
                </m:rPr>
                <m:t>(</m:t>
              </m:r>
              <m:r>
                <m:rPr/>
                <m:t>x</m:t>
              </m:r>
              <m:r>
                <m:rPr>
                  <m:sty m:val="p"/>
                </m:rPr>
                <m:t>,</m:t>
              </m:r>
              <m:r>
                <m:rPr/>
                <m:t>t</m:t>
              </m:r>
              <m:r>
                <m:rPr>
                  <m:sty m:val="p"/>
                </m:rPr>
                <m:t>)</m:t>
              </m:r>
            </m:e>
          </m:d>
        </m:oMath>
      </m:oMathPara>
    </w:p>
    <w:p w14:paraId="1E1183B9">
      <w:pPr>
        <w:pStyle w:val="70"/>
      </w:pPr>
      <w:r>
        <w:rPr>
          <w:rFonts w:hint="eastAsia"/>
        </w:rPr>
        <w:t>其中，</w:t>
      </w:r>
      <m:oMath>
        <m:sSub>
          <m:sSubPr/>
          <m:e>
            <m:r>
              <m:rPr>
                <m:sty m:val="bi"/>
              </m:rPr>
              <m:t>G</m:t>
            </m:r>
          </m:e>
          <m:sub>
            <m:r>
              <m:rPr/>
              <m:t>FF</m:t>
            </m:r>
          </m:sub>
        </m:sSub>
        <m:r>
          <m:rPr>
            <m:sty m:val="p"/>
          </m:rPr>
          <m:t>(</m:t>
        </m:r>
        <m:r>
          <m:rPr/>
          <m:t>ω</m:t>
        </m:r>
        <m:r>
          <m:rPr>
            <m:sty m:val="p"/>
          </m:rPr>
          <m:t>,</m:t>
        </m:r>
        <m:r>
          <m:rPr/>
          <m:t>t</m:t>
        </m:r>
        <m:r>
          <m:rPr>
            <m:sty m:val="p"/>
          </m:rPr>
          <m:t>)</m:t>
        </m:r>
      </m:oMath>
      <w:r>
        <w:t xml:space="preserve"> </w:t>
      </w:r>
      <w:r>
        <w:rPr>
          <w:rFonts w:hint="eastAsia"/>
        </w:rPr>
        <w:t>和</w:t>
      </w:r>
      <w:r>
        <w:t xml:space="preserve"> </w:t>
      </w:r>
      <m:oMath>
        <m:sSub>
          <m:sSubPr/>
          <m:e>
            <m:r>
              <m:rPr>
                <m:sty m:val="bi"/>
              </m:rPr>
              <m:t>G</m:t>
            </m:r>
          </m:e>
          <m:sub>
            <m:r>
              <m:rPr/>
              <m:t>uu</m:t>
            </m:r>
          </m:sub>
        </m:sSub>
        <m:r>
          <m:rPr>
            <m:sty m:val="p"/>
          </m:rPr>
          <m:t>(</m:t>
        </m:r>
        <m:r>
          <m:rPr/>
          <m:t>ω</m:t>
        </m:r>
        <m:r>
          <m:rPr>
            <m:sty m:val="p"/>
          </m:rPr>
          <m:t>,</m:t>
        </m:r>
        <m:r>
          <m:rPr/>
          <m:t>t</m:t>
        </m:r>
        <m:r>
          <m:rPr>
            <m:sty m:val="p"/>
          </m:rPr>
          <m:t>)</m:t>
        </m:r>
      </m:oMath>
      <w:r>
        <w:t xml:space="preserve"> </w:t>
      </w:r>
      <w:r>
        <w:rPr>
          <w:rFonts w:hint="eastAsia"/>
        </w:rPr>
        <w:t>分别为输入与响应演变功率谱矩阵，</w:t>
      </w:r>
      <m:oMath>
        <m:sSub>
          <m:sSubPr/>
          <m:e>
            <m:r>
              <m:rPr/>
              <m:t>σ</m:t>
            </m:r>
          </m:e>
          <m:sub>
            <m:r>
              <m:rPr/>
              <m:t>u</m:t>
            </m:r>
          </m:sub>
        </m:sSub>
        <m:r>
          <m:rPr>
            <m:sty m:val="p"/>
          </m:rPr>
          <m:t>(</m:t>
        </m:r>
        <m:r>
          <m:rPr/>
          <m:t>t</m:t>
        </m:r>
        <m:r>
          <m:rPr>
            <m:sty m:val="p"/>
          </m:rPr>
          <m:t>)</m:t>
        </m:r>
      </m:oMath>
      <w:r>
        <w:t xml:space="preserve"> </w:t>
      </w:r>
      <w:r>
        <w:rPr>
          <w:rFonts w:hint="eastAsia"/>
        </w:rPr>
        <w:t>为时变响应标准差；零均值条件下等于时变均方根。在线性高斯激励条件下，根据响应均值和方差计算固定时刻的边缘概率密度；对于线性系统下的非高斯激励，在已给定输入概率模型、样本数据或样本生成规则的条件下，采用样本统计方法估计概率密度。</w:t>
      </w:r>
    </w:p>
    <w:p w14:paraId="1ECA1A9B">
      <w:pPr>
        <w:pStyle w:val="11"/>
      </w:pPr>
      <w:r>
        <w:rPr>
          <w:rFonts w:hint="eastAsia"/>
        </w:rPr>
        <w:t>实现流程上，模块以时变调制函数、演变功率谱、时间步长、频率离散和响应提取位置为输入，将基准谱分解为虚拟激励分量，通过时域积分服务计算各分量的确定性响应历程，再重构响应演变谱和时变方差。与平稳随机振动不同，非平稳问题中结构存在记忆效应，不能简单地把平稳频域公式逐时刻套用；因此本模块采用时域虚拟激励和逐步积分路线，并通过平稳极限、解析/半解析算例和蒙特卡洛样本统计进行验证。输出包括时变</w:t>
      </w:r>
      <w:r>
        <w:t xml:space="preserve"> RMS </w:t>
      </w:r>
      <w:r>
        <w:rPr>
          <w:rFonts w:hint="eastAsia"/>
        </w:rPr>
        <w:t>曲线、指定时刻概率密度曲线、关键时刻结果表和算例误差报告。</w:t>
      </w:r>
    </w:p>
    <w:p w14:paraId="4B60B49E">
      <w:pPr>
        <w:pStyle w:val="11"/>
      </w:pPr>
      <w:r>
        <w:rPr>
          <w:b/>
          <w:bCs/>
        </w:rPr>
        <w:t xml:space="preserve">★3 </w:t>
      </w:r>
      <w:r>
        <w:rPr>
          <w:rFonts w:hint="eastAsia"/>
          <w:b/>
          <w:bCs/>
        </w:rPr>
        <w:t>具备结构响应谱分析功能。</w:t>
      </w:r>
      <w:r>
        <w:t xml:space="preserve"> </w:t>
      </w:r>
      <w:r>
        <w:rPr>
          <w:rFonts w:hint="eastAsia"/>
        </w:rPr>
        <w:t>响应：</w:t>
      </w:r>
      <w:r>
        <w:rPr>
          <w:rFonts w:hint="eastAsia"/>
          <w:b/>
          <w:bCs/>
        </w:rPr>
        <w:t>完全满足，无偏离</w:t>
      </w:r>
      <w:r>
        <w:rPr>
          <w:rFonts w:hint="eastAsia"/>
        </w:rPr>
        <w:t>。以设计反应谱、结构固有频率、振型、模态阻尼比、输入方向及模态参与系数为输入，计算各阶模态对指定响应量的峰值贡献，并进行模态组合：</w:t>
      </w:r>
    </w:p>
    <w:p w14:paraId="473832EE">
      <w:pPr>
        <w:pStyle w:val="11"/>
        <w:spacing w:before="120" w:after="120" w:line="240" w:lineRule="auto"/>
        <w:ind w:firstLine="0" w:firstLineChars="0"/>
      </w:pPr>
      <m:oMathPara>
        <m:oMathParaPr>
          <m:jc m:val="center"/>
        </m:oMathParaPr>
        <m:oMath>
          <m:d>
            <m:dPr>
              <m:begChr m:val="{"/>
              <m:sepChr m:val=""/>
              <m:endChr m:val="}"/>
            </m:dPr>
            <m:e>
              <m:r>
                <m:rPr/>
                <m:t>S</m:t>
              </m:r>
              <m:r>
                <m:rPr>
                  <m:sty m:val="p"/>
                </m:rPr>
                <m:t>(</m:t>
              </m:r>
              <m:sSub>
                <m:sSubPr/>
                <m:e>
                  <m:r>
                    <m:rPr/>
                    <m:t>ω</m:t>
                  </m:r>
                </m:e>
                <m:sub>
                  <m:r>
                    <m:rPr/>
                    <m:t>i</m:t>
                  </m:r>
                </m:sub>
              </m:sSub>
              <m:r>
                <m:rPr>
                  <m:sty m:val="p"/>
                </m:rPr>
                <m:t>,</m:t>
              </m:r>
              <m:sSub>
                <m:sSubPr/>
                <m:e>
                  <m:r>
                    <m:rPr/>
                    <m:t>ξ</m:t>
                  </m:r>
                </m:e>
                <m:sub>
                  <m:r>
                    <m:rPr/>
                    <m:t>i</m:t>
                  </m:r>
                </m:sub>
              </m:sSub>
              <m:r>
                <m:rPr>
                  <m:sty m:val="p"/>
                </m:rPr>
                <m:t>),</m:t>
              </m:r>
              <m:r>
                <m:rPr/>
                <m:t> </m:t>
              </m:r>
              <m:sSub>
                <m:sSubPr/>
                <m:e>
                  <m:r>
                    <m:rPr>
                      <m:sty m:val="bi"/>
                    </m:rPr>
                    <m:t>ϕ</m:t>
                  </m:r>
                </m:e>
                <m:sub>
                  <m:r>
                    <m:rPr/>
                    <m:t>i</m:t>
                  </m:r>
                </m:sub>
              </m:sSub>
              <m:r>
                <m:rPr>
                  <m:sty m:val="p"/>
                </m:rPr>
                <m:t>,</m:t>
              </m:r>
              <m:r>
                <m:rPr/>
                <m:t> </m:t>
              </m:r>
              <m:sSub>
                <m:sSubPr/>
                <m:e>
                  <m:r>
                    <m:rPr>
                      <m:sty m:val="p"/>
                    </m:rPr>
                    <m:t>Γ</m:t>
                  </m:r>
                </m:e>
                <m:sub>
                  <m:r>
                    <m:rPr/>
                    <m:t>i</m:t>
                  </m:r>
                </m:sub>
              </m:sSub>
            </m:e>
          </m:d>
          <m:r>
            <m:rPr>
              <m:sty m:val="p"/>
            </m:rPr>
            <m:t>→</m:t>
          </m:r>
          <m:sSub>
            <m:sSubPr/>
            <m:e>
              <m:r>
                <m:rPr/>
                <m:t>r</m:t>
              </m:r>
            </m:e>
            <m:sub>
              <m:r>
                <m:rPr/>
                <m:t>i</m:t>
              </m:r>
            </m:sub>
          </m:sSub>
          <m:limUpp>
            <m:limUppPr/>
            <m:e>
              <m:r>
                <m:rPr>
                  <m:sty m:val="p"/>
                </m:rPr>
                <m:t>→</m:t>
              </m:r>
            </m:e>
            <m:lim>
              <m:r>
                <m:rPr>
                  <m:nor/>
                  <m:sty m:val="p"/>
                </m:rPr>
                <w:rPr>
                  <w:b w:val="0"/>
                  <w:i w:val="0"/>
                </w:rPr>
                <m:t>SRSS/NRL/GRP/CQC</m:t>
              </m:r>
            </m:lim>
          </m:limUpp>
          <m:r>
            <m:rPr/>
            <m:t>R</m:t>
          </m:r>
        </m:oMath>
      </m:oMathPara>
    </w:p>
    <w:p w14:paraId="313B82A2">
      <w:pPr>
        <w:pStyle w:val="70"/>
      </w:pPr>
      <w:r>
        <w:rPr>
          <w:rFonts w:hint="eastAsia"/>
        </w:rPr>
        <w:t>其中，</w:t>
      </w:r>
      <m:oMath>
        <m:r>
          <m:rPr/>
          <m:t>S</m:t>
        </m:r>
        <m:r>
          <m:rPr>
            <m:sty m:val="p"/>
          </m:rPr>
          <m:t>(</m:t>
        </m:r>
        <m:sSub>
          <m:sSubPr/>
          <m:e>
            <m:r>
              <m:rPr/>
              <m:t>ω</m:t>
            </m:r>
          </m:e>
          <m:sub>
            <m:r>
              <m:rPr/>
              <m:t>i</m:t>
            </m:r>
          </m:sub>
        </m:sSub>
        <m:r>
          <m:rPr>
            <m:sty m:val="p"/>
          </m:rPr>
          <m:t>,</m:t>
        </m:r>
        <m:sSub>
          <m:sSubPr/>
          <m:e>
            <m:r>
              <m:rPr/>
              <m:t>ξ</m:t>
            </m:r>
          </m:e>
          <m:sub>
            <m:r>
              <m:rPr/>
              <m:t>i</m:t>
            </m:r>
          </m:sub>
        </m:sSub>
        <m:r>
          <m:rPr>
            <m:sty m:val="p"/>
          </m:rPr>
          <m:t>)</m:t>
        </m:r>
      </m:oMath>
      <w:r>
        <w:t xml:space="preserve"> </w:t>
      </w:r>
      <w:r>
        <w:rPr>
          <w:rFonts w:hint="eastAsia"/>
        </w:rPr>
        <w:t>表示在第</w:t>
      </w:r>
      <w:r>
        <w:t xml:space="preserve"> </w:t>
      </w:r>
      <m:oMath>
        <m:r>
          <m:rPr/>
          <m:t>i</m:t>
        </m:r>
      </m:oMath>
      <w:r>
        <w:t xml:space="preserve"> </w:t>
      </w:r>
      <w:r>
        <w:rPr>
          <w:rFonts w:hint="eastAsia"/>
        </w:rPr>
        <w:t>阶固有频率和阻尼比处取得的设计反应谱值，</w:t>
      </w:r>
      <m:oMath>
        <m:sSub>
          <m:sSubPr/>
          <m:e>
            <m:r>
              <m:rPr/>
              <m:t>r</m:t>
            </m:r>
          </m:e>
          <m:sub>
            <m:r>
              <m:rPr/>
              <m:t>i</m:t>
            </m:r>
          </m:sub>
        </m:sSub>
      </m:oMath>
      <w:r>
        <w:t xml:space="preserve"> </w:t>
      </w:r>
      <w:r>
        <w:rPr>
          <w:rFonts w:hint="eastAsia"/>
        </w:rPr>
        <w:t>为该阶模态对指定响应量的峰值贡献，</w:t>
      </w:r>
      <m:oMath>
        <m:r>
          <m:rPr/>
          <m:t>R</m:t>
        </m:r>
      </m:oMath>
      <w:r>
        <w:t xml:space="preserve"> </w:t>
      </w:r>
      <w:r>
        <w:rPr>
          <w:rFonts w:hint="eastAsia"/>
        </w:rPr>
        <w:t>为组合后的总峰值估计。支持单点及多点激励，提供</w:t>
      </w:r>
      <w:r>
        <w:t xml:space="preserve"> SRSS、NRL、GRP、CQC </w:t>
      </w:r>
      <w:r>
        <w:rPr>
          <w:rFonts w:hint="eastAsia"/>
        </w:rPr>
        <w:t>四种模态组合方法。</w:t>
      </w:r>
    </w:p>
    <w:p w14:paraId="5A4297D8">
      <w:pPr>
        <w:pStyle w:val="11"/>
      </w:pPr>
      <w:r>
        <w:rPr>
          <w:rFonts w:hint="eastAsia"/>
        </w:rPr>
        <w:t>实现流程上，模块先对反应谱曲线、阻尼比、输入方向和支座分组进行校验，再计算模态参与系数和各阶峰值贡献，最后按选定组合方法得到总峰值响应。对位移、速度、加速度、内力和应力等不同响应量，模块通过相应反应谱量或结果恢复算子进行计算，不混用位移峰值公式。验收材料包括反应谱插值记录、模态参与系数表、各阶峰值贡献表、组合结果表，以及</w:t>
      </w:r>
      <w:r>
        <w:t xml:space="preserve"> SRSS/NRL/GRP/CQC </w:t>
      </w:r>
      <w:r>
        <w:rPr>
          <w:rFonts w:hint="eastAsia"/>
        </w:rPr>
        <w:t>四种方法的算例测试报告。</w:t>
      </w:r>
    </w:p>
    <w:bookmarkEnd w:id="16"/>
    <w:p w14:paraId="20703A19">
      <w:pPr>
        <w:pStyle w:val="4"/>
      </w:pPr>
      <w:bookmarkStart w:id="17" w:name="性能指标逐条响应20-项全部完全响应"/>
      <w:r>
        <w:t xml:space="preserve">3.2 ▲ </w:t>
      </w:r>
      <w:r>
        <w:rPr>
          <w:rFonts w:hint="eastAsia"/>
        </w:rPr>
        <w:t>性能指标逐条响应（20</w:t>
      </w:r>
      <w:r>
        <w:t xml:space="preserve"> </w:t>
      </w:r>
      <w:r>
        <w:rPr>
          <w:rFonts w:hint="eastAsia"/>
        </w:rPr>
        <w:t>项，全部完全响应）</w:t>
      </w:r>
    </w:p>
    <w:p w14:paraId="5DEDC999">
      <w:pPr>
        <w:pStyle w:val="5"/>
      </w:pPr>
      <w:bookmarkStart w:id="18" w:name="一平稳随机振动建模支撑能力19完全响应"/>
      <w:r>
        <w:rPr>
          <w:rFonts w:hint="eastAsia"/>
        </w:rPr>
        <w:t>（一）平稳随机振动建模支撑能力（▲1–▲9，完全响应）</w:t>
      </w:r>
    </w:p>
    <w:p w14:paraId="4B9CFAD9">
      <w:pPr>
        <w:pStyle w:val="70"/>
      </w:pPr>
      <w:r>
        <w:rPr>
          <w:rFonts w:hint="eastAsia"/>
        </w:rPr>
        <w:t>下列</w:t>
      </w:r>
      <w:r>
        <w:t xml:space="preserve"> 9 </w:t>
      </w:r>
      <w:r>
        <w:rPr>
          <w:rFonts w:hint="eastAsia"/>
        </w:rPr>
        <w:t>项由模型适配与分析数据准备层统一承接，全部完全响应。本模块不重复建设通用有限元前处理和基础求解功能，但确保相应单元、连接、质量、阻尼、材料和约束模型形成的矩阵、模态、自由度映射、载荷通道、响应位置及结果恢复数据能够完整进入平稳随机振动分析流程，并可按节点、单元及指定响应分量输出位移、速度、加速度、内力或应力等响应的功率谱和均方根结果。证明材料采用对应模型的随机振动算例、接口数据检查记录、节点/单元结果及截图。</w:t>
      </w:r>
    </w:p>
    <w:tbl>
      <w:tblPr>
        <w:tblStyle w:val="16"/>
        <w:tblW w:w="8306" w:type="dxa"/>
        <w:tblInd w:w="0" w:type="dxa"/>
        <w:tblLayout w:type="fixed"/>
        <w:tblCellMar>
          <w:top w:w="0" w:type="dxa"/>
          <w:left w:w="108" w:type="dxa"/>
          <w:bottom w:w="0" w:type="dxa"/>
          <w:right w:w="108" w:type="dxa"/>
        </w:tblCellMar>
      </w:tblPr>
      <w:tblGrid>
        <w:gridCol w:w="760"/>
        <w:gridCol w:w="2500"/>
        <w:gridCol w:w="1100"/>
        <w:gridCol w:w="3946"/>
      </w:tblGrid>
      <w:tr w14:paraId="52BD4347">
        <w:tblPrEx>
          <w:tblCellMar>
            <w:top w:w="0" w:type="dxa"/>
            <w:left w:w="108" w:type="dxa"/>
            <w:bottom w:w="0" w:type="dxa"/>
            <w:right w:w="108" w:type="dxa"/>
          </w:tblCellMar>
        </w:tblPrEx>
        <w:trPr>
          <w:tblHeader/>
        </w:trPr>
        <w:tc>
          <w:tcPr>
            <w:tcW w:w="760" w:type="dxa"/>
          </w:tcPr>
          <w:p w14:paraId="64420BEE">
            <w:pPr>
              <w:pStyle w:val="71"/>
              <w:jc w:val="center"/>
            </w:pPr>
            <w:r>
              <w:rPr>
                <w:rFonts w:hint="eastAsia"/>
              </w:rPr>
              <w:t>序号</w:t>
            </w:r>
          </w:p>
        </w:tc>
        <w:tc>
          <w:tcPr>
            <w:tcW w:w="2500" w:type="dxa"/>
          </w:tcPr>
          <w:p w14:paraId="725A7B82">
            <w:pPr>
              <w:pStyle w:val="71"/>
            </w:pPr>
            <w:r>
              <w:t xml:space="preserve">▲ </w:t>
            </w:r>
            <w:r>
              <w:rPr>
                <w:rFonts w:hint="eastAsia"/>
              </w:rPr>
              <w:t>指标（平稳随机振动分析支持…）</w:t>
            </w:r>
          </w:p>
        </w:tc>
        <w:tc>
          <w:tcPr>
            <w:tcW w:w="1100" w:type="dxa"/>
          </w:tcPr>
          <w:p w14:paraId="30DB9FE1">
            <w:pPr>
              <w:pStyle w:val="71"/>
              <w:jc w:val="center"/>
            </w:pPr>
            <w:r>
              <w:rPr>
                <w:rFonts w:hint="eastAsia"/>
              </w:rPr>
              <w:t>响应</w:t>
            </w:r>
          </w:p>
        </w:tc>
        <w:tc>
          <w:tcPr>
            <w:tcW w:w="3946" w:type="dxa"/>
          </w:tcPr>
          <w:p w14:paraId="544D5573">
            <w:pPr>
              <w:pStyle w:val="71"/>
            </w:pPr>
            <w:r>
              <w:rPr>
                <w:rFonts w:hint="eastAsia"/>
              </w:rPr>
              <w:t>实现要点</w:t>
            </w:r>
          </w:p>
        </w:tc>
      </w:tr>
      <w:tr w14:paraId="26C2AF18">
        <w:tblPrEx>
          <w:tblCellMar>
            <w:top w:w="0" w:type="dxa"/>
            <w:left w:w="108" w:type="dxa"/>
            <w:bottom w:w="0" w:type="dxa"/>
            <w:right w:w="108" w:type="dxa"/>
          </w:tblCellMar>
        </w:tblPrEx>
        <w:tc>
          <w:tcPr>
            <w:tcW w:w="760" w:type="dxa"/>
          </w:tcPr>
          <w:p w14:paraId="239C0BA0">
            <w:pPr>
              <w:pStyle w:val="71"/>
              <w:jc w:val="center"/>
            </w:pPr>
            <w:r>
              <w:t>▲1</w:t>
            </w:r>
          </w:p>
        </w:tc>
        <w:tc>
          <w:tcPr>
            <w:tcW w:w="2500" w:type="dxa"/>
          </w:tcPr>
          <w:p w14:paraId="6AF2AE35">
            <w:pPr>
              <w:pStyle w:val="71"/>
            </w:pPr>
            <w:r>
              <w:rPr>
                <w:rFonts w:hint="eastAsia"/>
              </w:rPr>
              <w:t>一维杆单元、梁单元</w:t>
            </w:r>
          </w:p>
        </w:tc>
        <w:tc>
          <w:tcPr>
            <w:tcW w:w="1100" w:type="dxa"/>
          </w:tcPr>
          <w:p w14:paraId="414EBC0E">
            <w:pPr>
              <w:pStyle w:val="71"/>
              <w:jc w:val="center"/>
            </w:pPr>
            <w:r>
              <w:rPr>
                <w:rFonts w:hint="eastAsia"/>
              </w:rPr>
              <w:t>完全响应</w:t>
            </w:r>
          </w:p>
        </w:tc>
        <w:tc>
          <w:tcPr>
            <w:tcW w:w="3946" w:type="dxa"/>
          </w:tcPr>
          <w:p w14:paraId="596F984F">
            <w:pPr>
              <w:pStyle w:val="71"/>
            </w:pPr>
            <w:r>
              <w:rPr>
                <w:rFonts w:hint="eastAsia"/>
              </w:rPr>
              <w:t>接收杆/梁模型形成的矩阵、模态、自由度映射、载荷通道和结果恢复数据，支持节点响应及单元轴力、弯矩、应力等指定响应量的随机振动分析</w:t>
            </w:r>
          </w:p>
        </w:tc>
      </w:tr>
      <w:tr w14:paraId="1132B63C">
        <w:tblPrEx>
          <w:tblCellMar>
            <w:top w:w="0" w:type="dxa"/>
            <w:left w:w="108" w:type="dxa"/>
            <w:bottom w:w="0" w:type="dxa"/>
            <w:right w:w="108" w:type="dxa"/>
          </w:tblCellMar>
        </w:tblPrEx>
        <w:tc>
          <w:tcPr>
            <w:tcW w:w="760" w:type="dxa"/>
          </w:tcPr>
          <w:p w14:paraId="52DAAF13">
            <w:pPr>
              <w:pStyle w:val="71"/>
              <w:jc w:val="center"/>
            </w:pPr>
            <w:r>
              <w:t>▲2</w:t>
            </w:r>
          </w:p>
        </w:tc>
        <w:tc>
          <w:tcPr>
            <w:tcW w:w="2500" w:type="dxa"/>
          </w:tcPr>
          <w:p w14:paraId="608CBD24">
            <w:pPr>
              <w:pStyle w:val="71"/>
            </w:pPr>
            <w:r>
              <w:rPr>
                <w:rFonts w:hint="eastAsia"/>
              </w:rPr>
              <w:t>二维剪切单元、三节点壳单元、四节点壳单元</w:t>
            </w:r>
          </w:p>
        </w:tc>
        <w:tc>
          <w:tcPr>
            <w:tcW w:w="1100" w:type="dxa"/>
          </w:tcPr>
          <w:p w14:paraId="06DC8423">
            <w:pPr>
              <w:pStyle w:val="71"/>
              <w:jc w:val="center"/>
            </w:pPr>
            <w:r>
              <w:rPr>
                <w:rFonts w:hint="eastAsia"/>
              </w:rPr>
              <w:t>完全响应</w:t>
            </w:r>
          </w:p>
        </w:tc>
        <w:tc>
          <w:tcPr>
            <w:tcW w:w="3946" w:type="dxa"/>
          </w:tcPr>
          <w:p w14:paraId="6946EB83">
            <w:pPr>
              <w:pStyle w:val="71"/>
            </w:pPr>
            <w:r>
              <w:rPr>
                <w:rFonts w:hint="eastAsia"/>
              </w:rPr>
              <w:t>接收二维剪切单元及壳模型分析数据，保持节点、自由度、材料坐标系、载荷通道及膜力、弯矩、应力等响应分量的映射</w:t>
            </w:r>
          </w:p>
        </w:tc>
      </w:tr>
      <w:tr w14:paraId="27214FBA">
        <w:tblPrEx>
          <w:tblCellMar>
            <w:top w:w="0" w:type="dxa"/>
            <w:left w:w="108" w:type="dxa"/>
            <w:bottom w:w="0" w:type="dxa"/>
            <w:right w:w="108" w:type="dxa"/>
          </w:tblCellMar>
        </w:tblPrEx>
        <w:tc>
          <w:tcPr>
            <w:tcW w:w="760" w:type="dxa"/>
          </w:tcPr>
          <w:p w14:paraId="61268B44">
            <w:pPr>
              <w:pStyle w:val="71"/>
              <w:jc w:val="center"/>
            </w:pPr>
            <w:r>
              <w:t>▲3</w:t>
            </w:r>
          </w:p>
        </w:tc>
        <w:tc>
          <w:tcPr>
            <w:tcW w:w="2500" w:type="dxa"/>
          </w:tcPr>
          <w:p w14:paraId="592BE1DD">
            <w:pPr>
              <w:pStyle w:val="71"/>
            </w:pPr>
            <w:r>
              <w:rPr>
                <w:rFonts w:hint="eastAsia"/>
              </w:rPr>
              <w:t>三维四面体、六面体、三棱柱等实体单元</w:t>
            </w:r>
          </w:p>
        </w:tc>
        <w:tc>
          <w:tcPr>
            <w:tcW w:w="1100" w:type="dxa"/>
          </w:tcPr>
          <w:p w14:paraId="46207D99">
            <w:pPr>
              <w:pStyle w:val="71"/>
              <w:jc w:val="center"/>
            </w:pPr>
            <w:r>
              <w:rPr>
                <w:rFonts w:hint="eastAsia"/>
              </w:rPr>
              <w:t>完全响应</w:t>
            </w:r>
          </w:p>
        </w:tc>
        <w:tc>
          <w:tcPr>
            <w:tcW w:w="3946" w:type="dxa"/>
          </w:tcPr>
          <w:p w14:paraId="03BA0BBC">
            <w:pPr>
              <w:pStyle w:val="71"/>
            </w:pPr>
            <w:r>
              <w:rPr>
                <w:rFonts w:hint="eastAsia"/>
              </w:rPr>
              <w:t>接收实体模型形成的矩阵、模态和结果恢复数据，支持节点响应及实体单元应力等指定响应量的提取</w:t>
            </w:r>
          </w:p>
        </w:tc>
      </w:tr>
      <w:tr w14:paraId="1DC20E09">
        <w:tblPrEx>
          <w:tblCellMar>
            <w:top w:w="0" w:type="dxa"/>
            <w:left w:w="108" w:type="dxa"/>
            <w:bottom w:w="0" w:type="dxa"/>
            <w:right w:w="108" w:type="dxa"/>
          </w:tblCellMar>
        </w:tblPrEx>
        <w:tc>
          <w:tcPr>
            <w:tcW w:w="760" w:type="dxa"/>
          </w:tcPr>
          <w:p w14:paraId="13DEFED5">
            <w:pPr>
              <w:pStyle w:val="71"/>
              <w:jc w:val="center"/>
            </w:pPr>
            <w:r>
              <w:t>▲4</w:t>
            </w:r>
          </w:p>
        </w:tc>
        <w:tc>
          <w:tcPr>
            <w:tcW w:w="2500" w:type="dxa"/>
          </w:tcPr>
          <w:p w14:paraId="1AB85712">
            <w:pPr>
              <w:pStyle w:val="71"/>
            </w:pPr>
            <w:r>
              <w:rPr>
                <w:rFonts w:hint="eastAsia"/>
              </w:rPr>
              <w:t>刚性连接、刚性多点约束（RBAR、RBE2</w:t>
            </w:r>
            <w:r>
              <w:t xml:space="preserve"> </w:t>
            </w:r>
            <w:r>
              <w:rPr>
                <w:rFonts w:hint="eastAsia"/>
              </w:rPr>
              <w:t>或等效）</w:t>
            </w:r>
          </w:p>
        </w:tc>
        <w:tc>
          <w:tcPr>
            <w:tcW w:w="1100" w:type="dxa"/>
          </w:tcPr>
          <w:p w14:paraId="380500D0">
            <w:pPr>
              <w:pStyle w:val="71"/>
              <w:jc w:val="center"/>
            </w:pPr>
            <w:r>
              <w:rPr>
                <w:rFonts w:hint="eastAsia"/>
              </w:rPr>
              <w:t>完全响应</w:t>
            </w:r>
          </w:p>
        </w:tc>
        <w:tc>
          <w:tcPr>
            <w:tcW w:w="3946" w:type="dxa"/>
          </w:tcPr>
          <w:p w14:paraId="4725A6EB">
            <w:pPr>
              <w:pStyle w:val="71"/>
            </w:pPr>
            <w:r>
              <w:rPr>
                <w:rFonts w:hint="eastAsia"/>
              </w:rPr>
              <w:t>承接施加刚性连接和多点约束后的矩阵、模态及自由度映射</w:t>
            </w:r>
          </w:p>
        </w:tc>
      </w:tr>
      <w:tr w14:paraId="0E90AAC7">
        <w:tblPrEx>
          <w:tblCellMar>
            <w:top w:w="0" w:type="dxa"/>
            <w:left w:w="108" w:type="dxa"/>
            <w:bottom w:w="0" w:type="dxa"/>
            <w:right w:w="108" w:type="dxa"/>
          </w:tblCellMar>
        </w:tblPrEx>
        <w:tc>
          <w:tcPr>
            <w:tcW w:w="760" w:type="dxa"/>
          </w:tcPr>
          <w:p w14:paraId="1526180D">
            <w:pPr>
              <w:pStyle w:val="71"/>
              <w:jc w:val="center"/>
            </w:pPr>
            <w:r>
              <w:t>▲5</w:t>
            </w:r>
          </w:p>
        </w:tc>
        <w:tc>
          <w:tcPr>
            <w:tcW w:w="2500" w:type="dxa"/>
          </w:tcPr>
          <w:p w14:paraId="2C2AD982">
            <w:pPr>
              <w:pStyle w:val="71"/>
            </w:pPr>
            <w:r>
              <w:rPr>
                <w:rFonts w:hint="eastAsia"/>
              </w:rPr>
              <w:t>焊接连接、紧固件连接（CWELD、CFAST</w:t>
            </w:r>
            <w:r>
              <w:t xml:space="preserve"> </w:t>
            </w:r>
            <w:r>
              <w:rPr>
                <w:rFonts w:hint="eastAsia"/>
              </w:rPr>
              <w:t>或等效）</w:t>
            </w:r>
          </w:p>
        </w:tc>
        <w:tc>
          <w:tcPr>
            <w:tcW w:w="1100" w:type="dxa"/>
          </w:tcPr>
          <w:p w14:paraId="4CD3C66D">
            <w:pPr>
              <w:pStyle w:val="71"/>
              <w:jc w:val="center"/>
            </w:pPr>
            <w:r>
              <w:rPr>
                <w:rFonts w:hint="eastAsia"/>
              </w:rPr>
              <w:t>完全响应</w:t>
            </w:r>
          </w:p>
        </w:tc>
        <w:tc>
          <w:tcPr>
            <w:tcW w:w="3946" w:type="dxa"/>
          </w:tcPr>
          <w:p w14:paraId="761FE890">
            <w:pPr>
              <w:pStyle w:val="71"/>
            </w:pPr>
            <w:r>
              <w:rPr>
                <w:rFonts w:hint="eastAsia"/>
              </w:rPr>
              <w:t>承接焊接及紧固件连接形成的矩阵贡献、自由度关系和连接位置结果映射</w:t>
            </w:r>
          </w:p>
        </w:tc>
      </w:tr>
      <w:tr w14:paraId="6AD49F91">
        <w:tblPrEx>
          <w:tblCellMar>
            <w:top w:w="0" w:type="dxa"/>
            <w:left w:w="108" w:type="dxa"/>
            <w:bottom w:w="0" w:type="dxa"/>
            <w:right w:w="108" w:type="dxa"/>
          </w:tblCellMar>
        </w:tblPrEx>
        <w:tc>
          <w:tcPr>
            <w:tcW w:w="760" w:type="dxa"/>
          </w:tcPr>
          <w:p w14:paraId="1AD4B7B7">
            <w:pPr>
              <w:pStyle w:val="71"/>
              <w:jc w:val="center"/>
            </w:pPr>
            <w:r>
              <w:t>▲6</w:t>
            </w:r>
          </w:p>
        </w:tc>
        <w:tc>
          <w:tcPr>
            <w:tcW w:w="2500" w:type="dxa"/>
          </w:tcPr>
          <w:p w14:paraId="522640CE">
            <w:pPr>
              <w:pStyle w:val="71"/>
            </w:pPr>
            <w:r>
              <w:rPr>
                <w:rFonts w:hint="eastAsia"/>
              </w:rPr>
              <w:t>集中质量与协调质量单元（CMASS1、CONM1、CONM2</w:t>
            </w:r>
            <w:r>
              <w:t xml:space="preserve"> </w:t>
            </w:r>
            <w:r>
              <w:rPr>
                <w:rFonts w:hint="eastAsia"/>
              </w:rPr>
              <w:t>或等效）</w:t>
            </w:r>
          </w:p>
        </w:tc>
        <w:tc>
          <w:tcPr>
            <w:tcW w:w="1100" w:type="dxa"/>
          </w:tcPr>
          <w:p w14:paraId="1CD4E271">
            <w:pPr>
              <w:pStyle w:val="71"/>
              <w:jc w:val="center"/>
            </w:pPr>
            <w:r>
              <w:rPr>
                <w:rFonts w:hint="eastAsia"/>
              </w:rPr>
              <w:t>完全响应</w:t>
            </w:r>
          </w:p>
        </w:tc>
        <w:tc>
          <w:tcPr>
            <w:tcW w:w="3946" w:type="dxa"/>
          </w:tcPr>
          <w:p w14:paraId="3135605A">
            <w:pPr>
              <w:pStyle w:val="71"/>
            </w:pPr>
            <w:r>
              <w:rPr>
                <w:rFonts w:hint="eastAsia"/>
              </w:rPr>
              <w:t>支持</w:t>
            </w:r>
            <w:r>
              <w:t xml:space="preserve"> CMASS1 </w:t>
            </w:r>
            <w:r>
              <w:rPr>
                <w:rFonts w:hint="eastAsia"/>
              </w:rPr>
              <w:t>标量集中质量、CONM1</w:t>
            </w:r>
            <w:r>
              <w:t xml:space="preserve"> </w:t>
            </w:r>
            <w:r>
              <w:rPr>
                <w:rFonts w:hint="eastAsia"/>
              </w:rPr>
              <w:t>一般集中质量矩阵，以及</w:t>
            </w:r>
            <w:r>
              <w:t xml:space="preserve"> CONM2 </w:t>
            </w:r>
            <w:r>
              <w:rPr>
                <w:rFonts w:hint="eastAsia"/>
              </w:rPr>
              <w:t>集中质量、偏心和转动惯量信息；对按一致（协调）质量列式形成的质量矩阵，按上游单元装配结果整体承接，并统一维护其质量矩阵及自由度映射</w:t>
            </w:r>
          </w:p>
        </w:tc>
      </w:tr>
      <w:tr w14:paraId="0082382F">
        <w:tblPrEx>
          <w:tblCellMar>
            <w:top w:w="0" w:type="dxa"/>
            <w:left w:w="108" w:type="dxa"/>
            <w:bottom w:w="0" w:type="dxa"/>
            <w:right w:w="108" w:type="dxa"/>
          </w:tblCellMar>
        </w:tblPrEx>
        <w:tc>
          <w:tcPr>
            <w:tcW w:w="760" w:type="dxa"/>
          </w:tcPr>
          <w:p w14:paraId="04D99E39">
            <w:pPr>
              <w:pStyle w:val="71"/>
              <w:jc w:val="center"/>
            </w:pPr>
            <w:r>
              <w:t>▲7</w:t>
            </w:r>
          </w:p>
        </w:tc>
        <w:tc>
          <w:tcPr>
            <w:tcW w:w="2500" w:type="dxa"/>
          </w:tcPr>
          <w:p w14:paraId="58A2AE1D">
            <w:pPr>
              <w:pStyle w:val="71"/>
            </w:pPr>
            <w:r>
              <w:rPr>
                <w:rFonts w:hint="eastAsia"/>
              </w:rPr>
              <w:t>粘性阻尼、模态阻尼、瑞利阻尼单元（CVISC、CDAMP1/2/3</w:t>
            </w:r>
            <w:r>
              <w:t xml:space="preserve"> </w:t>
            </w:r>
            <w:r>
              <w:rPr>
                <w:rFonts w:hint="eastAsia"/>
              </w:rPr>
              <w:t>或等效）</w:t>
            </w:r>
          </w:p>
        </w:tc>
        <w:tc>
          <w:tcPr>
            <w:tcW w:w="1100" w:type="dxa"/>
          </w:tcPr>
          <w:p w14:paraId="0E2BF2DA">
            <w:pPr>
              <w:pStyle w:val="71"/>
              <w:jc w:val="center"/>
            </w:pPr>
            <w:r>
              <w:rPr>
                <w:rFonts w:hint="eastAsia"/>
              </w:rPr>
              <w:t>完全响应</w:t>
            </w:r>
          </w:p>
        </w:tc>
        <w:tc>
          <w:tcPr>
            <w:tcW w:w="3946" w:type="dxa"/>
          </w:tcPr>
          <w:p w14:paraId="6E23DB63">
            <w:pPr>
              <w:pStyle w:val="71"/>
            </w:pPr>
            <w:r>
              <w:rPr>
                <w:rFonts w:hint="eastAsia"/>
              </w:rPr>
              <w:t>支持粘性阻尼单元形成的阻尼矩阵、各阶模态阻尼比，以及瑞利阻尼系数或相应阻尼矩阵输入</w:t>
            </w:r>
          </w:p>
        </w:tc>
      </w:tr>
      <w:tr w14:paraId="07B2162F">
        <w:tblPrEx>
          <w:tblCellMar>
            <w:top w:w="0" w:type="dxa"/>
            <w:left w:w="108" w:type="dxa"/>
            <w:bottom w:w="0" w:type="dxa"/>
            <w:right w:w="108" w:type="dxa"/>
          </w:tblCellMar>
        </w:tblPrEx>
        <w:tc>
          <w:tcPr>
            <w:tcW w:w="760" w:type="dxa"/>
          </w:tcPr>
          <w:p w14:paraId="61727C12">
            <w:pPr>
              <w:pStyle w:val="71"/>
              <w:jc w:val="center"/>
            </w:pPr>
            <w:r>
              <w:t>▲8</w:t>
            </w:r>
          </w:p>
        </w:tc>
        <w:tc>
          <w:tcPr>
            <w:tcW w:w="2500" w:type="dxa"/>
          </w:tcPr>
          <w:p w14:paraId="6772580B">
            <w:pPr>
              <w:pStyle w:val="71"/>
            </w:pPr>
            <w:r>
              <w:rPr>
                <w:rFonts w:hint="eastAsia"/>
              </w:rPr>
              <w:t>各向同性、各向异性、正交各向异性复合材料（MAT1、MAT2、MAT8</w:t>
            </w:r>
            <w:r>
              <w:t xml:space="preserve"> </w:t>
            </w:r>
            <w:r>
              <w:rPr>
                <w:rFonts w:hint="eastAsia"/>
              </w:rPr>
              <w:t>或等效）</w:t>
            </w:r>
          </w:p>
        </w:tc>
        <w:tc>
          <w:tcPr>
            <w:tcW w:w="1100" w:type="dxa"/>
          </w:tcPr>
          <w:p w14:paraId="26998653">
            <w:pPr>
              <w:pStyle w:val="71"/>
              <w:jc w:val="center"/>
            </w:pPr>
            <w:r>
              <w:rPr>
                <w:rFonts w:hint="eastAsia"/>
              </w:rPr>
              <w:t>完全响应</w:t>
            </w:r>
          </w:p>
        </w:tc>
        <w:tc>
          <w:tcPr>
            <w:tcW w:w="3946" w:type="dxa"/>
          </w:tcPr>
          <w:p w14:paraId="15995CF0">
            <w:pPr>
              <w:pStyle w:val="71"/>
            </w:pPr>
            <w:r>
              <w:rPr>
                <w:rFonts w:hint="eastAsia"/>
              </w:rPr>
              <w:t>承接</w:t>
            </w:r>
            <w:r>
              <w:t xml:space="preserve"> MAT1、MAT2、MAT8 </w:t>
            </w:r>
            <w:r>
              <w:rPr>
                <w:rFonts w:hint="eastAsia"/>
              </w:rPr>
              <w:t>或等效材料模型形成的刚度、质量、模态及结果恢复数据，并保持材料坐标系和响应分量映射</w:t>
            </w:r>
          </w:p>
        </w:tc>
      </w:tr>
      <w:tr w14:paraId="404F6662">
        <w:tblPrEx>
          <w:tblCellMar>
            <w:top w:w="0" w:type="dxa"/>
            <w:left w:w="108" w:type="dxa"/>
            <w:bottom w:w="0" w:type="dxa"/>
            <w:right w:w="108" w:type="dxa"/>
          </w:tblCellMar>
        </w:tblPrEx>
        <w:tc>
          <w:tcPr>
            <w:tcW w:w="760" w:type="dxa"/>
          </w:tcPr>
          <w:p w14:paraId="0212F269">
            <w:pPr>
              <w:pStyle w:val="71"/>
              <w:jc w:val="center"/>
            </w:pPr>
            <w:r>
              <w:t>▲9</w:t>
            </w:r>
          </w:p>
        </w:tc>
        <w:tc>
          <w:tcPr>
            <w:tcW w:w="2500" w:type="dxa"/>
          </w:tcPr>
          <w:p w14:paraId="64DC0473">
            <w:pPr>
              <w:pStyle w:val="71"/>
            </w:pPr>
            <w:r>
              <w:rPr>
                <w:rFonts w:hint="eastAsia"/>
              </w:rPr>
              <w:t>单点约束、强制位移、多点约束（SPC、SPCD、MPC</w:t>
            </w:r>
            <w:r>
              <w:t xml:space="preserve"> </w:t>
            </w:r>
            <w:r>
              <w:rPr>
                <w:rFonts w:hint="eastAsia"/>
              </w:rPr>
              <w:t>或等效）</w:t>
            </w:r>
          </w:p>
        </w:tc>
        <w:tc>
          <w:tcPr>
            <w:tcW w:w="1100" w:type="dxa"/>
          </w:tcPr>
          <w:p w14:paraId="7B1644E8">
            <w:pPr>
              <w:pStyle w:val="71"/>
              <w:jc w:val="center"/>
            </w:pPr>
            <w:r>
              <w:rPr>
                <w:rFonts w:hint="eastAsia"/>
              </w:rPr>
              <w:t>完全响应</w:t>
            </w:r>
          </w:p>
        </w:tc>
        <w:tc>
          <w:tcPr>
            <w:tcW w:w="3946" w:type="dxa"/>
          </w:tcPr>
          <w:p w14:paraId="4B8B3470">
            <w:pPr>
              <w:pStyle w:val="71"/>
            </w:pPr>
            <w:r>
              <w:rPr>
                <w:rFonts w:hint="eastAsia"/>
              </w:rPr>
              <w:t>支持</w:t>
            </w:r>
            <w:r>
              <w:t xml:space="preserve"> SPC、SPCD、MPC </w:t>
            </w:r>
            <w:r>
              <w:rPr>
                <w:rFonts w:hint="eastAsia"/>
              </w:rPr>
              <w:t>处理后的自由度映射，并通过</w:t>
            </w:r>
            <w:r>
              <w:t xml:space="preserve"> SPCD </w:t>
            </w:r>
            <w:r>
              <w:rPr>
                <w:rFonts w:hint="eastAsia"/>
              </w:rPr>
              <w:t>或等效通道接收基础运动的位移、速度、加速度或相应谱输入</w:t>
            </w:r>
          </w:p>
        </w:tc>
      </w:tr>
    </w:tbl>
    <w:p w14:paraId="092E1D6A">
      <w:pPr>
        <w:pStyle w:val="12"/>
      </w:pPr>
      <w:r>
        <w:rPr>
          <w:rFonts w:hint="eastAsia"/>
        </w:rPr>
        <w:t>说明：模型适配时按连接和约束的力学机理区分数据处理——RBAR/RBE2</w:t>
      </w:r>
      <w:r>
        <w:t xml:space="preserve"> </w:t>
      </w:r>
      <w:r>
        <w:rPr>
          <w:rFonts w:hint="eastAsia"/>
        </w:rPr>
        <w:t>或等效连接按运动学刚性约束处理，CWELD/CFAST</w:t>
      </w:r>
      <w:r>
        <w:t xml:space="preserve"> </w:t>
      </w:r>
      <w:r>
        <w:rPr>
          <w:rFonts w:hint="eastAsia"/>
        </w:rPr>
        <w:t>或等效连接按具有物理特性的连接件处理；SPC</w:t>
      </w:r>
      <w:r>
        <w:t xml:space="preserve"> </w:t>
      </w:r>
      <w:r>
        <w:rPr>
          <w:rFonts w:hint="eastAsia"/>
        </w:rPr>
        <w:t>用于单点约束，SPCD</w:t>
      </w:r>
      <w:r>
        <w:t xml:space="preserve"> </w:t>
      </w:r>
      <w:r>
        <w:rPr>
          <w:rFonts w:hint="eastAsia"/>
        </w:rPr>
        <w:t>用于非零强制位移或基础运动输入，MPC</w:t>
      </w:r>
      <w:r>
        <w:t xml:space="preserve"> </w:t>
      </w:r>
      <w:r>
        <w:rPr>
          <w:rFonts w:hint="eastAsia"/>
        </w:rPr>
        <w:t>用于多个自由度之间的线性耦合关系。</w:t>
      </w:r>
    </w:p>
    <w:p w14:paraId="7A949325">
      <w:pPr>
        <w:pStyle w:val="70"/>
      </w:pPr>
      <w:r>
        <w:rPr>
          <w:rFonts w:hint="eastAsia"/>
        </w:rPr>
        <w:t>上述</w:t>
      </w:r>
      <w:r>
        <w:t xml:space="preserve"> ▲1–▲9 </w:t>
      </w:r>
      <w:r>
        <w:rPr>
          <w:rFonts w:hint="eastAsia"/>
        </w:rPr>
        <w:t>的共同实现原则是“模型能力由上游有限元底座形成，随机振动能力由</w:t>
      </w:r>
      <w:r>
        <w:t xml:space="preserve"> C </w:t>
      </w:r>
      <w:r>
        <w:rPr>
          <w:rFonts w:hint="eastAsia"/>
        </w:rPr>
        <w:t>模块承接”。C</w:t>
      </w:r>
      <w:r>
        <w:t xml:space="preserve"> </w:t>
      </w:r>
      <w:r>
        <w:rPr>
          <w:rFonts w:hint="eastAsia"/>
        </w:rPr>
        <w:t>模块不重新定义杆、梁、壳、实体、材料或连接单元的刚度和质量公式，而是检查并使用其形成的矩阵、模态、自由度映射、载荷通道和结果恢复算子。对于单元响应，模块保存节点自由度到单元内力、应力或连接力的恢复关系，使响应功率谱和</w:t>
      </w:r>
      <w:r>
        <w:t xml:space="preserve"> RMS </w:t>
      </w:r>
      <w:r>
        <w:rPr>
          <w:rFonts w:hint="eastAsia"/>
        </w:rPr>
        <w:t>不仅能输出到节点位移/速度/加速度，也能输出到梁端力、壳单元膜力/弯矩、实体应力和连接件响应等工程关注量。证明材料按“模型输入检查记录</w:t>
      </w:r>
      <w:r>
        <w:t xml:space="preserve"> + </w:t>
      </w:r>
      <w:r>
        <w:rPr>
          <w:rFonts w:hint="eastAsia"/>
        </w:rPr>
        <w:t>随机振动结果</w:t>
      </w:r>
      <w:r>
        <w:t xml:space="preserve"> + </w:t>
      </w:r>
      <w:r>
        <w:rPr>
          <w:rFonts w:hint="eastAsia"/>
        </w:rPr>
        <w:t>节点/单元输出截图”组织，确保每类模型不是停留在名称支持，而是能够进入完整随机振动分析流程。</w:t>
      </w:r>
    </w:p>
    <w:bookmarkEnd w:id="18"/>
    <w:p w14:paraId="7F56F450">
      <w:pPr>
        <w:pStyle w:val="5"/>
      </w:pPr>
      <w:bookmarkStart w:id="19" w:name="二响应功率谱算法1013完全响应"/>
      <w:r>
        <w:rPr>
          <w:rFonts w:hint="eastAsia"/>
        </w:rPr>
        <w:t>（二）响应功率谱算法（▲10–▲13，完全响应）</w:t>
      </w:r>
    </w:p>
    <w:p w14:paraId="2F531125">
      <w:pPr>
        <w:pStyle w:val="70"/>
      </w:pPr>
      <w:r>
        <w:rPr>
          <w:b/>
          <w:bCs/>
        </w:rPr>
        <w:t xml:space="preserve">▲10 </w:t>
      </w:r>
      <w:r>
        <w:rPr>
          <w:rFonts w:hint="eastAsia"/>
          <w:b/>
          <w:bCs/>
        </w:rPr>
        <w:t>支持</w:t>
      </w:r>
      <w:r>
        <w:rPr>
          <w:b/>
          <w:bCs/>
        </w:rPr>
        <w:t xml:space="preserve"> CQC </w:t>
      </w:r>
      <w:r>
        <w:rPr>
          <w:rFonts w:hint="eastAsia"/>
          <w:b/>
          <w:bCs/>
        </w:rPr>
        <w:t>算法求解响应功率谱。</w:t>
      </w:r>
      <w:r>
        <w:t xml:space="preserve"> </w:t>
      </w:r>
      <w:r>
        <w:rPr>
          <w:rFonts w:hint="eastAsia"/>
        </w:rPr>
        <w:t>完全响应。在线性、经典阻尼、实模态及平稳随机激励条件下，采用模态叠加计算响应功率谱，并保留截断模态集合内的全部模态自谱项和交叉谱项。本节中的</w:t>
      </w:r>
      <w:r>
        <w:t xml:space="preserve"> </w:t>
      </w:r>
      <m:oMath>
        <m:sSub>
          <m:sSubPr/>
          <m:e>
            <m:r>
              <m:rPr>
                <m:sty m:val="bi"/>
              </m:rPr>
              <m:t>S</m:t>
            </m:r>
          </m:e>
          <m:sub>
            <m:r>
              <m:rPr/>
              <m:t>FF</m:t>
            </m:r>
          </m:sub>
        </m:sSub>
        <m:r>
          <m:rPr>
            <m:sty m:val="p"/>
          </m:rPr>
          <m:t>(</m:t>
        </m:r>
        <m:r>
          <m:rPr/>
          <m:t>ω</m:t>
        </m:r>
        <m:r>
          <m:rPr>
            <m:sty m:val="p"/>
          </m:rPr>
          <m:t>)</m:t>
        </m:r>
      </m:oMath>
      <w:r>
        <w:t xml:space="preserve"> </w:t>
      </w:r>
      <w:r>
        <w:rPr>
          <w:rFonts w:hint="eastAsia"/>
        </w:rPr>
        <w:t>均指已映射至结构物理自由度空间的输入激励功率谱矩阵。设第</w:t>
      </w:r>
      <w:r>
        <w:t xml:space="preserve"> </w:t>
      </w:r>
      <m:oMath>
        <m:r>
          <m:rPr/>
          <m:t>i</m:t>
        </m:r>
      </m:oMath>
      <w:r>
        <w:t xml:space="preserve"> </w:t>
      </w:r>
      <w:r>
        <w:rPr>
          <w:rFonts w:hint="eastAsia"/>
        </w:rPr>
        <w:t>阶模态频响</w:t>
      </w:r>
      <w:r>
        <w:t xml:space="preserve"> </w:t>
      </w:r>
      <m:oMath>
        <m:sSub>
          <m:sSubPr/>
          <m:e>
            <m:r>
              <m:rPr/>
              <m:t>H</m:t>
            </m:r>
          </m:e>
          <m:sub>
            <m:r>
              <m:rPr/>
              <m:t>i</m:t>
            </m:r>
          </m:sub>
        </m:sSub>
        <m:r>
          <m:rPr>
            <m:sty m:val="p"/>
          </m:rPr>
          <m:t>(</m:t>
        </m:r>
        <m:r>
          <m:rPr/>
          <m:t>ω</m:t>
        </m:r>
        <m:r>
          <m:rPr>
            <m:sty m:val="p"/>
          </m:rPr>
          <m:t>)=(</m:t>
        </m:r>
        <m:sSubSup>
          <m:sSubSupPr/>
          <m:e>
            <m:r>
              <m:rPr/>
              <m:t>ω</m:t>
            </m:r>
          </m:e>
          <m:sub>
            <m:r>
              <m:rPr/>
              <m:t>i</m:t>
            </m:r>
          </m:sub>
          <m:sup>
            <m:r>
              <m:rPr/>
              <m:t>2</m:t>
            </m:r>
          </m:sup>
        </m:sSubSup>
        <m:r>
          <m:rPr>
            <m:sty m:val="p"/>
          </m:rPr>
          <m:t>−</m:t>
        </m:r>
        <m:sSup>
          <m:sSupPr/>
          <m:e>
            <m:r>
              <m:rPr/>
              <m:t>ω</m:t>
            </m:r>
          </m:e>
          <m:sup>
            <m:r>
              <m:rPr/>
              <m:t>2</m:t>
            </m:r>
          </m:sup>
        </m:sSup>
        <m:r>
          <m:rPr>
            <m:sty m:val="p"/>
          </m:rPr>
          <m:t>+</m:t>
        </m:r>
        <m:r>
          <m:rPr/>
          <m:t>2i</m:t>
        </m:r>
        <m:sSub>
          <m:sSubPr/>
          <m:e>
            <m:r>
              <m:rPr/>
              <m:t>ξ</m:t>
            </m:r>
          </m:e>
          <m:sub>
            <m:r>
              <m:rPr/>
              <m:t>i</m:t>
            </m:r>
          </m:sub>
        </m:sSub>
        <m:sSub>
          <m:sSubPr/>
          <m:e>
            <m:r>
              <m:rPr/>
              <m:t>ω</m:t>
            </m:r>
          </m:e>
          <m:sub>
            <m:r>
              <m:rPr/>
              <m:t>i</m:t>
            </m:r>
          </m:sub>
        </m:sSub>
        <m:r>
          <m:rPr/>
          <m:t>ω</m:t>
        </m:r>
        <m:sSup>
          <m:sSupPr/>
          <m:e>
            <m:r>
              <m:rPr>
                <m:sty m:val="p"/>
              </m:rPr>
              <m:t>)</m:t>
            </m:r>
          </m:e>
          <m:sup>
            <m:r>
              <m:rPr>
                <m:sty m:val="p"/>
              </m:rPr>
              <m:t>−</m:t>
            </m:r>
            <m:r>
              <m:rPr/>
              <m:t>1</m:t>
            </m:r>
          </m:sup>
        </m:sSup>
      </m:oMath>
      <w:r>
        <w:rPr>
          <w:rFonts w:hint="eastAsia"/>
        </w:rPr>
        <w:t>（单位模态质量归一化），则模态（广义）力互谱为</w:t>
      </w:r>
    </w:p>
    <w:p w14:paraId="6B0B2A2D">
      <w:pPr>
        <w:pStyle w:val="11"/>
        <w:spacing w:before="120" w:after="120" w:line="240" w:lineRule="auto"/>
        <w:ind w:firstLine="0" w:firstLineChars="0"/>
      </w:pPr>
      <m:oMathPara>
        <m:oMathParaPr>
          <m:jc m:val="center"/>
        </m:oMathParaPr>
        <m:oMath>
          <m:sSub>
            <m:sSubPr/>
            <m:e>
              <m:r>
                <m:rPr/>
                <m:t>S</m:t>
              </m:r>
            </m:e>
            <m:sub>
              <m:sSub>
                <m:sSubPr/>
                <m:e>
                  <m:r>
                    <m:rPr/>
                    <m:t>f</m:t>
                  </m:r>
                </m:e>
                <m:sub>
                  <m:r>
                    <m:rPr/>
                    <m:t>i</m:t>
                  </m:r>
                </m:sub>
              </m:sSub>
              <m:sSub>
                <m:sSubPr/>
                <m:e>
                  <m:r>
                    <m:rPr/>
                    <m:t>f</m:t>
                  </m:r>
                </m:e>
                <m:sub>
                  <m:r>
                    <m:rPr/>
                    <m:t>j</m:t>
                  </m:r>
                </m:sub>
              </m:sSub>
            </m:sub>
          </m:sSub>
          <m:r>
            <m:rPr>
              <m:sty m:val="p"/>
            </m:rPr>
            <m:t>(</m:t>
          </m:r>
          <m:r>
            <m:rPr/>
            <m:t>ω</m:t>
          </m:r>
          <m:r>
            <m:rPr>
              <m:sty m:val="p"/>
            </m:rPr>
            <m:t>)=</m:t>
          </m:r>
          <m:sSubSup>
            <m:sSubSupPr/>
            <m:e>
              <m:r>
                <m:rPr>
                  <m:sty m:val="bi"/>
                </m:rPr>
                <m:t>ϕ</m:t>
              </m:r>
            </m:e>
            <m:sub>
              <m:r>
                <m:rPr/>
                <m:t>i</m:t>
              </m:r>
            </m:sub>
            <m:sup>
              <m:r>
                <m:rPr>
                  <m:sty m:val="p"/>
                  <m:scr m:val="sans-serif"/>
                </m:rPr>
                <m:t>T</m:t>
              </m:r>
            </m:sup>
          </m:sSubSup>
          <m:sSub>
            <m:sSubPr/>
            <m:e>
              <m:r>
                <m:rPr>
                  <m:sty m:val="bi"/>
                </m:rPr>
                <m:t>S</m:t>
              </m:r>
            </m:e>
            <m:sub>
              <m:r>
                <m:rPr/>
                <m:t>FF</m:t>
              </m:r>
            </m:sub>
          </m:sSub>
          <m:r>
            <m:rPr>
              <m:sty m:val="p"/>
            </m:rPr>
            <m:t>(</m:t>
          </m:r>
          <m:r>
            <m:rPr/>
            <m:t>ω</m:t>
          </m:r>
          <m:r>
            <m:rPr>
              <m:sty m:val="p"/>
            </m:rPr>
            <m:t>)</m:t>
          </m:r>
          <m:sSub>
            <m:sSubPr/>
            <m:e>
              <m:r>
                <m:rPr>
                  <m:sty m:val="bi"/>
                </m:rPr>
                <m:t>ϕ</m:t>
              </m:r>
            </m:e>
            <m:sub>
              <m:r>
                <m:rPr/>
                <m:t>j</m:t>
              </m:r>
            </m:sub>
          </m:sSub>
        </m:oMath>
      </m:oMathPara>
    </w:p>
    <w:p w14:paraId="498EEA68">
      <w:pPr>
        <w:pStyle w:val="70"/>
      </w:pPr>
      <w:r>
        <w:rPr>
          <w:rFonts w:hint="eastAsia"/>
        </w:rPr>
        <w:t>若振型未按单位模态质量归一化，则令</w:t>
      </w:r>
      <w:r>
        <w:t xml:space="preserve"> </w:t>
      </w:r>
      <m:oMath>
        <m:sSub>
          <m:sSubPr/>
          <m:e>
            <m:r>
              <m:rPr/>
              <m:t>m</m:t>
            </m:r>
          </m:e>
          <m:sub>
            <m:r>
              <m:rPr/>
              <m:t>i</m:t>
            </m:r>
          </m:sub>
        </m:sSub>
        <m:r>
          <m:rPr>
            <m:sty m:val="p"/>
          </m:rPr>
          <m:t>=</m:t>
        </m:r>
        <m:sSubSup>
          <m:sSubSupPr/>
          <m:e>
            <m:r>
              <m:rPr>
                <m:sty m:val="bi"/>
              </m:rPr>
              <m:t>ϕ</m:t>
            </m:r>
          </m:e>
          <m:sub>
            <m:r>
              <m:rPr/>
              <m:t>i</m:t>
            </m:r>
          </m:sub>
          <m:sup>
            <m:r>
              <m:rPr>
                <m:sty m:val="p"/>
                <m:scr m:val="sans-serif"/>
              </m:rPr>
              <m:t>T</m:t>
            </m:r>
          </m:sup>
        </m:sSubSup>
        <m:r>
          <m:rPr>
            <m:sty m:val="bi"/>
          </m:rPr>
          <m:t>M</m:t>
        </m:r>
        <m:sSub>
          <m:sSubPr/>
          <m:e>
            <m:r>
              <m:rPr>
                <m:sty m:val="bi"/>
              </m:rPr>
              <m:t>ϕ</m:t>
            </m:r>
          </m:e>
          <m:sub>
            <m:r>
              <m:rPr/>
              <m:t>i</m:t>
            </m:r>
          </m:sub>
        </m:sSub>
      </m:oMath>
      <w:r>
        <w:t>、</w:t>
      </w:r>
      <m:oMath>
        <m:sSub>
          <m:sSubPr/>
          <m:e>
            <m:r>
              <m:rPr/>
              <m:t>k</m:t>
            </m:r>
          </m:e>
          <m:sub>
            <m:r>
              <m:rPr/>
              <m:t>i</m:t>
            </m:r>
          </m:sub>
        </m:sSub>
        <m:r>
          <m:rPr>
            <m:sty m:val="p"/>
          </m:rPr>
          <m:t>=</m:t>
        </m:r>
        <m:sSubSup>
          <m:sSubSupPr/>
          <m:e>
            <m:r>
              <m:rPr>
                <m:sty m:val="bi"/>
              </m:rPr>
              <m:t>ϕ</m:t>
            </m:r>
          </m:e>
          <m:sub>
            <m:r>
              <m:rPr/>
              <m:t>i</m:t>
            </m:r>
          </m:sub>
          <m:sup>
            <m:r>
              <m:rPr>
                <m:sty m:val="p"/>
                <m:scr m:val="sans-serif"/>
              </m:rPr>
              <m:t>T</m:t>
            </m:r>
          </m:sup>
        </m:sSubSup>
        <m:r>
          <m:rPr>
            <m:sty m:val="bi"/>
          </m:rPr>
          <m:t>K</m:t>
        </m:r>
        <m:sSub>
          <m:sSubPr/>
          <m:e>
            <m:r>
              <m:rPr>
                <m:sty m:val="bi"/>
              </m:rPr>
              <m:t>ϕ</m:t>
            </m:r>
          </m:e>
          <m:sub>
            <m:r>
              <m:rPr/>
              <m:t>i</m:t>
            </m:r>
          </m:sub>
        </m:sSub>
      </m:oMath>
      <w:r>
        <w:t>、</w:t>
      </w:r>
      <m:oMath>
        <m:sSub>
          <m:sSubPr/>
          <m:e>
            <m:r>
              <m:rPr/>
              <m:t>c</m:t>
            </m:r>
          </m:e>
          <m:sub>
            <m:r>
              <m:rPr/>
              <m:t>i</m:t>
            </m:r>
          </m:sub>
        </m:sSub>
        <m:r>
          <m:rPr>
            <m:sty m:val="p"/>
          </m:rPr>
          <m:t>=</m:t>
        </m:r>
        <m:r>
          <m:rPr/>
          <m:t>2</m:t>
        </m:r>
        <m:sSub>
          <m:sSubPr/>
          <m:e>
            <m:r>
              <m:rPr/>
              <m:t>ξ</m:t>
            </m:r>
          </m:e>
          <m:sub>
            <m:r>
              <m:rPr/>
              <m:t>i</m:t>
            </m:r>
          </m:sub>
        </m:sSub>
        <m:sSub>
          <m:sSubPr/>
          <m:e>
            <m:r>
              <m:rPr/>
              <m:t>ω</m:t>
            </m:r>
          </m:e>
          <m:sub>
            <m:r>
              <m:rPr/>
              <m:t>i</m:t>
            </m:r>
          </m:sub>
        </m:sSub>
        <m:sSub>
          <m:sSubPr/>
          <m:e>
            <m:r>
              <m:rPr/>
              <m:t>m</m:t>
            </m:r>
          </m:e>
          <m:sub>
            <m:r>
              <m:rPr/>
              <m:t>i</m:t>
            </m:r>
          </m:sub>
        </m:sSub>
      </m:oMath>
      <w:r>
        <w:rPr>
          <w:rFonts w:hint="eastAsia"/>
        </w:rPr>
        <w:t>，模态频响应写为</w:t>
      </w:r>
      <w:r>
        <w:t xml:space="preserve"> </w:t>
      </w:r>
      <m:oMath>
        <m:sSub>
          <m:sSubPr/>
          <m:e>
            <m:r>
              <m:rPr/>
              <m:t>H</m:t>
            </m:r>
          </m:e>
          <m:sub>
            <m:r>
              <m:rPr/>
              <m:t>i</m:t>
            </m:r>
          </m:sub>
        </m:sSub>
        <m:r>
          <m:rPr>
            <m:sty m:val="p"/>
          </m:rPr>
          <m:t>(</m:t>
        </m:r>
        <m:r>
          <m:rPr/>
          <m:t>ω</m:t>
        </m:r>
        <m:r>
          <m:rPr>
            <m:sty m:val="p"/>
          </m:rPr>
          <m:t>)=(</m:t>
        </m:r>
        <m:sSub>
          <m:sSubPr/>
          <m:e>
            <m:r>
              <m:rPr/>
              <m:t>k</m:t>
            </m:r>
          </m:e>
          <m:sub>
            <m:r>
              <m:rPr/>
              <m:t>i</m:t>
            </m:r>
          </m:sub>
        </m:sSub>
        <m:r>
          <m:rPr>
            <m:sty m:val="p"/>
          </m:rPr>
          <m:t>−</m:t>
        </m:r>
        <m:sSup>
          <m:sSupPr/>
          <m:e>
            <m:r>
              <m:rPr/>
              <m:t>ω</m:t>
            </m:r>
          </m:e>
          <m:sup>
            <m:r>
              <m:rPr/>
              <m:t>2</m:t>
            </m:r>
          </m:sup>
        </m:sSup>
        <m:sSub>
          <m:sSubPr/>
          <m:e>
            <m:r>
              <m:rPr/>
              <m:t>m</m:t>
            </m:r>
          </m:e>
          <m:sub>
            <m:r>
              <m:rPr/>
              <m:t>i</m:t>
            </m:r>
          </m:sub>
        </m:sSub>
        <m:r>
          <m:rPr>
            <m:sty m:val="p"/>
          </m:rPr>
          <m:t>+</m:t>
        </m:r>
        <m:r>
          <m:rPr/>
          <m:t>iω</m:t>
        </m:r>
        <m:sSub>
          <m:sSubPr/>
          <m:e>
            <m:r>
              <m:rPr/>
              <m:t>c</m:t>
            </m:r>
          </m:e>
          <m:sub>
            <m:r>
              <m:rPr/>
              <m:t>i</m:t>
            </m:r>
          </m:sub>
        </m:sSub>
        <m:sSup>
          <m:sSupPr/>
          <m:e>
            <m:r>
              <m:rPr>
                <m:sty m:val="p"/>
              </m:rPr>
              <m:t>)</m:t>
            </m:r>
          </m:e>
          <m:sup>
            <m:r>
              <m:rPr>
                <m:sty m:val="p"/>
              </m:rPr>
              <m:t>−</m:t>
            </m:r>
            <m:r>
              <m:rPr/>
              <m:t>1</m:t>
            </m:r>
          </m:sup>
        </m:sSup>
      </m:oMath>
      <w:r>
        <w:rPr>
          <w:rFonts w:hint="eastAsia"/>
        </w:rPr>
        <w:t>。本方案在接口层记录模态归一化方式，并在算法层统一转换，避免把单位模态质量公式误用于一般归一化振型。</w:t>
      </w:r>
    </w:p>
    <w:p w14:paraId="79A2DABB">
      <w:pPr>
        <w:pStyle w:val="11"/>
      </w:pPr>
      <w:r>
        <w:rPr>
          <w:rFonts w:hint="eastAsia"/>
        </w:rPr>
        <w:t>指定自由度处的响应自功率谱为</w:t>
      </w:r>
    </w:p>
    <w:p w14:paraId="4AB6F8F5">
      <w:pPr>
        <w:pStyle w:val="11"/>
        <w:spacing w:before="120" w:after="120" w:line="240" w:lineRule="auto"/>
        <w:ind w:firstLine="0" w:firstLineChars="0"/>
      </w:pPr>
      <m:oMathPara>
        <m:oMathParaPr>
          <m:jc m:val="center"/>
        </m:oMathParaPr>
        <m:oMath>
          <m:sSub>
            <m:sSubPr/>
            <m:e>
              <m:r>
                <m:rPr/>
                <m:t>S</m:t>
              </m:r>
            </m:e>
            <m:sub>
              <m:sSub>
                <m:sSubPr/>
                <m:e>
                  <m:r>
                    <m:rPr/>
                    <m:t>u</m:t>
                  </m:r>
                </m:e>
                <m:sub>
                  <m:r>
                    <m:rPr/>
                    <m:t>p</m:t>
                  </m:r>
                </m:sub>
              </m:sSub>
              <m:sSub>
                <m:sSubPr/>
                <m:e>
                  <m:r>
                    <m:rPr/>
                    <m:t>u</m:t>
                  </m:r>
                </m:e>
                <m:sub>
                  <m:r>
                    <m:rPr/>
                    <m:t>p</m:t>
                  </m:r>
                </m:sub>
              </m:sSub>
            </m:sub>
          </m:sSub>
          <m:r>
            <m:rPr>
              <m:sty m:val="p"/>
            </m:rPr>
            <m:t>(</m:t>
          </m:r>
          <m:r>
            <m:rPr/>
            <m:t>ω</m:t>
          </m:r>
          <m:r>
            <m:rPr>
              <m:sty m:val="p"/>
            </m:rPr>
            <m:t>)=</m:t>
          </m:r>
          <m:nary>
            <m:naryPr>
              <m:chr m:val="∑"/>
              <m:limLoc m:val="undOvr"/>
              <m:supHide m:val="1"/>
            </m:naryPr>
            <m:sub>
              <m:r>
                <m:rPr/>
                <m:t>i</m:t>
              </m:r>
            </m:sub>
            <m:sup>
              <m:r>
                <m:rPr/>
                <m:t>​</m:t>
              </m:r>
            </m:sup>
            <m:e>
              <m:nary>
                <m:naryPr>
                  <m:chr m:val="∑"/>
                  <m:limLoc m:val="undOvr"/>
                  <m:supHide m:val="1"/>
                </m:naryPr>
                <m:sub>
                  <m:r>
                    <m:rPr/>
                    <m:t>j</m:t>
                  </m:r>
                </m:sub>
                <m:sup>
                  <m:r>
                    <m:rPr/>
                    <m:t>​</m:t>
                  </m:r>
                </m:sup>
                <m:e>
                  <m:sSub>
                    <m:sSubPr/>
                    <m:e>
                      <m:r>
                        <m:rPr/>
                        <m:t>ϕ</m:t>
                      </m:r>
                    </m:e>
                    <m:sub>
                      <m:r>
                        <m:rPr/>
                        <m:t>pi</m:t>
                      </m:r>
                    </m:sub>
                  </m:sSub>
                </m:e>
              </m:nary>
            </m:e>
          </m:nary>
          <m:sSub>
            <m:sSubPr/>
            <m:e>
              <m:r>
                <m:rPr/>
                <m:t>ϕ</m:t>
              </m:r>
            </m:e>
            <m:sub>
              <m:r>
                <m:rPr/>
                <m:t>pj</m:t>
              </m:r>
            </m:sub>
          </m:sSub>
          <m:sSub>
            <m:sSubPr/>
            <m:e>
              <m:r>
                <m:rPr/>
                <m:t>H</m:t>
              </m:r>
            </m:e>
            <m:sub>
              <m:r>
                <m:rPr/>
                <m:t>i</m:t>
              </m:r>
            </m:sub>
          </m:sSub>
          <m:r>
            <m:rPr>
              <m:sty m:val="p"/>
            </m:rPr>
            <m:t>(</m:t>
          </m:r>
          <m:r>
            <m:rPr/>
            <m:t>ω</m:t>
          </m:r>
          <m:r>
            <m:rPr>
              <m:sty m:val="p"/>
            </m:rPr>
            <m:t>)</m:t>
          </m:r>
          <m:sSubSup>
            <m:sSubSupPr/>
            <m:e>
              <m:r>
                <m:rPr/>
                <m:t>H</m:t>
              </m:r>
            </m:e>
            <m:sub>
              <m:r>
                <m:rPr/>
                <m:t>j</m:t>
              </m:r>
            </m:sub>
            <m:sup>
              <m:r>
                <m:rPr>
                  <m:sty m:val="p"/>
                </m:rPr>
                <m:t>∗</m:t>
              </m:r>
            </m:sup>
          </m:sSubSup>
          <m:r>
            <m:rPr>
              <m:sty m:val="p"/>
            </m:rPr>
            <m:t>(</m:t>
          </m:r>
          <m:r>
            <m:rPr/>
            <m:t>ω</m:t>
          </m:r>
          <m:r>
            <m:rPr>
              <m:sty m:val="p"/>
            </m:rPr>
            <m:t>)</m:t>
          </m:r>
          <m:sSub>
            <m:sSubPr/>
            <m:e>
              <m:r>
                <m:rPr/>
                <m:t>S</m:t>
              </m:r>
            </m:e>
            <m:sub>
              <m:sSub>
                <m:sSubPr/>
                <m:e>
                  <m:r>
                    <m:rPr/>
                    <m:t>f</m:t>
                  </m:r>
                </m:e>
                <m:sub>
                  <m:r>
                    <m:rPr/>
                    <m:t>i</m:t>
                  </m:r>
                </m:sub>
              </m:sSub>
              <m:sSub>
                <m:sSubPr/>
                <m:e>
                  <m:r>
                    <m:rPr/>
                    <m:t>f</m:t>
                  </m:r>
                </m:e>
                <m:sub>
                  <m:r>
                    <m:rPr/>
                    <m:t>j</m:t>
                  </m:r>
                </m:sub>
              </m:sSub>
            </m:sub>
          </m:sSub>
          <m:r>
            <m:rPr>
              <m:sty m:val="p"/>
            </m:rPr>
            <m:t>(</m:t>
          </m:r>
          <m:r>
            <m:rPr/>
            <m:t>ω</m:t>
          </m:r>
          <m:r>
            <m:rPr>
              <m:sty m:val="p"/>
            </m:rPr>
            <m:t>)</m:t>
          </m:r>
        </m:oMath>
      </m:oMathPara>
    </w:p>
    <w:p w14:paraId="02A7553C">
      <w:pPr>
        <w:pStyle w:val="70"/>
      </w:pPr>
      <w:r>
        <w:rPr>
          <w:rFonts w:hint="eastAsia"/>
        </w:rPr>
        <w:t>其中，</w:t>
      </w:r>
      <m:oMath>
        <m:sSub>
          <m:sSubPr/>
          <m:e>
            <m:r>
              <m:rPr>
                <m:sty m:val="bi"/>
              </m:rPr>
              <m:t>ϕ</m:t>
            </m:r>
          </m:e>
          <m:sub>
            <m:r>
              <m:rPr/>
              <m:t>i</m:t>
            </m:r>
          </m:sub>
        </m:sSub>
      </m:oMath>
      <w:r>
        <w:t xml:space="preserve"> </w:t>
      </w:r>
      <w:r>
        <w:rPr>
          <w:rFonts w:hint="eastAsia"/>
        </w:rPr>
        <w:t>为第</w:t>
      </w:r>
      <w:r>
        <w:t xml:space="preserve"> </w:t>
      </w:r>
      <m:oMath>
        <m:r>
          <m:rPr/>
          <m:t>i</m:t>
        </m:r>
      </m:oMath>
      <w:r>
        <w:t xml:space="preserve"> </w:t>
      </w:r>
      <w:r>
        <w:rPr>
          <w:rFonts w:hint="eastAsia"/>
        </w:rPr>
        <w:t>阶振型向量，</w:t>
      </w:r>
      <m:oMath>
        <m:sSub>
          <m:sSubPr/>
          <m:e>
            <m:r>
              <m:rPr/>
              <m:t>ϕ</m:t>
            </m:r>
          </m:e>
          <m:sub>
            <m:r>
              <m:rPr/>
              <m:t>pi</m:t>
            </m:r>
          </m:sub>
        </m:sSub>
      </m:oMath>
      <w:r>
        <w:t xml:space="preserve"> </w:t>
      </w:r>
      <w:r>
        <w:rPr>
          <w:rFonts w:hint="eastAsia"/>
        </w:rPr>
        <w:t>为其在指定响应自由度</w:t>
      </w:r>
      <w:r>
        <w:t xml:space="preserve"> </w:t>
      </w:r>
      <m:oMath>
        <m:r>
          <m:rPr/>
          <m:t>p</m:t>
        </m:r>
      </m:oMath>
      <w:r>
        <w:t xml:space="preserve"> </w:t>
      </w:r>
      <w:r>
        <w:rPr>
          <w:rFonts w:hint="eastAsia"/>
        </w:rPr>
        <w:t>处的分量。该方法考虑模态间交叉相关影响，适用于密集模态结构；计算精度同时取决于模态截断范围、阻尼模型、频率离散及输入谱数据。此处</w:t>
      </w:r>
      <w:r>
        <w:t xml:space="preserve"> CQC </w:t>
      </w:r>
      <w:r>
        <w:rPr>
          <w:rFonts w:hint="eastAsia"/>
        </w:rPr>
        <w:t>指功率谱分析中的完全二次模态谱组合，不同于</w:t>
      </w:r>
      <w:r>
        <w:t xml:space="preserve"> ▲20 </w:t>
      </w:r>
      <w:r>
        <w:rPr>
          <w:rFonts w:hint="eastAsia"/>
        </w:rPr>
        <w:t>响应谱分析中采用相关系数</w:t>
      </w:r>
      <w:r>
        <w:t xml:space="preserve"> </w:t>
      </w:r>
      <m:oMath>
        <m:sSub>
          <m:sSubPr/>
          <m:e>
            <m:r>
              <m:rPr/>
              <m:t>ρ</m:t>
            </m:r>
          </m:e>
          <m:sub>
            <m:r>
              <m:rPr/>
              <m:t>ij</m:t>
            </m:r>
          </m:sub>
        </m:sSub>
      </m:oMath>
      <w:r>
        <w:t xml:space="preserve"> </w:t>
      </w:r>
      <w:r>
        <w:rPr>
          <w:rFonts w:hint="eastAsia"/>
        </w:rPr>
        <w:t>组合各阶峰值响应的</w:t>
      </w:r>
      <w:r>
        <w:t xml:space="preserve"> CQC </w:t>
      </w:r>
      <w:r>
        <w:rPr>
          <w:rFonts w:hint="eastAsia"/>
        </w:rPr>
        <w:t>方法。</w:t>
      </w:r>
    </w:p>
    <w:p w14:paraId="4FAD52D8">
      <w:pPr>
        <w:pStyle w:val="11"/>
      </w:pPr>
      <w:r>
        <w:rPr>
          <w:rFonts w:hint="eastAsia"/>
        </w:rPr>
        <w:t>工程实现中，CQC</w:t>
      </w:r>
      <w:r>
        <w:t xml:space="preserve"> </w:t>
      </w:r>
      <w:r>
        <w:rPr>
          <w:rFonts w:hint="eastAsia"/>
        </w:rPr>
        <w:t>算法按频点循环组装模态广义力谱矩阵，保留模态间互谱项，随后通过结果恢复矩阵得到指定节点或单元响应的自谱和互谱。为避免密集模态结构中交叉项遗漏，模块记录参与组合的模态阶次、截断频率、阻尼比和输入谱通道；在算例报告中给出</w:t>
      </w:r>
      <w:r>
        <w:t xml:space="preserve"> CQC </w:t>
      </w:r>
      <w:r>
        <w:rPr>
          <w:rFonts w:hint="eastAsia"/>
        </w:rPr>
        <w:t>与</w:t>
      </w:r>
      <w:r>
        <w:t xml:space="preserve"> PEM </w:t>
      </w:r>
      <w:r>
        <w:rPr>
          <w:rFonts w:hint="eastAsia"/>
        </w:rPr>
        <w:t>或直接频响谱关系的结果对比，验证模态交叉项处理的正确性。</w:t>
      </w:r>
    </w:p>
    <w:p w14:paraId="5CD0F588">
      <w:pPr>
        <w:pStyle w:val="11"/>
      </w:pPr>
      <w:r>
        <w:rPr>
          <w:b/>
          <w:bCs/>
        </w:rPr>
        <w:t xml:space="preserve">▲11 </w:t>
      </w:r>
      <w:r>
        <w:rPr>
          <w:rFonts w:hint="eastAsia"/>
          <w:b/>
          <w:bCs/>
        </w:rPr>
        <w:t>支持</w:t>
      </w:r>
      <w:r>
        <w:rPr>
          <w:b/>
          <w:bCs/>
        </w:rPr>
        <w:t xml:space="preserve"> SRSS </w:t>
      </w:r>
      <w:r>
        <w:rPr>
          <w:rFonts w:hint="eastAsia"/>
          <w:b/>
          <w:bCs/>
        </w:rPr>
        <w:t>算法求解响应功率谱。</w:t>
      </w:r>
      <w:r>
        <w:t xml:space="preserve"> </w:t>
      </w:r>
      <w:r>
        <w:rPr>
          <w:rFonts w:hint="eastAsia"/>
        </w:rPr>
        <w:t>完全响应。在</w:t>
      </w:r>
      <w:r>
        <w:t xml:space="preserve"> ▲10 </w:t>
      </w:r>
      <w:r>
        <w:rPr>
          <w:rFonts w:hint="eastAsia"/>
        </w:rPr>
        <w:t>模态叠加基础上</w:t>
      </w:r>
      <w:r>
        <w:rPr>
          <w:rFonts w:hint="eastAsia"/>
          <w:b/>
          <w:bCs/>
        </w:rPr>
        <w:t>忽略模态交叉项（仅保留</w:t>
      </w:r>
      <w:r>
        <w:rPr>
          <w:b/>
          <w:bCs/>
        </w:rPr>
        <w:t xml:space="preserve"> </w:t>
      </w:r>
      <m:oMath>
        <m:r>
          <m:rPr/>
          <m:t>i</m:t>
        </m:r>
        <m:r>
          <m:rPr>
            <m:sty m:val="p"/>
          </m:rPr>
          <m:t>=</m:t>
        </m:r>
        <m:r>
          <m:rPr/>
          <m:t>j</m:t>
        </m:r>
      </m:oMath>
      <w:r>
        <w:rPr>
          <w:b/>
          <w:bCs/>
        </w:rPr>
        <w:t xml:space="preserve"> </w:t>
      </w:r>
      <w:r>
        <w:rPr>
          <w:rFonts w:hint="eastAsia"/>
          <w:b/>
          <w:bCs/>
        </w:rPr>
        <w:t>项）</w:t>
      </w:r>
      <w:r>
        <w:rPr>
          <w:rFonts w:hint="eastAsia"/>
        </w:rPr>
        <w:t>：</w:t>
      </w:r>
    </w:p>
    <w:p w14:paraId="29397DE9">
      <w:pPr>
        <w:pStyle w:val="11"/>
        <w:spacing w:before="120" w:after="120" w:line="240" w:lineRule="auto"/>
        <w:ind w:firstLine="0" w:firstLineChars="0"/>
      </w:pPr>
      <m:oMathPara>
        <m:oMathParaPr>
          <m:jc m:val="center"/>
        </m:oMathParaPr>
        <m:oMath>
          <m:sSub>
            <m:sSubPr/>
            <m:e>
              <m:r>
                <m:rPr/>
                <m:t>S</m:t>
              </m:r>
            </m:e>
            <m:sub>
              <m:sSub>
                <m:sSubPr/>
                <m:e>
                  <m:r>
                    <m:rPr/>
                    <m:t>u</m:t>
                  </m:r>
                </m:e>
                <m:sub>
                  <m:r>
                    <m:rPr/>
                    <m:t>p</m:t>
                  </m:r>
                </m:sub>
              </m:sSub>
              <m:sSub>
                <m:sSubPr/>
                <m:e>
                  <m:r>
                    <m:rPr/>
                    <m:t>u</m:t>
                  </m:r>
                </m:e>
                <m:sub>
                  <m:r>
                    <m:rPr/>
                    <m:t>p</m:t>
                  </m:r>
                </m:sub>
              </m:sSub>
            </m:sub>
          </m:sSub>
          <m:r>
            <m:rPr>
              <m:sty m:val="p"/>
            </m:rPr>
            <m:t>(</m:t>
          </m:r>
          <m:r>
            <m:rPr/>
            <m:t>ω</m:t>
          </m:r>
          <m:r>
            <m:rPr>
              <m:sty m:val="p"/>
            </m:rPr>
            <m:t>)=</m:t>
          </m:r>
          <m:nary>
            <m:naryPr>
              <m:chr m:val="∑"/>
              <m:limLoc m:val="undOvr"/>
              <m:supHide m:val="1"/>
            </m:naryPr>
            <m:sub>
              <m:r>
                <m:rPr/>
                <m:t>i</m:t>
              </m:r>
            </m:sub>
            <m:sup>
              <m:r>
                <m:rPr/>
                <m:t>​</m:t>
              </m:r>
            </m:sup>
            <m:e>
              <m:sSubSup>
                <m:sSubSupPr/>
                <m:e>
                  <m:r>
                    <m:rPr/>
                    <m:t>ϕ</m:t>
                  </m:r>
                </m:e>
                <m:sub>
                  <m:r>
                    <m:rPr/>
                    <m:t>pi</m:t>
                  </m:r>
                </m:sub>
                <m:sup>
                  <m:r>
                    <m:rPr/>
                    <m:t>2</m:t>
                  </m:r>
                </m:sup>
              </m:sSubSup>
            </m:e>
          </m:nary>
          <m:sSup>
            <m:sSupPr/>
            <m:e>
              <m:d>
                <m:dPr>
                  <m:begChr m:val="|"/>
                  <m:sepChr m:val=""/>
                  <m:endChr m:val="|"/>
                </m:dPr>
                <m:e>
                  <m:sSub>
                    <m:sSubPr/>
                    <m:e>
                      <m:r>
                        <m:rPr/>
                        <m:t>H</m:t>
                      </m:r>
                    </m:e>
                    <m:sub>
                      <m:r>
                        <m:rPr/>
                        <m:t>i</m:t>
                      </m:r>
                    </m:sub>
                  </m:sSub>
                  <m:r>
                    <m:rPr>
                      <m:sty m:val="p"/>
                    </m:rPr>
                    <m:t>(</m:t>
                  </m:r>
                  <m:r>
                    <m:rPr/>
                    <m:t>ω</m:t>
                  </m:r>
                  <m:r>
                    <m:rPr>
                      <m:sty m:val="p"/>
                    </m:rPr>
                    <m:t>)</m:t>
                  </m:r>
                </m:e>
              </m:d>
            </m:e>
            <m:sup>
              <m:r>
                <m:rPr/>
                <m:t>2</m:t>
              </m:r>
            </m:sup>
          </m:sSup>
          <m:sSub>
            <m:sSubPr/>
            <m:e>
              <m:r>
                <m:rPr/>
                <m:t>S</m:t>
              </m:r>
            </m:e>
            <m:sub>
              <m:sSub>
                <m:sSubPr/>
                <m:e>
                  <m:r>
                    <m:rPr/>
                    <m:t>f</m:t>
                  </m:r>
                </m:e>
                <m:sub>
                  <m:r>
                    <m:rPr/>
                    <m:t>i</m:t>
                  </m:r>
                </m:sub>
              </m:sSub>
              <m:sSub>
                <m:sSubPr/>
                <m:e>
                  <m:r>
                    <m:rPr/>
                    <m:t>f</m:t>
                  </m:r>
                </m:e>
                <m:sub>
                  <m:r>
                    <m:rPr/>
                    <m:t>i</m:t>
                  </m:r>
                </m:sub>
              </m:sSub>
            </m:sub>
          </m:sSub>
          <m:r>
            <m:rPr>
              <m:sty m:val="p"/>
            </m:rPr>
            <m:t>(</m:t>
          </m:r>
          <m:r>
            <m:rPr/>
            <m:t>ω</m:t>
          </m:r>
          <m:r>
            <m:rPr>
              <m:sty m:val="p"/>
            </m:rPr>
            <m:t>)</m:t>
          </m:r>
        </m:oMath>
      </m:oMathPara>
    </w:p>
    <w:p w14:paraId="25E0EBC6">
      <w:pPr>
        <w:pStyle w:val="70"/>
      </w:pPr>
      <w:r>
        <w:rPr>
          <w:rFonts w:hint="eastAsia"/>
        </w:rPr>
        <w:t>适用于固有频率分离较好、模态响应相关性较弱的结构，计算高效；在上述条件下，其结果与</w:t>
      </w:r>
      <w:r>
        <w:t xml:space="preserve"> CQC </w:t>
      </w:r>
      <w:r>
        <w:rPr>
          <w:rFonts w:hint="eastAsia"/>
        </w:rPr>
        <w:t>结果趋于一致。</w:t>
      </w:r>
    </w:p>
    <w:p w14:paraId="05C31C32">
      <w:pPr>
        <w:pStyle w:val="11"/>
      </w:pPr>
      <w:r>
        <w:rPr>
          <w:rFonts w:hint="eastAsia"/>
        </w:rPr>
        <w:t>工程实现中，SRSS</w:t>
      </w:r>
      <w:r>
        <w:t xml:space="preserve"> </w:t>
      </w:r>
      <w:r>
        <w:rPr>
          <w:rFonts w:hint="eastAsia"/>
        </w:rPr>
        <w:t>作为快速模态谱叠加方法，与</w:t>
      </w:r>
      <w:r>
        <w:t xml:space="preserve"> CQC </w:t>
      </w:r>
      <w:r>
        <w:rPr>
          <w:rFonts w:hint="eastAsia"/>
        </w:rPr>
        <w:t>共享模态数据、广义力谱和结果恢复接口，仅在组合阶段忽略模态交叉项。模块在输出中保留各阶模态贡献，便于识别主导模态并与</w:t>
      </w:r>
      <w:r>
        <w:t xml:space="preserve"> CQC </w:t>
      </w:r>
      <w:r>
        <w:rPr>
          <w:rFonts w:hint="eastAsia"/>
        </w:rPr>
        <w:t>结果比较；当模态频率接近、阻尼较大或输入通道高度相关时，报告中将提示</w:t>
      </w:r>
      <w:r>
        <w:t xml:space="preserve"> SRSS </w:t>
      </w:r>
      <w:r>
        <w:rPr>
          <w:rFonts w:hint="eastAsia"/>
        </w:rPr>
        <w:t>的适用性弱于</w:t>
      </w:r>
      <w:r>
        <w:t xml:space="preserve"> </w:t>
      </w:r>
      <w:r>
        <w:rPr>
          <w:rFonts w:hint="eastAsia"/>
        </w:rPr>
        <w:t>CQC/PEM，避免将快速算法误用于密集模态强相关场景。</w:t>
      </w:r>
    </w:p>
    <w:p w14:paraId="0FE3E537">
      <w:pPr>
        <w:pStyle w:val="11"/>
      </w:pPr>
      <w:r>
        <w:rPr>
          <w:b/>
          <w:bCs/>
        </w:rPr>
        <w:t xml:space="preserve">▲12 </w:t>
      </w:r>
      <w:r>
        <w:rPr>
          <w:rFonts w:hint="eastAsia"/>
          <w:b/>
          <w:bCs/>
        </w:rPr>
        <w:t>支持</w:t>
      </w:r>
      <w:r>
        <w:rPr>
          <w:b/>
          <w:bCs/>
        </w:rPr>
        <w:t xml:space="preserve"> PEM </w:t>
      </w:r>
      <w:r>
        <w:rPr>
          <w:rFonts w:hint="eastAsia"/>
          <w:b/>
          <w:bCs/>
        </w:rPr>
        <w:t>法求解响应功率谱算法。</w:t>
      </w:r>
      <w:r>
        <w:rPr>
          <w:rFonts w:hint="eastAsia"/>
        </w:rPr>
        <w:t>（提供算法原理描述与算例测试报告）完全响应。</w:t>
      </w:r>
      <w:r>
        <w:rPr>
          <w:rFonts w:hint="eastAsia"/>
          <w:b/>
          <w:bCs/>
        </w:rPr>
        <w:t>虚拟激励法（Pseudo</w:t>
      </w:r>
      <w:r>
        <w:rPr>
          <w:b/>
          <w:bCs/>
        </w:rPr>
        <w:t xml:space="preserve"> Excitation </w:t>
      </w:r>
      <w:r>
        <w:rPr>
          <w:rFonts w:hint="eastAsia"/>
          <w:b/>
          <w:bCs/>
        </w:rPr>
        <w:t>Method）</w:t>
      </w:r>
      <w:r>
        <w:t xml:space="preserve"> </w:t>
      </w:r>
      <w:r>
        <w:rPr>
          <w:rFonts w:hint="eastAsia"/>
        </w:rPr>
        <w:t>由林家浩等提出并系统发展，是随机振动分析中的重要高效算法</w:t>
      </w:r>
      <w:r>
        <w:t xml:space="preserve"> </w:t>
      </w:r>
      <w:r>
        <w:rPr>
          <w:rFonts w:hint="eastAsia"/>
        </w:rPr>
        <w:t>[1–3]。该方法将</w:t>
      </w:r>
      <w:r>
        <w:t xml:space="preserve"> Hermitian </w:t>
      </w:r>
      <w:r>
        <w:rPr>
          <w:rFonts w:hint="eastAsia"/>
        </w:rPr>
        <w:t>半正定的激励功率谱矩阵逐频点采用特征值分解或带主元</w:t>
      </w:r>
      <w:r>
        <w:t xml:space="preserve"> Cholesky </w:t>
      </w:r>
      <w:r>
        <w:rPr>
          <w:rFonts w:hint="eastAsia"/>
        </w:rPr>
        <w:t>等稳健方法分解为</w:t>
      </w:r>
      <w:r>
        <w:t xml:space="preserve"> </w:t>
      </w:r>
      <m:oMath>
        <m:sSub>
          <m:sSubPr/>
          <m:e>
            <m:r>
              <m:rPr>
                <m:sty m:val="bi"/>
              </m:rPr>
              <m:t>S</m:t>
            </m:r>
          </m:e>
          <m:sub>
            <m:r>
              <m:rPr/>
              <m:t>FF</m:t>
            </m:r>
          </m:sub>
        </m:sSub>
        <m:r>
          <m:rPr>
            <m:sty m:val="p"/>
          </m:rPr>
          <m:t>(</m:t>
        </m:r>
        <m:r>
          <m:rPr/>
          <m:t>ω</m:t>
        </m:r>
        <m:r>
          <m:rPr>
            <m:sty m:val="p"/>
          </m:rPr>
          <m:t>)=</m:t>
        </m:r>
        <m:nary>
          <m:naryPr>
            <m:chr m:val="∑"/>
            <m:limLoc m:val="undOvr"/>
            <m:supHide m:val="1"/>
          </m:naryPr>
          <m:sub>
            <m:r>
              <m:rPr/>
              <m:t>k</m:t>
            </m:r>
          </m:sub>
          <m:sup>
            <m:r>
              <m:rPr/>
              <m:t>​</m:t>
            </m:r>
          </m:sup>
          <m:e>
            <m:sSub>
              <m:sSubPr/>
              <m:e>
                <m:r>
                  <m:rPr>
                    <m:sty m:val="bi"/>
                  </m:rPr>
                  <m:t>s</m:t>
                </m:r>
              </m:e>
              <m:sub>
                <m:r>
                  <m:rPr/>
                  <m:t>k</m:t>
                </m:r>
              </m:sub>
            </m:sSub>
          </m:e>
        </m:nary>
        <m:r>
          <m:rPr>
            <m:sty m:val="p"/>
          </m:rPr>
          <m:t>(</m:t>
        </m:r>
        <m:r>
          <m:rPr/>
          <m:t>ω</m:t>
        </m:r>
        <m:r>
          <m:rPr>
            <m:sty m:val="p"/>
          </m:rPr>
          <m:t>)</m:t>
        </m:r>
        <m:r>
          <m:rPr/>
          <m:t> </m:t>
        </m:r>
        <m:sSubSup>
          <m:sSubSupPr/>
          <m:e>
            <m:r>
              <m:rPr>
                <m:sty m:val="bi"/>
              </m:rPr>
              <m:t>s</m:t>
            </m:r>
          </m:e>
          <m:sub>
            <m:r>
              <m:rPr/>
              <m:t>k</m:t>
            </m:r>
          </m:sub>
          <m:sup>
            <m:r>
              <m:rPr>
                <m:sty m:val="p"/>
                <m:scr m:val="sans-serif"/>
              </m:rPr>
              <m:t>H</m:t>
            </m:r>
          </m:sup>
        </m:sSubSup>
        <m:r>
          <m:rPr>
            <m:sty m:val="p"/>
          </m:rPr>
          <m:t>(</m:t>
        </m:r>
        <m:r>
          <m:rPr/>
          <m:t>ω</m:t>
        </m:r>
        <m:r>
          <m:rPr>
            <m:sty m:val="p"/>
          </m:rPr>
          <m:t>)</m:t>
        </m:r>
      </m:oMath>
      <w:r>
        <w:rPr>
          <w:rFonts w:hint="eastAsia"/>
        </w:rPr>
        <w:t>。对每个已定义在结构物理自由度空间的谱分量构造确定性虚拟简谐激励</w:t>
      </w:r>
      <w:r>
        <w:t xml:space="preserve"> </w:t>
      </w:r>
      <m:oMath>
        <m:sSub>
          <m:sSubPr/>
          <m:e>
            <m:acc>
              <m:accPr>
                <m:chr m:val="̃"/>
              </m:accPr>
              <m:e>
                <m:r>
                  <m:rPr>
                    <m:sty m:val="bi"/>
                  </m:rPr>
                  <m:t>F</m:t>
                </m:r>
              </m:e>
            </m:acc>
          </m:e>
          <m:sub>
            <m:r>
              <m:rPr/>
              <m:t>k</m:t>
            </m:r>
          </m:sub>
        </m:sSub>
        <m:r>
          <m:rPr>
            <m:sty m:val="p"/>
          </m:rPr>
          <m:t>(</m:t>
        </m:r>
        <m:r>
          <m:rPr/>
          <m:t>ω</m:t>
        </m:r>
        <m:r>
          <m:rPr>
            <m:sty m:val="p"/>
          </m:rPr>
          <m:t>,</m:t>
        </m:r>
        <m:r>
          <m:rPr/>
          <m:t>t</m:t>
        </m:r>
        <m:r>
          <m:rPr>
            <m:sty m:val="p"/>
          </m:rPr>
          <m:t>)=</m:t>
        </m:r>
        <m:sSub>
          <m:sSubPr/>
          <m:e>
            <m:r>
              <m:rPr>
                <m:sty m:val="bi"/>
              </m:rPr>
              <m:t>s</m:t>
            </m:r>
          </m:e>
          <m:sub>
            <m:r>
              <m:rPr/>
              <m:t>k</m:t>
            </m:r>
          </m:sub>
        </m:sSub>
        <m:r>
          <m:rPr>
            <m:sty m:val="p"/>
          </m:rPr>
          <m:t>(</m:t>
        </m:r>
        <m:r>
          <m:rPr/>
          <m:t>ω</m:t>
        </m:r>
        <m:r>
          <m:rPr>
            <m:sty m:val="p"/>
          </m:rPr>
          <m:t>)</m:t>
        </m:r>
        <m:r>
          <m:rPr/>
          <m:t> </m:t>
        </m:r>
        <m:sSup>
          <m:sSupPr/>
          <m:e>
            <m:r>
              <m:rPr/>
              <m:t>e</m:t>
            </m:r>
          </m:e>
          <m:sup>
            <m:r>
              <m:rPr/>
              <m:t>iωt</m:t>
            </m:r>
          </m:sup>
        </m:sSup>
      </m:oMath>
      <w:r>
        <w:rPr>
          <w:rFonts w:hint="eastAsia"/>
        </w:rPr>
        <w:t>，求其确定性简谐响应</w:t>
      </w:r>
      <w:r>
        <w:t xml:space="preserve"> </w:t>
      </w:r>
      <m:oMath>
        <m:sSub>
          <m:sSubPr/>
          <m:e>
            <m:acc>
              <m:accPr>
                <m:chr m:val="̃"/>
              </m:accPr>
              <m:e>
                <m:r>
                  <m:rPr>
                    <m:sty m:val="bi"/>
                  </m:rPr>
                  <m:t>u</m:t>
                </m:r>
              </m:e>
            </m:acc>
          </m:e>
          <m:sub>
            <m:r>
              <m:rPr/>
              <m:t>k</m:t>
            </m:r>
          </m:sub>
        </m:sSub>
        <m:r>
          <m:rPr>
            <m:sty m:val="p"/>
          </m:rPr>
          <m:t>(</m:t>
        </m:r>
        <m:r>
          <m:rPr/>
          <m:t>ω</m:t>
        </m:r>
        <m:r>
          <m:rPr>
            <m:sty m:val="p"/>
          </m:rPr>
          <m:t>)=</m:t>
        </m:r>
        <m:r>
          <m:rPr>
            <m:sty m:val="bi"/>
          </m:rPr>
          <m:t>H</m:t>
        </m:r>
        <m:r>
          <m:rPr>
            <m:sty m:val="p"/>
          </m:rPr>
          <m:t>(</m:t>
        </m:r>
        <m:r>
          <m:rPr/>
          <m:t>ω</m:t>
        </m:r>
        <m:r>
          <m:rPr>
            <m:sty m:val="p"/>
          </m:rPr>
          <m:t>)</m:t>
        </m:r>
        <m:r>
          <m:rPr/>
          <m:t> </m:t>
        </m:r>
        <m:sSub>
          <m:sSubPr/>
          <m:e>
            <m:r>
              <m:rPr>
                <m:sty m:val="bi"/>
              </m:rPr>
              <m:t>s</m:t>
            </m:r>
          </m:e>
          <m:sub>
            <m:r>
              <m:rPr/>
              <m:t>k</m:t>
            </m:r>
          </m:sub>
        </m:sSub>
        <m:r>
          <m:rPr>
            <m:sty m:val="p"/>
          </m:rPr>
          <m:t>(</m:t>
        </m:r>
        <m:r>
          <m:rPr/>
          <m:t>ω</m:t>
        </m:r>
        <m:r>
          <m:rPr>
            <m:sty m:val="p"/>
          </m:rPr>
          <m:t>)</m:t>
        </m:r>
      </m:oMath>
      <w:r>
        <w:rPr>
          <w:rFonts w:hint="eastAsia"/>
        </w:rPr>
        <w:t>，则响应功率谱</w:t>
      </w:r>
    </w:p>
    <w:p w14:paraId="07465E3C">
      <w:pPr>
        <w:pStyle w:val="11"/>
        <w:spacing w:before="120" w:after="120" w:line="240" w:lineRule="auto"/>
        <w:ind w:firstLine="0" w:firstLineChars="0"/>
      </w:pPr>
      <m:oMathPara>
        <m:oMathParaPr>
          <m:jc m:val="center"/>
        </m:oMathParaPr>
        <m:oMath>
          <m:sSub>
            <m:sSubPr/>
            <m:e>
              <m:r>
                <m:rPr>
                  <m:sty m:val="bi"/>
                </m:rPr>
                <m:t>S</m:t>
              </m:r>
            </m:e>
            <m:sub>
              <m:r>
                <m:rPr/>
                <m:t>uu</m:t>
              </m:r>
            </m:sub>
          </m:sSub>
          <m:r>
            <m:rPr>
              <m:sty m:val="p"/>
            </m:rPr>
            <m:t>(</m:t>
          </m:r>
          <m:r>
            <m:rPr/>
            <m:t>ω</m:t>
          </m:r>
          <m:r>
            <m:rPr>
              <m:sty m:val="p"/>
            </m:rPr>
            <m:t>)=</m:t>
          </m:r>
          <m:nary>
            <m:naryPr>
              <m:chr m:val="∑"/>
              <m:limLoc m:val="undOvr"/>
              <m:supHide m:val="1"/>
            </m:naryPr>
            <m:sub>
              <m:r>
                <m:rPr/>
                <m:t>k</m:t>
              </m:r>
            </m:sub>
            <m:sup>
              <m:r>
                <m:rPr/>
                <m:t>​</m:t>
              </m:r>
            </m:sup>
            <m:e>
              <m:sSub>
                <m:sSubPr/>
                <m:e>
                  <m:acc>
                    <m:accPr>
                      <m:chr m:val="̃"/>
                    </m:accPr>
                    <m:e>
                      <m:r>
                        <m:rPr>
                          <m:sty m:val="bi"/>
                        </m:rPr>
                        <m:t>u</m:t>
                      </m:r>
                    </m:e>
                  </m:acc>
                </m:e>
                <m:sub>
                  <m:r>
                    <m:rPr/>
                    <m:t>k</m:t>
                  </m:r>
                </m:sub>
              </m:sSub>
            </m:e>
          </m:nary>
          <m:r>
            <m:rPr>
              <m:sty m:val="p"/>
            </m:rPr>
            <m:t>(</m:t>
          </m:r>
          <m:r>
            <m:rPr/>
            <m:t>ω</m:t>
          </m:r>
          <m:r>
            <m:rPr>
              <m:sty m:val="p"/>
            </m:rPr>
            <m:t>)</m:t>
          </m:r>
          <m:r>
            <m:rPr/>
            <m:t> </m:t>
          </m:r>
          <m:sSubSup>
            <m:sSubSupPr/>
            <m:e>
              <m:acc>
                <m:accPr>
                  <m:chr m:val="̃"/>
                </m:accPr>
                <m:e>
                  <m:r>
                    <m:rPr>
                      <m:sty m:val="bi"/>
                    </m:rPr>
                    <m:t>u</m:t>
                  </m:r>
                </m:e>
              </m:acc>
            </m:e>
            <m:sub>
              <m:r>
                <m:rPr/>
                <m:t>k</m:t>
              </m:r>
            </m:sub>
            <m:sup>
              <m:r>
                <m:rPr>
                  <m:sty m:val="p"/>
                  <m:scr m:val="sans-serif"/>
                </m:rPr>
                <m:t>H</m:t>
              </m:r>
            </m:sup>
          </m:sSubSup>
          <m:r>
            <m:rPr>
              <m:sty m:val="p"/>
            </m:rPr>
            <m:t>(</m:t>
          </m:r>
          <m:r>
            <m:rPr/>
            <m:t>ω</m:t>
          </m:r>
          <m:r>
            <m:rPr>
              <m:sty m:val="p"/>
            </m:rPr>
            <m:t>)</m:t>
          </m:r>
        </m:oMath>
      </m:oMathPara>
    </w:p>
    <w:p w14:paraId="7767A2BE">
      <w:pPr>
        <w:pStyle w:val="70"/>
      </w:pPr>
      <w:r>
        <w:rPr>
          <w:rFonts w:hint="eastAsia"/>
        </w:rPr>
        <w:t>其严格等价性来自线性映射对谱矩阵外积分解的保持：</w:t>
      </w:r>
    </w:p>
    <w:p w14:paraId="21CF666B">
      <w:pPr>
        <w:pStyle w:val="11"/>
        <w:spacing w:before="120" w:after="120" w:line="240" w:lineRule="auto"/>
        <w:ind w:firstLine="0" w:firstLineChars="0"/>
      </w:pPr>
      <m:oMathPara>
        <m:oMathParaPr>
          <m:jc m:val="center"/>
        </m:oMathParaPr>
        <m:oMath>
          <m:nary>
            <m:naryPr>
              <m:chr m:val="∑"/>
              <m:limLoc m:val="undOvr"/>
              <m:supHide m:val="1"/>
            </m:naryPr>
            <m:sub>
              <m:r>
                <m:rPr/>
                <m:t>k</m:t>
              </m:r>
            </m:sub>
            <m:sup>
              <m:r>
                <m:rPr/>
                <m:t>​</m:t>
              </m:r>
            </m:sup>
            <m:e>
              <m:d>
                <m:dPr>
                  <m:sepChr m:val=""/>
                </m:dPr>
                <m:e>
                  <m:r>
                    <m:rPr>
                      <m:sty m:val="bi"/>
                    </m:rPr>
                    <m:t>H</m:t>
                  </m:r>
                  <m:sSub>
                    <m:sSubPr/>
                    <m:e>
                      <m:r>
                        <m:rPr>
                          <m:sty m:val="bi"/>
                        </m:rPr>
                        <m:t>s</m:t>
                      </m:r>
                    </m:e>
                    <m:sub>
                      <m:r>
                        <m:rPr/>
                        <m:t>k</m:t>
                      </m:r>
                    </m:sub>
                  </m:sSub>
                </m:e>
              </m:d>
            </m:e>
          </m:nary>
          <m:sSup>
            <m:sSupPr/>
            <m:e>
              <m:d>
                <m:dPr>
                  <m:sepChr m:val=""/>
                </m:dPr>
                <m:e>
                  <m:r>
                    <m:rPr>
                      <m:sty m:val="bi"/>
                    </m:rPr>
                    <m:t>H</m:t>
                  </m:r>
                  <m:sSub>
                    <m:sSubPr/>
                    <m:e>
                      <m:r>
                        <m:rPr>
                          <m:sty m:val="bi"/>
                        </m:rPr>
                        <m:t>s</m:t>
                      </m:r>
                    </m:e>
                    <m:sub>
                      <m:r>
                        <m:rPr/>
                        <m:t>k</m:t>
                      </m:r>
                    </m:sub>
                  </m:sSub>
                </m:e>
              </m:d>
            </m:e>
            <m:sup>
              <m:r>
                <m:rPr>
                  <m:sty m:val="p"/>
                  <m:scr m:val="sans-serif"/>
                </m:rPr>
                <m:t>H</m:t>
              </m:r>
            </m:sup>
          </m:sSup>
          <m:r>
            <m:rPr>
              <m:sty m:val="p"/>
            </m:rPr>
            <m:t>=</m:t>
          </m:r>
          <m:r>
            <m:rPr>
              <m:sty m:val="bi"/>
            </m:rPr>
            <m:t>H</m:t>
          </m:r>
          <m:d>
            <m:dPr>
              <m:sepChr m:val=""/>
            </m:dPr>
            <m:e>
              <m:nary>
                <m:naryPr>
                  <m:chr m:val="∑"/>
                  <m:limLoc m:val="undOvr"/>
                  <m:supHide m:val="1"/>
                </m:naryPr>
                <m:sub>
                  <m:r>
                    <m:rPr/>
                    <m:t>k</m:t>
                  </m:r>
                </m:sub>
                <m:sup>
                  <m:r>
                    <m:rPr/>
                    <m:t>​</m:t>
                  </m:r>
                </m:sup>
                <m:e>
                  <m:sSub>
                    <m:sSubPr/>
                    <m:e>
                      <m:r>
                        <m:rPr>
                          <m:sty m:val="bi"/>
                        </m:rPr>
                        <m:t>s</m:t>
                      </m:r>
                    </m:e>
                    <m:sub>
                      <m:r>
                        <m:rPr/>
                        <m:t>k</m:t>
                      </m:r>
                    </m:sub>
                  </m:sSub>
                </m:e>
              </m:nary>
              <m:sSubSup>
                <m:sSubSupPr/>
                <m:e>
                  <m:r>
                    <m:rPr>
                      <m:sty m:val="bi"/>
                    </m:rPr>
                    <m:t>s</m:t>
                  </m:r>
                </m:e>
                <m:sub>
                  <m:r>
                    <m:rPr/>
                    <m:t>k</m:t>
                  </m:r>
                </m:sub>
                <m:sup>
                  <m:r>
                    <m:rPr>
                      <m:sty m:val="p"/>
                      <m:scr m:val="sans-serif"/>
                    </m:rPr>
                    <m:t>H</m:t>
                  </m:r>
                </m:sup>
              </m:sSubSup>
            </m:e>
          </m:d>
          <m:sSup>
            <m:sSupPr/>
            <m:e>
              <m:r>
                <m:rPr>
                  <m:sty m:val="bi"/>
                </m:rPr>
                <m:t>H</m:t>
              </m:r>
            </m:e>
            <m:sup>
              <m:r>
                <m:rPr>
                  <m:sty m:val="p"/>
                  <m:scr m:val="sans-serif"/>
                </m:rPr>
                <m:t>H</m:t>
              </m:r>
            </m:sup>
          </m:sSup>
          <m:r>
            <m:rPr>
              <m:sty m:val="p"/>
            </m:rPr>
            <m:t>=</m:t>
          </m:r>
          <m:r>
            <m:rPr>
              <m:sty m:val="bi"/>
            </m:rPr>
            <m:t>H</m:t>
          </m:r>
          <m:sSub>
            <m:sSubPr/>
            <m:e>
              <m:r>
                <m:rPr>
                  <m:sty m:val="bi"/>
                </m:rPr>
                <m:t>S</m:t>
              </m:r>
            </m:e>
            <m:sub>
              <m:r>
                <m:rPr/>
                <m:t>FF</m:t>
              </m:r>
            </m:sub>
          </m:sSub>
          <m:sSup>
            <m:sSupPr/>
            <m:e>
              <m:r>
                <m:rPr>
                  <m:sty m:val="bi"/>
                </m:rPr>
                <m:t>H</m:t>
              </m:r>
            </m:e>
            <m:sup>
              <m:r>
                <m:rPr>
                  <m:sty m:val="p"/>
                  <m:scr m:val="sans-serif"/>
                </m:rPr>
                <m:t>H</m:t>
              </m:r>
            </m:sup>
          </m:sSup>
        </m:oMath>
      </m:oMathPara>
    </w:p>
    <w:p w14:paraId="0F4ED731">
      <w:pPr>
        <w:pStyle w:val="70"/>
      </w:pPr>
      <w:r>
        <w:rPr>
          <w:rFonts w:hint="eastAsia"/>
        </w:rPr>
        <w:t>因此，PEM</w:t>
      </w:r>
      <w:r>
        <w:t xml:space="preserve"> </w:t>
      </w:r>
      <w:r>
        <w:rPr>
          <w:rFonts w:hint="eastAsia"/>
        </w:rPr>
        <w:t>不是近似抽样方法，而是在谱分解、频响求解和数值离散误差可控时与频域谱关系一致的确定性算法；其误差主要来自谱矩阵数值分解、有效秩截断、频率网格离散和底层频响求解误差。</w:t>
      </w:r>
    </w:p>
    <w:p w14:paraId="0A0D11E0">
      <w:pPr>
        <w:pStyle w:val="11"/>
      </w:pPr>
      <w:r>
        <w:rPr>
          <w:rFonts w:hint="eastAsia"/>
        </w:rPr>
        <w:t>在所采用频响模型、谱分解精度和模态截断范围内，PEM</w:t>
      </w:r>
      <w:r>
        <w:t xml:space="preserve"> </w:t>
      </w:r>
      <w:r>
        <w:rPr>
          <w:rFonts w:hint="eastAsia"/>
        </w:rPr>
        <w:t>保留输入通道相关性及相应的模态交叉贡献，将随机响应谱计算转化为一组确定性频响计算。所需确定性频响计算次数等于保留的有效谱分量数；当输入谱矩阵低秩或有效激励通道数明显少于保留模态数时，可较完整模态交叉项展开显著降低计算量。提供算法原理描述与算例测试报告，并与</w:t>
      </w:r>
      <w:r>
        <w:t xml:space="preserve"> CQC </w:t>
      </w:r>
      <w:r>
        <w:rPr>
          <w:rFonts w:hint="eastAsia"/>
        </w:rPr>
        <w:t>或解析解进行交叉校核。</w:t>
      </w:r>
    </w:p>
    <w:p w14:paraId="714B6764">
      <w:pPr>
        <w:pStyle w:val="11"/>
      </w:pPr>
      <w:r>
        <w:rPr>
          <w:rFonts w:hint="eastAsia"/>
        </w:rPr>
        <w:t>实现中每个频点先对</w:t>
      </w:r>
      <w:r>
        <w:t xml:space="preserve"> </w:t>
      </w:r>
      <m:oMath>
        <m:sSub>
          <m:sSubPr/>
          <m:e>
            <m:r>
              <m:rPr>
                <m:sty m:val="bi"/>
              </m:rPr>
              <m:t>S</m:t>
            </m:r>
          </m:e>
          <m:sub>
            <m:r>
              <m:rPr/>
              <m:t>FF</m:t>
            </m:r>
          </m:sub>
        </m:sSub>
        <m:r>
          <m:rPr>
            <m:sty m:val="p"/>
          </m:rPr>
          <m:t>(</m:t>
        </m:r>
        <m:r>
          <m:rPr/>
          <m:t>ω</m:t>
        </m:r>
        <m:r>
          <m:rPr>
            <m:sty m:val="p"/>
          </m:rPr>
          <m:t>)</m:t>
        </m:r>
      </m:oMath>
      <w:r>
        <w:t xml:space="preserve"> </w:t>
      </w:r>
      <w:r>
        <w:rPr>
          <w:rFonts w:hint="eastAsia"/>
        </w:rPr>
        <w:t>进行</w:t>
      </w:r>
      <w:r>
        <w:t xml:space="preserve"> Hermitian </w:t>
      </w:r>
      <w:r>
        <w:rPr>
          <w:rFonts w:hint="eastAsia"/>
        </w:rPr>
        <w:t>性和半正定性检查；对数值舍入导致的微小负特征值按容差截断，对显著负特征值则报错并提示输入交叉谱不自洽。谱分解可采用特征值分解或带主元</w:t>
      </w:r>
      <w:r>
        <w:t xml:space="preserve"> Cholesky </w:t>
      </w:r>
      <w:r>
        <w:rPr>
          <w:rFonts w:hint="eastAsia"/>
        </w:rPr>
        <w:t>分解，保留有效谱分量并记录截断能量比例。随后通过频响服务批量求解</w:t>
      </w:r>
      <w:r>
        <w:t xml:space="preserve"> </w:t>
      </w:r>
      <m:oMath>
        <m:r>
          <m:rPr>
            <m:sty m:val="bi"/>
          </m:rPr>
          <m:t>H</m:t>
        </m:r>
        <m:r>
          <m:rPr>
            <m:sty m:val="p"/>
          </m:rPr>
          <m:t>(</m:t>
        </m:r>
        <m:r>
          <m:rPr/>
          <m:t>ω</m:t>
        </m:r>
        <m:r>
          <m:rPr>
            <m:sty m:val="p"/>
          </m:rPr>
          <m:t>)</m:t>
        </m:r>
        <m:sSub>
          <m:sSubPr/>
          <m:e>
            <m:r>
              <m:rPr>
                <m:sty m:val="bi"/>
              </m:rPr>
              <m:t>s</m:t>
            </m:r>
          </m:e>
          <m:sub>
            <m:r>
              <m:rPr/>
              <m:t>k</m:t>
            </m:r>
          </m:sub>
        </m:sSub>
        <m:r>
          <m:rPr>
            <m:sty m:val="p"/>
          </m:rPr>
          <m:t>(</m:t>
        </m:r>
        <m:r>
          <m:rPr/>
          <m:t>ω</m:t>
        </m:r>
        <m:r>
          <m:rPr>
            <m:sty m:val="p"/>
          </m:rPr>
          <m:t>)</m:t>
        </m:r>
      </m:oMath>
      <w:r>
        <w:rPr>
          <w:rFonts w:hint="eastAsia"/>
        </w:rPr>
        <w:t>，按外积叠加恢复响应谱矩阵。算例报告包含谱分解误差、有效秩、频响调用次数、关键响应功率谱曲线、RMS</w:t>
      </w:r>
      <w:r>
        <w:t xml:space="preserve"> </w:t>
      </w:r>
      <w:r>
        <w:rPr>
          <w:rFonts w:hint="eastAsia"/>
        </w:rPr>
        <w:t>误差和与</w:t>
      </w:r>
      <w:r>
        <w:t xml:space="preserve"> </w:t>
      </w:r>
      <w:r>
        <w:rPr>
          <w:rFonts w:hint="eastAsia"/>
        </w:rPr>
        <w:t>CQC/解析解的对比。</w:t>
      </w:r>
    </w:p>
    <w:p w14:paraId="34913CB6">
      <w:pPr>
        <w:pStyle w:val="11"/>
      </w:pPr>
      <w:r>
        <w:rPr>
          <w:b/>
          <w:bCs/>
        </w:rPr>
        <w:t xml:space="preserve">▲13 </w:t>
      </w:r>
      <w:r>
        <w:rPr>
          <w:rFonts w:hint="eastAsia"/>
          <w:b/>
          <w:bCs/>
        </w:rPr>
        <w:t>支持响应均方根计算。</w:t>
      </w:r>
      <w:r>
        <w:rPr>
          <w:rFonts w:hint="eastAsia"/>
        </w:rPr>
        <w:t>（提供算例测试报告）完全响应。采用“响应功率谱沿双边角频率积分直接得到方差”的谱归一化约定，指定响应分量的方差为</w:t>
      </w:r>
    </w:p>
    <w:p w14:paraId="7593DE20">
      <w:pPr>
        <w:pStyle w:val="11"/>
        <w:spacing w:before="120" w:after="120" w:line="240" w:lineRule="auto"/>
        <w:ind w:firstLine="0" w:firstLineChars="0"/>
      </w:pPr>
      <m:oMathPara>
        <m:oMathParaPr>
          <m:jc m:val="center"/>
        </m:oMathParaPr>
        <m:oMath>
          <m:sSubSup>
            <m:sSubSupPr/>
            <m:e>
              <m:r>
                <m:rPr/>
                <m:t>σ</m:t>
              </m:r>
            </m:e>
            <m:sub>
              <m:r>
                <m:rPr/>
                <m:t>u</m:t>
              </m:r>
            </m:sub>
            <m:sup>
              <m:r>
                <m:rPr/>
                <m:t>2</m:t>
              </m:r>
            </m:sup>
          </m:sSubSup>
          <m:r>
            <m:rPr>
              <m:sty m:val="p"/>
            </m:rPr>
            <m:t>=</m:t>
          </m:r>
          <m:nary>
            <m:naryPr>
              <m:limLoc m:val="subSup"/>
            </m:naryPr>
            <m:sub>
              <m:r>
                <m:rPr>
                  <m:sty m:val="p"/>
                </m:rPr>
                <m:t>−∞</m:t>
              </m:r>
            </m:sub>
            <m:sup>
              <m:r>
                <m:rPr>
                  <m:sty m:val="p"/>
                </m:rPr>
                <m:t>+∞</m:t>
              </m:r>
            </m:sup>
            <m:e>
              <m:sSub>
                <m:sSubPr/>
                <m:e>
                  <m:r>
                    <m:rPr/>
                    <m:t>S</m:t>
                  </m:r>
                </m:e>
                <m:sub>
                  <m:r>
                    <m:rPr/>
                    <m:t>uu</m:t>
                  </m:r>
                </m:sub>
              </m:sSub>
            </m:e>
          </m:nary>
          <m:r>
            <m:rPr>
              <m:sty m:val="p"/>
            </m:rPr>
            <m:t>(</m:t>
          </m:r>
          <m:r>
            <m:rPr/>
            <m:t>ω</m:t>
          </m:r>
          <m:r>
            <m:rPr>
              <m:sty m:val="p"/>
            </m:rPr>
            <m:t>)</m:t>
          </m:r>
          <m:r>
            <m:rPr/>
            <m:t> </m:t>
          </m:r>
          <m:r>
            <m:rPr>
              <m:sty m:val="p"/>
            </m:rPr>
            <m:t>d</m:t>
          </m:r>
          <m:r>
            <m:rPr/>
            <m:t>ω</m:t>
          </m:r>
        </m:oMath>
      </m:oMathPara>
    </w:p>
    <w:p w14:paraId="6803DF3C">
      <w:pPr>
        <w:pStyle w:val="70"/>
      </w:pPr>
      <w:r>
        <w:rPr>
          <w:rFonts w:hint="eastAsia"/>
        </w:rPr>
        <w:t>响应均方根为</w:t>
      </w:r>
      <w:r>
        <w:t xml:space="preserve"> </w:t>
      </w:r>
      <m:oMath>
        <m:sSub>
          <m:sSubPr/>
          <m:e>
            <m:r>
              <m:rPr/>
              <m:t>u</m:t>
            </m:r>
          </m:e>
          <m:sub>
            <m:r>
              <m:rPr>
                <m:sty m:val="p"/>
              </m:rPr>
              <m:t>rms</m:t>
            </m:r>
          </m:sub>
        </m:sSub>
        <m:r>
          <m:rPr>
            <m:sty m:val="p"/>
          </m:rPr>
          <m:t>=</m:t>
        </m:r>
        <m:rad>
          <m:radPr>
            <m:degHide m:val="1"/>
          </m:radPr>
          <m:deg/>
          <m:e>
            <m:sSubSup>
              <m:sSubSupPr/>
              <m:e>
                <m:r>
                  <m:rPr/>
                  <m:t>μ</m:t>
                </m:r>
              </m:e>
              <m:sub>
                <m:r>
                  <m:rPr/>
                  <m:t>u</m:t>
                </m:r>
              </m:sub>
              <m:sup>
                <m:r>
                  <m:rPr/>
                  <m:t>2</m:t>
                </m:r>
              </m:sup>
            </m:sSubSup>
            <m:r>
              <m:rPr>
                <m:sty m:val="p"/>
              </m:rPr>
              <m:t>+</m:t>
            </m:r>
            <m:sSubSup>
              <m:sSubSupPr/>
              <m:e>
                <m:r>
                  <m:rPr/>
                  <m:t>σ</m:t>
                </m:r>
              </m:e>
              <m:sub>
                <m:r>
                  <m:rPr/>
                  <m:t>u</m:t>
                </m:r>
              </m:sub>
              <m:sup>
                <m:r>
                  <m:rPr/>
                  <m:t>2</m:t>
                </m:r>
              </m:sup>
            </m:sSubSup>
          </m:e>
        </m:rad>
      </m:oMath>
      <w:r>
        <w:rPr>
          <w:rFonts w:hint="eastAsia"/>
        </w:rPr>
        <w:t>；对于通常采用的零均值随机响应，</w:t>
      </w:r>
      <m:oMath>
        <m:sSub>
          <m:sSubPr/>
          <m:e>
            <m:r>
              <m:rPr/>
              <m:t>u</m:t>
            </m:r>
          </m:e>
          <m:sub>
            <m:r>
              <m:rPr>
                <m:sty m:val="p"/>
              </m:rPr>
              <m:t>rms</m:t>
            </m:r>
          </m:sub>
        </m:sSub>
        <m:r>
          <m:rPr>
            <m:sty m:val="p"/>
          </m:rPr>
          <m:t>=</m:t>
        </m:r>
        <m:sSub>
          <m:sSubPr/>
          <m:e>
            <m:r>
              <m:rPr/>
              <m:t>σ</m:t>
            </m:r>
          </m:e>
          <m:sub>
            <m:r>
              <m:rPr/>
              <m:t>u</m:t>
            </m:r>
          </m:sub>
        </m:sSub>
      </m:oMath>
      <w:r>
        <w:rPr>
          <w:rFonts w:hint="eastAsia"/>
        </w:rPr>
        <w:t>。若采用其他傅里叶变换或单边谱约定，则同步调整积分区间和归一化系数。输出节点/单元指定响应量的均方根云图数据；在共振峰附近进行自适应频率网格加密以提高积分分辨率，并依据积分收敛准则控制数值误差。提供算例测试报告（采用具有物理质量</w:t>
      </w:r>
      <w:r>
        <w:t xml:space="preserve"> </w:t>
      </w:r>
      <m:oMath>
        <m:r>
          <m:rPr/>
          <m:t>m</m:t>
        </m:r>
      </m:oMath>
      <w:r>
        <w:rPr>
          <w:rFonts w:hint="eastAsia"/>
        </w:rPr>
        <w:t>、固有频率</w:t>
      </w:r>
      <w:r>
        <w:t xml:space="preserve"> </w:t>
      </w:r>
      <m:oMath>
        <m:sSub>
          <m:sSubPr/>
          <m:e>
            <m:r>
              <m:rPr/>
              <m:t>ω</m:t>
            </m:r>
          </m:e>
          <m:sub>
            <m:r>
              <m:rPr/>
              <m:t>n</m:t>
            </m:r>
          </m:sub>
        </m:sSub>
      </m:oMath>
      <w:r>
        <w:rPr>
          <w:rFonts w:hint="eastAsia"/>
        </w:rPr>
        <w:t>、阻尼比</w:t>
      </w:r>
      <w:r>
        <w:t xml:space="preserve"> </w:t>
      </w:r>
      <m:oMath>
        <m:r>
          <m:rPr/>
          <m:t>ξ</m:t>
        </m:r>
      </m:oMath>
      <w:r>
        <w:t xml:space="preserve"> </w:t>
      </w:r>
      <w:r>
        <w:rPr>
          <w:rFonts w:hint="eastAsia"/>
        </w:rPr>
        <w:t>的单自由度系统作为闭式校核基准，与</w:t>
      </w:r>
      <w:r>
        <w:t xml:space="preserve"> ▲10–▲12 </w:t>
      </w:r>
      <w:r>
        <w:rPr>
          <w:rFonts w:hint="eastAsia"/>
        </w:rPr>
        <w:t>模态叠加所采用的单位模态质量归一化频响相互独立；在力功率谱</w:t>
      </w:r>
      <w:r>
        <w:t xml:space="preserve"> </w:t>
      </w:r>
      <m:oMath>
        <m:sSub>
          <m:sSubPr/>
          <m:e>
            <m:r>
              <m:rPr/>
              <m:t>S</m:t>
            </m:r>
          </m:e>
          <m:sub>
            <m:r>
              <m:rPr/>
              <m:t>0</m:t>
            </m:r>
          </m:sub>
        </m:sSub>
      </m:oMath>
      <w:r>
        <w:rPr>
          <w:rFonts w:hint="eastAsia"/>
        </w:rPr>
        <w:t>（双边白噪声）激励下，其位移方差解析解为</w:t>
      </w:r>
      <w:r>
        <w:t xml:space="preserve"> </w:t>
      </w:r>
      <m:oMath>
        <m:sSubSup>
          <m:sSubSupPr/>
          <m:e>
            <m:r>
              <m:rPr/>
              <m:t>σ</m:t>
            </m:r>
          </m:e>
          <m:sub>
            <m:r>
              <m:rPr/>
              <m:t>u</m:t>
            </m:r>
          </m:sub>
          <m:sup>
            <m:r>
              <m:rPr/>
              <m:t>2</m:t>
            </m:r>
          </m:sup>
        </m:sSubSup>
        <m:r>
          <m:rPr>
            <m:sty m:val="p"/>
          </m:rPr>
          <m:t>=</m:t>
        </m:r>
        <m:f>
          <m:fPr/>
          <m:num>
            <m:r>
              <m:rPr/>
              <m:t>π</m:t>
            </m:r>
            <m:sSub>
              <m:sSubPr/>
              <m:e>
                <m:r>
                  <m:rPr/>
                  <m:t>S</m:t>
                </m:r>
              </m:e>
              <m:sub>
                <m:r>
                  <m:rPr/>
                  <m:t>0</m:t>
                </m:r>
              </m:sub>
            </m:sSub>
          </m:num>
          <m:den>
            <m:r>
              <m:rPr/>
              <m:t>2ξ</m:t>
            </m:r>
            <m:sSubSup>
              <m:sSubSupPr/>
              <m:e>
                <m:r>
                  <m:rPr/>
                  <m:t>ω</m:t>
                </m:r>
              </m:e>
              <m:sub>
                <m:r>
                  <m:rPr/>
                  <m:t>n</m:t>
                </m:r>
              </m:sub>
              <m:sup>
                <m:r>
                  <m:rPr/>
                  <m:t>3</m:t>
                </m:r>
              </m:sup>
            </m:sSubSup>
            <m:sSup>
              <m:sSupPr/>
              <m:e>
                <m:r>
                  <m:rPr/>
                  <m:t>m</m:t>
                </m:r>
              </m:e>
              <m:sup>
                <m:r>
                  <m:rPr/>
                  <m:t>2</m:t>
                </m:r>
              </m:sup>
            </m:sSup>
          </m:den>
        </m:f>
      </m:oMath>
      <w:r>
        <w:rPr>
          <w:rFonts w:hint="eastAsia"/>
        </w:rPr>
        <w:t>）。</w:t>
      </w:r>
    </w:p>
    <w:p w14:paraId="54933812">
      <w:pPr>
        <w:pStyle w:val="11"/>
      </w:pPr>
      <w:r>
        <w:rPr>
          <w:rFonts w:hint="eastAsia"/>
        </w:rPr>
        <w:t>数值实现中，模块支持等间距频率积分、分段积分和共振峰局部加密，并输出积分收敛记录。对于宽频随机激励，报告中给出频率上限、频率步长、谱尾截断、积分方法和关键响应</w:t>
      </w:r>
      <w:r>
        <w:t xml:space="preserve"> RMS </w:t>
      </w:r>
      <w:r>
        <w:rPr>
          <w:rFonts w:hint="eastAsia"/>
        </w:rPr>
        <w:t>的收敛性说明。对于节点和单元结果，先计算相应响应量的功率谱，再积分得到</w:t>
      </w:r>
      <w:r>
        <w:t xml:space="preserve"> </w:t>
      </w:r>
      <w:r>
        <w:rPr>
          <w:rFonts w:hint="eastAsia"/>
        </w:rPr>
        <w:t>RMS，避免用位移</w:t>
      </w:r>
      <w:r>
        <w:t xml:space="preserve"> RMS </w:t>
      </w:r>
      <w:r>
        <w:rPr>
          <w:rFonts w:hint="eastAsia"/>
        </w:rPr>
        <w:t>直接替代内力或应力</w:t>
      </w:r>
      <w:r>
        <w:t xml:space="preserve"> RMS。</w:t>
      </w:r>
    </w:p>
    <w:bookmarkEnd w:id="19"/>
    <w:p w14:paraId="2861E5BF">
      <w:pPr>
        <w:pStyle w:val="5"/>
      </w:pPr>
      <w:bookmarkStart w:id="20" w:name="三非平稳随机振动算法1415完全响应"/>
      <w:r>
        <w:rPr>
          <w:rFonts w:hint="eastAsia"/>
        </w:rPr>
        <w:t>（三）非平稳随机振动算法（▲14–▲15，完全响应）</w:t>
      </w:r>
    </w:p>
    <w:p w14:paraId="4AAE4B4F">
      <w:pPr>
        <w:pStyle w:val="70"/>
      </w:pPr>
      <w:r>
        <w:rPr>
          <w:b/>
          <w:bCs/>
        </w:rPr>
        <w:t xml:space="preserve">▲14 </w:t>
      </w:r>
      <w:r>
        <w:rPr>
          <w:rFonts w:hint="eastAsia"/>
          <w:b/>
          <w:bCs/>
        </w:rPr>
        <w:t>非平稳随机振动分析支持时变响应均方根计算。</w:t>
      </w:r>
      <w:r>
        <w:rPr>
          <w:rFonts w:hint="eastAsia"/>
        </w:rPr>
        <w:t>（提供算例测试报告）完全响应。非平稳激励用</w:t>
      </w:r>
      <w:r>
        <w:rPr>
          <w:rFonts w:hint="eastAsia"/>
          <w:b/>
          <w:bCs/>
        </w:rPr>
        <w:t>演变功率谱</w:t>
      </w:r>
      <w:r>
        <w:t xml:space="preserve"> </w:t>
      </w:r>
      <m:oMath>
        <m:sSub>
          <m:sSubPr/>
          <m:e>
            <m:r>
              <m:rPr>
                <m:sty m:val="bi"/>
              </m:rPr>
              <m:t>G</m:t>
            </m:r>
          </m:e>
          <m:sub>
            <m:r>
              <m:rPr/>
              <m:t>FF</m:t>
            </m:r>
          </m:sub>
        </m:sSub>
        <m:r>
          <m:rPr>
            <m:sty m:val="p"/>
          </m:rPr>
          <m:t>(</m:t>
        </m:r>
        <m:r>
          <m:rPr/>
          <m:t>ω</m:t>
        </m:r>
        <m:r>
          <m:rPr>
            <m:sty m:val="p"/>
          </m:rPr>
          <m:t>,</m:t>
        </m:r>
        <m:r>
          <m:rPr/>
          <m:t>t</m:t>
        </m:r>
        <m:r>
          <m:rPr>
            <m:sty m:val="p"/>
          </m:rPr>
          <m:t>)</m:t>
        </m:r>
      </m:oMath>
      <w:r>
        <w:t xml:space="preserve"> </w:t>
      </w:r>
      <w:r>
        <w:rPr>
          <w:rFonts w:hint="eastAsia"/>
        </w:rPr>
        <w:t>描述</w:t>
      </w:r>
      <w:r>
        <w:t xml:space="preserve"> </w:t>
      </w:r>
      <w:r>
        <w:rPr>
          <w:rFonts w:hint="eastAsia"/>
        </w:rPr>
        <w:t>[10]（区别于平稳谱</w:t>
      </w:r>
      <w:r>
        <w:t xml:space="preserve"> </w:t>
      </w:r>
      <m:oMath>
        <m:sSub>
          <m:sSubPr/>
          <m:e>
            <m:r>
              <m:rPr>
                <m:sty m:val="bi"/>
              </m:rPr>
              <m:t>S</m:t>
            </m:r>
          </m:e>
          <m:sub>
            <m:r>
              <m:rPr/>
              <m:t>FF</m:t>
            </m:r>
          </m:sub>
        </m:sSub>
        <m:r>
          <m:rPr>
            <m:sty m:val="p"/>
          </m:rPr>
          <m:t>(</m:t>
        </m:r>
        <m:r>
          <m:rPr/>
          <m:t>ω</m:t>
        </m:r>
        <m:r>
          <m:rPr>
            <m:sty m:val="p"/>
          </m:rPr>
          <m:t>)</m:t>
        </m:r>
      </m:oMath>
      <w:r>
        <w:rPr>
          <w:rFonts w:hint="eastAsia"/>
        </w:rPr>
        <w:t>）。一种常用的标量调制模型为</w:t>
      </w:r>
      <w:r>
        <w:t xml:space="preserve"> </w:t>
      </w:r>
      <m:oMath>
        <m:sSub>
          <m:sSubPr/>
          <m:e>
            <m:r>
              <m:rPr>
                <m:sty m:val="bi"/>
              </m:rPr>
              <m:t>G</m:t>
            </m:r>
          </m:e>
          <m:sub>
            <m:r>
              <m:rPr/>
              <m:t>FF</m:t>
            </m:r>
          </m:sub>
        </m:sSub>
        <m:r>
          <m:rPr>
            <m:sty m:val="p"/>
          </m:rPr>
          <m:t>(</m:t>
        </m:r>
        <m:r>
          <m:rPr/>
          <m:t>ω</m:t>
        </m:r>
        <m:r>
          <m:rPr>
            <m:sty m:val="p"/>
          </m:rPr>
          <m:t>,</m:t>
        </m:r>
        <m:r>
          <m:rPr/>
          <m:t>t</m:t>
        </m:r>
        <m:r>
          <m:rPr>
            <m:sty m:val="p"/>
          </m:rPr>
          <m:t>)=|</m:t>
        </m:r>
        <m:r>
          <m:rPr/>
          <m:t>A</m:t>
        </m:r>
        <m:r>
          <m:rPr>
            <m:sty m:val="p"/>
          </m:rPr>
          <m:t>(</m:t>
        </m:r>
        <m:r>
          <m:rPr/>
          <m:t>ω</m:t>
        </m:r>
        <m:r>
          <m:rPr>
            <m:sty m:val="p"/>
          </m:rPr>
          <m:t>,</m:t>
        </m:r>
        <m:r>
          <m:rPr/>
          <m:t>t</m:t>
        </m:r>
        <m:r>
          <m:rPr>
            <m:sty m:val="p"/>
          </m:rPr>
          <m:t>)</m:t>
        </m:r>
        <m:sSup>
          <m:sSupPr/>
          <m:e>
            <m:r>
              <m:rPr>
                <m:sty m:val="p"/>
              </m:rPr>
              <m:t>|</m:t>
            </m:r>
          </m:e>
          <m:sup>
            <m:r>
              <m:rPr/>
              <m:t>2</m:t>
            </m:r>
          </m:sup>
        </m:sSup>
        <m:r>
          <m:rPr/>
          <m:t> </m:t>
        </m:r>
        <m:sSubSup>
          <m:sSubSupPr/>
          <m:e>
            <m:r>
              <m:rPr>
                <m:sty m:val="bi"/>
              </m:rPr>
              <m:t>S</m:t>
            </m:r>
          </m:e>
          <m:sub>
            <m:r>
              <m:rPr/>
              <m:t>FF</m:t>
            </m:r>
          </m:sub>
          <m:sup>
            <m:r>
              <m:rPr/>
              <m:t>0</m:t>
            </m:r>
          </m:sup>
        </m:sSubSup>
        <m:r>
          <m:rPr>
            <m:sty m:val="p"/>
          </m:rPr>
          <m:t>(</m:t>
        </m:r>
        <m:r>
          <m:rPr/>
          <m:t>ω</m:t>
        </m:r>
        <m:r>
          <m:rPr>
            <m:sty m:val="p"/>
          </m:rPr>
          <m:t>)</m:t>
        </m:r>
      </m:oMath>
      <w:r>
        <w:rPr>
          <w:rFonts w:hint="eastAsia"/>
        </w:rPr>
        <w:t>，其中</w:t>
      </w:r>
      <w:r>
        <w:t xml:space="preserve"> </w:t>
      </w:r>
      <m:oMath>
        <m:sSubSup>
          <m:sSubSupPr/>
          <m:e>
            <m:r>
              <m:rPr>
                <m:sty m:val="bi"/>
              </m:rPr>
              <m:t>S</m:t>
            </m:r>
          </m:e>
          <m:sub>
            <m:r>
              <m:rPr/>
              <m:t>FF</m:t>
            </m:r>
          </m:sub>
          <m:sup>
            <m:r>
              <m:rPr/>
              <m:t>0</m:t>
            </m:r>
          </m:sup>
        </m:sSubSup>
      </m:oMath>
      <w:r>
        <w:t xml:space="preserve"> </w:t>
      </w:r>
      <w:r>
        <w:rPr>
          <w:rFonts w:hint="eastAsia"/>
        </w:rPr>
        <w:t>为基准平稳谱、</w:t>
      </w:r>
      <m:oMath>
        <m:r>
          <m:rPr/>
          <m:t>A</m:t>
        </m:r>
        <m:r>
          <m:rPr>
            <m:sty m:val="p"/>
          </m:rPr>
          <m:t>(</m:t>
        </m:r>
        <m:r>
          <m:rPr/>
          <m:t>ω</m:t>
        </m:r>
        <m:r>
          <m:rPr>
            <m:sty m:val="p"/>
          </m:rPr>
          <m:t>,</m:t>
        </m:r>
        <m:r>
          <m:rPr/>
          <m:t>t</m:t>
        </m:r>
        <m:r>
          <m:rPr>
            <m:sty m:val="p"/>
          </m:rPr>
          <m:t>)</m:t>
        </m:r>
      </m:oMath>
      <w:r>
        <w:t xml:space="preserve"> </w:t>
      </w:r>
      <w:r>
        <w:rPr>
          <w:rFonts w:hint="eastAsia"/>
        </w:rPr>
        <w:t>为时变调制（包络）函数；该模型用于描述调制型非平稳过程，不代表所有一般非平稳过程。采用</w:t>
      </w:r>
      <w:r>
        <w:rPr>
          <w:rFonts w:hint="eastAsia"/>
          <w:b/>
          <w:bCs/>
        </w:rPr>
        <w:t>时域虚拟激励法</w:t>
      </w:r>
      <w:r>
        <w:t xml:space="preserve"> </w:t>
      </w:r>
      <w:r>
        <w:rPr>
          <w:rFonts w:hint="eastAsia"/>
        </w:rPr>
        <w:t>[3]：将基准谱逐频点分解为</w:t>
      </w:r>
      <w:r>
        <w:t xml:space="preserve"> </w:t>
      </w:r>
      <m:oMath>
        <m:sSubSup>
          <m:sSubSupPr/>
          <m:e>
            <m:r>
              <m:rPr>
                <m:sty m:val="bi"/>
              </m:rPr>
              <m:t>S</m:t>
            </m:r>
          </m:e>
          <m:sub>
            <m:r>
              <m:rPr/>
              <m:t>FF</m:t>
            </m:r>
          </m:sub>
          <m:sup>
            <m:r>
              <m:rPr/>
              <m:t>0</m:t>
            </m:r>
          </m:sup>
        </m:sSubSup>
        <m:r>
          <m:rPr>
            <m:sty m:val="p"/>
          </m:rPr>
          <m:t>(</m:t>
        </m:r>
        <m:r>
          <m:rPr/>
          <m:t>ω</m:t>
        </m:r>
        <m:r>
          <m:rPr>
            <m:sty m:val="p"/>
          </m:rPr>
          <m:t>)=</m:t>
        </m:r>
        <m:nary>
          <m:naryPr>
            <m:chr m:val="∑"/>
            <m:limLoc m:val="undOvr"/>
            <m:supHide m:val="1"/>
          </m:naryPr>
          <m:sub>
            <m:r>
              <m:rPr/>
              <m:t>k</m:t>
            </m:r>
          </m:sub>
          <m:sup/>
          <m:e>
            <m:sSub>
              <m:sSubPr/>
              <m:e>
                <m:r>
                  <m:rPr>
                    <m:sty m:val="bi"/>
                  </m:rPr>
                  <m:t>s</m:t>
                </m:r>
              </m:e>
              <m:sub>
                <m:r>
                  <m:rPr/>
                  <m:t>k</m:t>
                </m:r>
              </m:sub>
            </m:sSub>
          </m:e>
        </m:nary>
        <m:r>
          <m:rPr>
            <m:sty m:val="p"/>
          </m:rPr>
          <m:t>(</m:t>
        </m:r>
        <m:r>
          <m:rPr/>
          <m:t>ω</m:t>
        </m:r>
        <m:r>
          <m:rPr>
            <m:sty m:val="p"/>
          </m:rPr>
          <m:t>)</m:t>
        </m:r>
        <m:r>
          <m:rPr/>
          <m:t> </m:t>
        </m:r>
        <m:sSubSup>
          <m:sSubSupPr/>
          <m:e>
            <m:r>
              <m:rPr>
                <m:sty m:val="bi"/>
              </m:rPr>
              <m:t>s</m:t>
            </m:r>
          </m:e>
          <m:sub>
            <m:r>
              <m:rPr/>
              <m:t>k</m:t>
            </m:r>
          </m:sub>
          <m:sup>
            <m:r>
              <m:rPr>
                <m:sty m:val="p"/>
                <m:scr m:val="sans-serif"/>
              </m:rPr>
              <m:t>H</m:t>
            </m:r>
          </m:sup>
        </m:sSubSup>
        <m:r>
          <m:rPr>
            <m:sty m:val="p"/>
          </m:rPr>
          <m:t>(</m:t>
        </m:r>
        <m:r>
          <m:rPr/>
          <m:t>ω</m:t>
        </m:r>
        <m:r>
          <m:rPr>
            <m:sty m:val="p"/>
          </m:rPr>
          <m:t>)</m:t>
        </m:r>
      </m:oMath>
      <w:r>
        <w:rPr>
          <w:rFonts w:hint="eastAsia"/>
        </w:rPr>
        <w:t>，构造时变虚拟激励</w:t>
      </w:r>
      <w:r>
        <w:t xml:space="preserve"> </w:t>
      </w:r>
      <m:oMath>
        <m:sSub>
          <m:sSubPr/>
          <m:e>
            <m:acc>
              <m:accPr>
                <m:chr m:val="̃"/>
              </m:accPr>
              <m:e>
                <m:r>
                  <m:rPr>
                    <m:sty m:val="bi"/>
                  </m:rPr>
                  <m:t>F</m:t>
                </m:r>
              </m:e>
            </m:acc>
          </m:e>
          <m:sub>
            <m:r>
              <m:rPr/>
              <m:t>k</m:t>
            </m:r>
          </m:sub>
        </m:sSub>
        <m:r>
          <m:rPr>
            <m:sty m:val="p"/>
          </m:rPr>
          <m:t>(</m:t>
        </m:r>
        <m:r>
          <m:rPr/>
          <m:t>ω</m:t>
        </m:r>
        <m:r>
          <m:rPr>
            <m:sty m:val="p"/>
          </m:rPr>
          <m:t>,</m:t>
        </m:r>
        <m:r>
          <m:rPr/>
          <m:t>t</m:t>
        </m:r>
        <m:r>
          <m:rPr>
            <m:sty m:val="p"/>
          </m:rPr>
          <m:t>)=</m:t>
        </m:r>
        <m:r>
          <m:rPr/>
          <m:t>A</m:t>
        </m:r>
        <m:r>
          <m:rPr>
            <m:sty m:val="p"/>
          </m:rPr>
          <m:t>(</m:t>
        </m:r>
        <m:r>
          <m:rPr/>
          <m:t>ω</m:t>
        </m:r>
        <m:r>
          <m:rPr>
            <m:sty m:val="p"/>
          </m:rPr>
          <m:t>,</m:t>
        </m:r>
        <m:r>
          <m:rPr/>
          <m:t>t</m:t>
        </m:r>
        <m:r>
          <m:rPr>
            <m:sty m:val="p"/>
          </m:rPr>
          <m:t>)</m:t>
        </m:r>
        <m:r>
          <m:rPr/>
          <m:t> </m:t>
        </m:r>
        <m:sSub>
          <m:sSubPr/>
          <m:e>
            <m:r>
              <m:rPr>
                <m:sty m:val="bi"/>
              </m:rPr>
              <m:t>s</m:t>
            </m:r>
          </m:e>
          <m:sub>
            <m:r>
              <m:rPr/>
              <m:t>k</m:t>
            </m:r>
          </m:sub>
        </m:sSub>
        <m:r>
          <m:rPr>
            <m:sty m:val="p"/>
          </m:rPr>
          <m:t>(</m:t>
        </m:r>
        <m:r>
          <m:rPr/>
          <m:t>ω</m:t>
        </m:r>
        <m:r>
          <m:rPr>
            <m:sty m:val="p"/>
          </m:rPr>
          <m:t>)</m:t>
        </m:r>
        <m:r>
          <m:rPr/>
          <m:t> </m:t>
        </m:r>
        <m:sSup>
          <m:sSupPr/>
          <m:e>
            <m:r>
              <m:rPr/>
              <m:t>e</m:t>
            </m:r>
          </m:e>
          <m:sup>
            <m:r>
              <m:rPr/>
              <m:t>iωt</m:t>
            </m:r>
          </m:sup>
        </m:sSup>
      </m:oMath>
      <w:r>
        <w:rPr>
          <w:rFonts w:hint="eastAsia"/>
        </w:rPr>
        <w:t>，通过标准时域求解服务接口逐步求解</w:t>
      </w:r>
      <w:r>
        <w:t xml:space="preserve"> </w:t>
      </w:r>
      <m:oMath>
        <m:sSub>
          <m:sSubPr/>
          <m:e>
            <m:acc>
              <m:accPr>
                <m:chr m:val="̃"/>
              </m:accPr>
              <m:e>
                <m:r>
                  <m:rPr>
                    <m:sty m:val="bi"/>
                  </m:rPr>
                  <m:t>u</m:t>
                </m:r>
              </m:e>
            </m:acc>
          </m:e>
          <m:sub>
            <m:r>
              <m:rPr/>
              <m:t>k</m:t>
            </m:r>
          </m:sub>
        </m:sSub>
        <m:r>
          <m:rPr>
            <m:sty m:val="p"/>
          </m:rPr>
          <m:t>(</m:t>
        </m:r>
        <m:r>
          <m:rPr/>
          <m:t>ω</m:t>
        </m:r>
        <m:r>
          <m:rPr>
            <m:sty m:val="p"/>
          </m:rPr>
          <m:t>,</m:t>
        </m:r>
        <m:r>
          <m:rPr/>
          <m:t>t</m:t>
        </m:r>
        <m:r>
          <m:rPr>
            <m:sty m:val="p"/>
          </m:rPr>
          <m:t>)</m:t>
        </m:r>
      </m:oMath>
      <w:r>
        <w:rPr>
          <w:rFonts w:hint="eastAsia"/>
        </w:rPr>
        <w:t>（因结构存在记忆效应，不能将平稳公式逐时刻照搬），重构输出演变功率谱</w:t>
      </w:r>
      <w:r>
        <w:t xml:space="preserve"> </w:t>
      </w:r>
      <m:oMath>
        <m:sSub>
          <m:sSubPr/>
          <m:e>
            <m:r>
              <m:rPr>
                <m:sty m:val="bi"/>
              </m:rPr>
              <m:t>G</m:t>
            </m:r>
          </m:e>
          <m:sub>
            <m:r>
              <m:rPr/>
              <m:t>uu</m:t>
            </m:r>
          </m:sub>
        </m:sSub>
        <m:r>
          <m:rPr>
            <m:sty m:val="p"/>
          </m:rPr>
          <m:t>(</m:t>
        </m:r>
        <m:r>
          <m:rPr/>
          <m:t>ω</m:t>
        </m:r>
        <m:r>
          <m:rPr>
            <m:sty m:val="p"/>
          </m:rPr>
          <m:t>,</m:t>
        </m:r>
        <m:r>
          <m:rPr/>
          <m:t>t</m:t>
        </m:r>
        <m:r>
          <m:rPr>
            <m:sty m:val="p"/>
          </m:rPr>
          <m:t>)=</m:t>
        </m:r>
        <m:nary>
          <m:naryPr>
            <m:chr m:val="∑"/>
            <m:limLoc m:val="undOvr"/>
            <m:supHide m:val="1"/>
          </m:naryPr>
          <m:sub>
            <m:r>
              <m:rPr/>
              <m:t>k</m:t>
            </m:r>
          </m:sub>
          <m:sup/>
          <m:e>
            <m:sSub>
              <m:sSubPr/>
              <m:e>
                <m:acc>
                  <m:accPr>
                    <m:chr m:val="̃"/>
                  </m:accPr>
                  <m:e>
                    <m:r>
                      <m:rPr>
                        <m:sty m:val="bi"/>
                      </m:rPr>
                      <m:t>u</m:t>
                    </m:r>
                  </m:e>
                </m:acc>
              </m:e>
              <m:sub>
                <m:r>
                  <m:rPr/>
                  <m:t>k</m:t>
                </m:r>
              </m:sub>
            </m:sSub>
          </m:e>
        </m:nary>
        <m:sSubSup>
          <m:sSubSupPr/>
          <m:e>
            <m:acc>
              <m:accPr>
                <m:chr m:val="̃"/>
              </m:accPr>
              <m:e>
                <m:r>
                  <m:rPr>
                    <m:sty m:val="bi"/>
                  </m:rPr>
                  <m:t>u</m:t>
                </m:r>
              </m:e>
            </m:acc>
          </m:e>
          <m:sub>
            <m:r>
              <m:rPr/>
              <m:t>k</m:t>
            </m:r>
          </m:sub>
          <m:sup>
            <m:r>
              <m:rPr>
                <m:sty m:val="p"/>
                <m:scr m:val="sans-serif"/>
              </m:rPr>
              <m:t>H</m:t>
            </m:r>
          </m:sup>
        </m:sSubSup>
      </m:oMath>
      <w:r>
        <w:t>。</w:t>
      </w:r>
    </w:p>
    <w:p w14:paraId="6CA8981A">
      <w:pPr>
        <w:pStyle w:val="11"/>
      </w:pPr>
      <w:r>
        <w:rPr>
          <w:rFonts w:hint="eastAsia"/>
        </w:rPr>
        <w:t>非平稳随机振动的核心差别在于统计量依赖绝对时间</w:t>
      </w:r>
      <w:r>
        <w:t xml:space="preserve"> </w:t>
      </w:r>
      <m:oMath>
        <m:r>
          <m:rPr/>
          <m:t>t</m:t>
        </m:r>
      </m:oMath>
      <w:r>
        <w:rPr>
          <w:rFonts w:hint="eastAsia"/>
        </w:rPr>
        <w:t>，而非只依赖时差</w:t>
      </w:r>
      <w:r>
        <w:t xml:space="preserve"> </w:t>
      </w:r>
      <m:oMath>
        <m:r>
          <m:rPr/>
          <m:t>τ</m:t>
        </m:r>
      </m:oMath>
      <w:r>
        <w:rPr>
          <w:rFonts w:hint="eastAsia"/>
        </w:rPr>
        <w:t>。因此，</w:t>
      </w:r>
      <m:oMath>
        <m:sSub>
          <m:sSubPr/>
          <m:e>
            <m:r>
              <m:rPr>
                <m:sty m:val="bi"/>
              </m:rPr>
              <m:t>G</m:t>
            </m:r>
          </m:e>
          <m:sub>
            <m:r>
              <m:rPr/>
              <m:t>FF</m:t>
            </m:r>
          </m:sub>
        </m:sSub>
        <m:r>
          <m:rPr>
            <m:sty m:val="p"/>
          </m:rPr>
          <m:t>(</m:t>
        </m:r>
        <m:r>
          <m:rPr/>
          <m:t>ω</m:t>
        </m:r>
        <m:r>
          <m:rPr>
            <m:sty m:val="p"/>
          </m:rPr>
          <m:t>,</m:t>
        </m:r>
        <m:r>
          <m:rPr/>
          <m:t>t</m:t>
        </m:r>
        <m:r>
          <m:rPr>
            <m:sty m:val="p"/>
          </m:rPr>
          <m:t>)</m:t>
        </m:r>
      </m:oMath>
      <w:r>
        <w:t xml:space="preserve"> </w:t>
      </w:r>
      <w:r>
        <w:rPr>
          <w:rFonts w:hint="eastAsia"/>
        </w:rPr>
        <w:t>表示时频能量随时间演化的描述，不能与平稳谱</w:t>
      </w:r>
      <w:r>
        <w:t xml:space="preserve"> </w:t>
      </w:r>
      <m:oMath>
        <m:sSub>
          <m:sSubPr/>
          <m:e>
            <m:r>
              <m:rPr>
                <m:sty m:val="bi"/>
              </m:rPr>
              <m:t>S</m:t>
            </m:r>
          </m:e>
          <m:sub>
            <m:r>
              <m:rPr/>
              <m:t>FF</m:t>
            </m:r>
          </m:sub>
        </m:sSub>
        <m:r>
          <m:rPr>
            <m:sty m:val="p"/>
          </m:rPr>
          <m:t>(</m:t>
        </m:r>
        <m:r>
          <m:rPr/>
          <m:t>ω</m:t>
        </m:r>
        <m:r>
          <m:rPr>
            <m:sty m:val="p"/>
          </m:rPr>
          <m:t>)</m:t>
        </m:r>
      </m:oMath>
      <w:r>
        <w:t xml:space="preserve"> </w:t>
      </w:r>
      <w:r>
        <w:rPr>
          <w:rFonts w:hint="eastAsia"/>
        </w:rPr>
        <w:t>混写；同样，响应演变谱</w:t>
      </w:r>
      <w:r>
        <w:t xml:space="preserve"> </w:t>
      </w:r>
      <m:oMath>
        <m:sSub>
          <m:sSubPr/>
          <m:e>
            <m:r>
              <m:rPr>
                <m:sty m:val="bi"/>
              </m:rPr>
              <m:t>G</m:t>
            </m:r>
          </m:e>
          <m:sub>
            <m:r>
              <m:rPr/>
              <m:t>uu</m:t>
            </m:r>
          </m:sub>
        </m:sSub>
        <m:r>
          <m:rPr>
            <m:sty m:val="p"/>
          </m:rPr>
          <m:t>(</m:t>
        </m:r>
        <m:r>
          <m:rPr/>
          <m:t>ω</m:t>
        </m:r>
        <m:r>
          <m:rPr>
            <m:sty m:val="p"/>
          </m:rPr>
          <m:t>,</m:t>
        </m:r>
        <m:r>
          <m:rPr/>
          <m:t>t</m:t>
        </m:r>
        <m:r>
          <m:rPr>
            <m:sty m:val="p"/>
          </m:rPr>
          <m:t>)</m:t>
        </m:r>
      </m:oMath>
      <w:r>
        <w:t xml:space="preserve"> </w:t>
      </w:r>
      <w:r>
        <w:rPr>
          <w:rFonts w:hint="eastAsia"/>
        </w:rPr>
        <w:t>的计算不能简单写成某一时刻的</w:t>
      </w:r>
      <w:r>
        <w:t xml:space="preserve"> </w:t>
      </w:r>
      <m:oMath>
        <m:r>
          <m:rPr>
            <m:sty m:val="bi"/>
          </m:rPr>
          <m:t>H</m:t>
        </m:r>
        <m:r>
          <m:rPr>
            <m:sty m:val="p"/>
          </m:rPr>
          <m:t>(</m:t>
        </m:r>
        <m:r>
          <m:rPr/>
          <m:t>ω</m:t>
        </m:r>
        <m:r>
          <m:rPr>
            <m:sty m:val="p"/>
          </m:rPr>
          <m:t>)</m:t>
        </m:r>
        <m:sSub>
          <m:sSubPr/>
          <m:e>
            <m:r>
              <m:rPr>
                <m:sty m:val="bi"/>
              </m:rPr>
              <m:t>G</m:t>
            </m:r>
          </m:e>
          <m:sub>
            <m:r>
              <m:rPr/>
              <m:t>FF</m:t>
            </m:r>
          </m:sub>
        </m:sSub>
        <m:r>
          <m:rPr>
            <m:sty m:val="p"/>
          </m:rPr>
          <m:t>(</m:t>
        </m:r>
        <m:r>
          <m:rPr/>
          <m:t>ω</m:t>
        </m:r>
        <m:r>
          <m:rPr>
            <m:sty m:val="p"/>
          </m:rPr>
          <m:t>,</m:t>
        </m:r>
        <m:r>
          <m:rPr/>
          <m:t>t</m:t>
        </m:r>
        <m:r>
          <m:rPr>
            <m:sty m:val="p"/>
          </m:rPr>
          <m:t>)</m:t>
        </m:r>
        <m:sSup>
          <m:sSupPr/>
          <m:e>
            <m:r>
              <m:rPr>
                <m:sty m:val="bi"/>
              </m:rPr>
              <m:t>H</m:t>
            </m:r>
          </m:e>
          <m:sup>
            <m:r>
              <m:rPr>
                <m:sty m:val="p"/>
                <m:scr m:val="sans-serif"/>
              </m:rPr>
              <m:t>H</m:t>
            </m:r>
          </m:sup>
        </m:sSup>
        <m:r>
          <m:rPr>
            <m:sty m:val="p"/>
          </m:rPr>
          <m:t>(</m:t>
        </m:r>
        <m:r>
          <m:rPr/>
          <m:t>ω</m:t>
        </m:r>
        <m:r>
          <m:rPr>
            <m:sty m:val="p"/>
          </m:rPr>
          <m:t>)</m:t>
        </m:r>
      </m:oMath>
      <w:r>
        <w:rPr>
          <w:rFonts w:hint="eastAsia"/>
        </w:rPr>
        <w:t>，因为线性系统的瞬态响应包含此前激励历史。时域虚拟激励法正是通过逐步积分保留这种历史效应。</w:t>
      </w:r>
    </w:p>
    <w:p w14:paraId="38839564">
      <w:pPr>
        <w:pStyle w:val="11"/>
      </w:pPr>
      <w:r>
        <w:rPr>
          <w:rFonts w:hint="eastAsia"/>
        </w:rPr>
        <w:t>采用“演变功率谱沿双边角频率积分直接得到时变方差”的谱归一化约定，则</w:t>
      </w:r>
    </w:p>
    <w:p w14:paraId="11C07E05">
      <w:pPr>
        <w:pStyle w:val="11"/>
        <w:spacing w:before="120" w:after="120" w:line="240" w:lineRule="auto"/>
        <w:ind w:firstLine="0" w:firstLineChars="0"/>
      </w:pPr>
      <m:oMathPara>
        <m:oMathParaPr>
          <m:jc m:val="center"/>
        </m:oMathParaPr>
        <m:oMath>
          <m:eqArr>
            <m:eqArrPr/>
            <m:e>
              <m:sSubSup>
                <m:sSubSupPr/>
                <m:e>
                  <m:r>
                    <m:rPr/>
                    <m:t>σ</m:t>
                  </m:r>
                </m:e>
                <m:sub>
                  <m:r>
                    <m:rPr/>
                    <m:t>u</m:t>
                  </m:r>
                </m:sub>
                <m:sup>
                  <m:r>
                    <m:rPr/>
                    <m:t>2</m:t>
                  </m:r>
                </m:sup>
              </m:sSubSup>
              <m:r>
                <m:rPr>
                  <m:sty m:val="p"/>
                </m:rPr>
                <m:t>(</m:t>
              </m:r>
              <m:r>
                <m:rPr/>
                <m:t>t</m:t>
              </m:r>
              <m:r>
                <m:rPr>
                  <m:sty m:val="p"/>
                </m:rPr>
                <m:t>)</m:t>
              </m:r>
              <m:r>
                <m:rPr/>
                <m:t>&amp;</m:t>
              </m:r>
              <m:r>
                <m:rPr>
                  <m:sty m:val="p"/>
                </m:rPr>
                <m:t>=</m:t>
              </m:r>
              <m:nary>
                <m:naryPr>
                  <m:limLoc m:val="subSup"/>
                </m:naryPr>
                <m:sub>
                  <m:r>
                    <m:rPr>
                      <m:sty m:val="p"/>
                    </m:rPr>
                    <m:t>−∞</m:t>
                  </m:r>
                </m:sub>
                <m:sup>
                  <m:r>
                    <m:rPr>
                      <m:sty m:val="p"/>
                    </m:rPr>
                    <m:t>+∞</m:t>
                  </m:r>
                </m:sup>
                <m:e>
                  <m:sSub>
                    <m:sSubPr/>
                    <m:e>
                      <m:r>
                        <m:rPr/>
                        <m:t>G</m:t>
                      </m:r>
                    </m:e>
                    <m:sub>
                      <m:r>
                        <m:rPr/>
                        <m:t>uu</m:t>
                      </m:r>
                    </m:sub>
                  </m:sSub>
                </m:e>
              </m:nary>
              <m:r>
                <m:rPr>
                  <m:sty m:val="p"/>
                </m:rPr>
                <m:t>(</m:t>
              </m:r>
              <m:r>
                <m:rPr/>
                <m:t>ω</m:t>
              </m:r>
              <m:r>
                <m:rPr>
                  <m:sty m:val="p"/>
                </m:rPr>
                <m:t>,</m:t>
              </m:r>
              <m:r>
                <m:rPr/>
                <m:t>t</m:t>
              </m:r>
              <m:r>
                <m:rPr>
                  <m:sty m:val="p"/>
                </m:rPr>
                <m:t>)</m:t>
              </m:r>
              <m:r>
                <m:rPr/>
                <m:t> </m:t>
              </m:r>
              <m:r>
                <m:rPr>
                  <m:sty m:val="p"/>
                </m:rPr>
                <m:t>d</m:t>
              </m:r>
              <m:r>
                <m:rPr/>
                <m:t>ω</m:t>
              </m:r>
              <m:r>
                <m:rPr>
                  <m:sty m:val="p"/>
                </m:rPr>
                <m:t>,</m:t>
              </m:r>
            </m:e>
            <m:e>
              <m:sSub>
                <m:sSubPr/>
                <m:e>
                  <m:r>
                    <m:rPr/>
                    <m:t>σ</m:t>
                  </m:r>
                </m:e>
                <m:sub>
                  <m:r>
                    <m:rPr/>
                    <m:t>u</m:t>
                  </m:r>
                </m:sub>
              </m:sSub>
              <m:r>
                <m:rPr>
                  <m:sty m:val="p"/>
                </m:rPr>
                <m:t>(</m:t>
              </m:r>
              <m:r>
                <m:rPr/>
                <m:t>t</m:t>
              </m:r>
              <m:r>
                <m:rPr>
                  <m:sty m:val="p"/>
                </m:rPr>
                <m:t>)</m:t>
              </m:r>
              <m:r>
                <m:rPr/>
                <m:t>&amp;</m:t>
              </m:r>
              <m:r>
                <m:rPr>
                  <m:sty m:val="p"/>
                </m:rPr>
                <m:t>=</m:t>
              </m:r>
              <m:rad>
                <m:radPr>
                  <m:degHide m:val="1"/>
                </m:radPr>
                <m:deg/>
                <m:e>
                  <m:sSubSup>
                    <m:sSubSupPr/>
                    <m:e>
                      <m:r>
                        <m:rPr/>
                        <m:t>σ</m:t>
                      </m:r>
                    </m:e>
                    <m:sub>
                      <m:r>
                        <m:rPr/>
                        <m:t>u</m:t>
                      </m:r>
                    </m:sub>
                    <m:sup>
                      <m:r>
                        <m:rPr/>
                        <m:t>2</m:t>
                      </m:r>
                    </m:sup>
                  </m:sSubSup>
                  <m:r>
                    <m:rPr>
                      <m:sty m:val="p"/>
                    </m:rPr>
                    <m:t>(</m:t>
                  </m:r>
                  <m:r>
                    <m:rPr/>
                    <m:t>t</m:t>
                  </m:r>
                  <m:r>
                    <m:rPr>
                      <m:sty m:val="p"/>
                    </m:rPr>
                    <m:t>)</m:t>
                  </m:r>
                </m:e>
              </m:rad>
              <m:r>
                <m:rPr>
                  <m:sty m:val="p"/>
                </m:rPr>
                <m:t>,</m:t>
              </m:r>
            </m:e>
            <m:e>
              <m:sSub>
                <m:sSubPr/>
                <m:e>
                  <m:r>
                    <m:rPr/>
                    <m:t>u</m:t>
                  </m:r>
                </m:e>
                <m:sub>
                  <m:r>
                    <m:rPr>
                      <m:sty m:val="p"/>
                    </m:rPr>
                    <m:t>rms</m:t>
                  </m:r>
                </m:sub>
              </m:sSub>
              <m:r>
                <m:rPr>
                  <m:sty m:val="p"/>
                </m:rPr>
                <m:t>(</m:t>
              </m:r>
              <m:r>
                <m:rPr/>
                <m:t>t</m:t>
              </m:r>
              <m:r>
                <m:rPr>
                  <m:sty m:val="p"/>
                </m:rPr>
                <m:t>)</m:t>
              </m:r>
              <m:r>
                <m:rPr/>
                <m:t>&amp;</m:t>
              </m:r>
              <m:r>
                <m:rPr>
                  <m:sty m:val="p"/>
                </m:rPr>
                <m:t>=</m:t>
              </m:r>
              <m:rad>
                <m:radPr>
                  <m:degHide m:val="1"/>
                </m:radPr>
                <m:deg/>
                <m:e>
                  <m:sSubSup>
                    <m:sSubSupPr/>
                    <m:e>
                      <m:r>
                        <m:rPr/>
                        <m:t>μ</m:t>
                      </m:r>
                    </m:e>
                    <m:sub>
                      <m:r>
                        <m:rPr/>
                        <m:t>u</m:t>
                      </m:r>
                    </m:sub>
                    <m:sup>
                      <m:r>
                        <m:rPr/>
                        <m:t>2</m:t>
                      </m:r>
                    </m:sup>
                  </m:sSubSup>
                  <m:r>
                    <m:rPr>
                      <m:sty m:val="p"/>
                    </m:rPr>
                    <m:t>(</m:t>
                  </m:r>
                  <m:r>
                    <m:rPr/>
                    <m:t>t</m:t>
                  </m:r>
                  <m:r>
                    <m:rPr>
                      <m:sty m:val="p"/>
                    </m:rPr>
                    <m:t>)+</m:t>
                  </m:r>
                  <m:sSubSup>
                    <m:sSubSupPr/>
                    <m:e>
                      <m:r>
                        <m:rPr/>
                        <m:t>σ</m:t>
                      </m:r>
                    </m:e>
                    <m:sub>
                      <m:r>
                        <m:rPr/>
                        <m:t>u</m:t>
                      </m:r>
                    </m:sub>
                    <m:sup>
                      <m:r>
                        <m:rPr/>
                        <m:t>2</m:t>
                      </m:r>
                    </m:sup>
                  </m:sSubSup>
                  <m:r>
                    <m:rPr>
                      <m:sty m:val="p"/>
                    </m:rPr>
                    <m:t>(</m:t>
                  </m:r>
                  <m:r>
                    <m:rPr/>
                    <m:t>t</m:t>
                  </m:r>
                  <m:r>
                    <m:rPr>
                      <m:sty m:val="p"/>
                    </m:rPr>
                    <m:t>)</m:t>
                  </m:r>
                </m:e>
              </m:rad>
              <m:r>
                <m:rPr>
                  <m:sty m:val="p"/>
                </m:rPr>
                <m:t>.</m:t>
              </m:r>
            </m:e>
          </m:eqArr>
        </m:oMath>
      </m:oMathPara>
    </w:p>
    <w:p w14:paraId="621DAEAA">
      <w:pPr>
        <w:pStyle w:val="70"/>
      </w:pPr>
      <w:r>
        <w:rPr>
          <w:rFonts w:hint="eastAsia"/>
        </w:rPr>
        <w:t>零均值时有</w:t>
      </w:r>
      <w:r>
        <w:t xml:space="preserve"> </w:t>
      </w:r>
      <m:oMath>
        <m:sSub>
          <m:sSubPr/>
          <m:e>
            <m:r>
              <m:rPr/>
              <m:t>u</m:t>
            </m:r>
          </m:e>
          <m:sub>
            <m:r>
              <m:rPr>
                <m:sty m:val="p"/>
              </m:rPr>
              <m:t>rms</m:t>
            </m:r>
          </m:sub>
        </m:sSub>
        <m:r>
          <m:rPr>
            <m:sty m:val="p"/>
          </m:rPr>
          <m:t>(</m:t>
        </m:r>
        <m:r>
          <m:rPr/>
          <m:t>t</m:t>
        </m:r>
        <m:r>
          <m:rPr>
            <m:sty m:val="p"/>
          </m:rPr>
          <m:t>)=</m:t>
        </m:r>
        <m:sSub>
          <m:sSubPr/>
          <m:e>
            <m:r>
              <m:rPr/>
              <m:t>σ</m:t>
            </m:r>
          </m:e>
          <m:sub>
            <m:r>
              <m:rPr/>
              <m:t>u</m:t>
            </m:r>
          </m:sub>
        </m:sSub>
        <m:r>
          <m:rPr>
            <m:sty m:val="p"/>
          </m:rPr>
          <m:t>(</m:t>
        </m:r>
        <m:r>
          <m:rPr/>
          <m:t>t</m:t>
        </m:r>
        <m:r>
          <m:rPr>
            <m:sty m:val="p"/>
          </m:rPr>
          <m:t>)</m:t>
        </m:r>
      </m:oMath>
      <w:r>
        <w:rPr>
          <w:rFonts w:hint="eastAsia"/>
        </w:rPr>
        <w:t>。若采用单边谱或其他傅里叶变换约定，则同步调整积分区间和归一化系数。提供算例测试报告，测试中采用平稳极限解和蒙特卡洛参考结果进行交叉校核。</w:t>
      </w:r>
    </w:p>
    <w:p w14:paraId="581A3F0F">
      <w:pPr>
        <w:pStyle w:val="11"/>
      </w:pPr>
      <w:r>
        <w:rPr>
          <w:rFonts w:hint="eastAsia"/>
        </w:rPr>
        <w:t>实现流程包括：输入演变谱或基准谱与调制函数；检查时间步长、频率步长和调制函数连续性；对基准谱进行逐频点谱分解；构造时变虚拟激励并调用时域积分服务；对每个时间点重构响应演变谱并积分得到</w:t>
      </w:r>
      <w:r>
        <w:t xml:space="preserve"> </w:t>
      </w:r>
      <m:oMath>
        <m:sSub>
          <m:sSubPr/>
          <m:e>
            <m:r>
              <m:rPr/>
              <m:t>σ</m:t>
            </m:r>
          </m:e>
          <m:sub>
            <m:r>
              <m:rPr/>
              <m:t>u</m:t>
            </m:r>
          </m:sub>
        </m:sSub>
        <m:r>
          <m:rPr>
            <m:sty m:val="p"/>
          </m:rPr>
          <m:t>(</m:t>
        </m:r>
        <m:r>
          <m:rPr/>
          <m:t>t</m:t>
        </m:r>
        <m:r>
          <m:rPr>
            <m:sty m:val="p"/>
          </m:rPr>
          <m:t>)</m:t>
        </m:r>
      </m:oMath>
      <w:r>
        <w:rPr>
          <w:rFonts w:hint="eastAsia"/>
        </w:rPr>
        <w:t>。算例报告给出调制函数、时变</w:t>
      </w:r>
      <w:r>
        <w:t xml:space="preserve"> RMS </w:t>
      </w:r>
      <w:r>
        <w:rPr>
          <w:rFonts w:hint="eastAsia"/>
        </w:rPr>
        <w:t>曲线、峰值时刻、平稳长时极限对比和蒙特卡洛样本统计误差。对于多输入非平稳激励，模块保留输入通道间相关性；对于仅给出标量包络的均匀调制模型，明确其适用范围，不将其扩展为所有非平稳随机过程的通用表达。</w:t>
      </w:r>
    </w:p>
    <w:p w14:paraId="27000F81">
      <w:pPr>
        <w:pStyle w:val="11"/>
      </w:pPr>
      <w:r>
        <w:rPr>
          <w:b/>
          <w:bCs/>
        </w:rPr>
        <w:t xml:space="preserve">▲15 </w:t>
      </w:r>
      <w:r>
        <w:rPr>
          <w:rFonts w:hint="eastAsia"/>
          <w:b/>
          <w:bCs/>
        </w:rPr>
        <w:t>非平稳随机振动分析支持响应概率密度函数的计算。</w:t>
      </w:r>
      <w:r>
        <w:rPr>
          <w:rFonts w:hint="eastAsia"/>
        </w:rPr>
        <w:t>（提供算例测试报告）完全响应。对于高斯激励且初始条件为确定性或高斯的线性系统，响应在每个固定时刻仍为高斯分布，其边缘概率密度由</w:t>
      </w:r>
      <w:r>
        <w:t xml:space="preserve"> </w:t>
      </w:r>
      <m:oMath>
        <m:sSub>
          <m:sSubPr/>
          <m:e>
            <m:r>
              <m:rPr/>
              <m:t>μ</m:t>
            </m:r>
          </m:e>
          <m:sub>
            <m:r>
              <m:rPr/>
              <m:t>u</m:t>
            </m:r>
          </m:sub>
        </m:sSub>
        <m:r>
          <m:rPr>
            <m:sty m:val="p"/>
          </m:rPr>
          <m:t>(</m:t>
        </m:r>
        <m:r>
          <m:rPr/>
          <m:t>t</m:t>
        </m:r>
        <m:r>
          <m:rPr>
            <m:sty m:val="p"/>
          </m:rPr>
          <m:t>)</m:t>
        </m:r>
      </m:oMath>
      <w:r>
        <w:t>、</w:t>
      </w:r>
      <m:oMath>
        <m:sSub>
          <m:sSubPr/>
          <m:e>
            <m:r>
              <m:rPr/>
              <m:t>σ</m:t>
            </m:r>
          </m:e>
          <m:sub>
            <m:r>
              <m:rPr/>
              <m:t>u</m:t>
            </m:r>
          </m:sub>
        </m:sSub>
        <m:r>
          <m:rPr>
            <m:sty m:val="p"/>
          </m:rPr>
          <m:t>(</m:t>
        </m:r>
        <m:r>
          <m:rPr/>
          <m:t>t</m:t>
        </m:r>
        <m:r>
          <m:rPr>
            <m:sty m:val="p"/>
          </m:rPr>
          <m:t>)</m:t>
        </m:r>
      </m:oMath>
      <w:r>
        <w:t xml:space="preserve"> </w:t>
      </w:r>
      <w:r>
        <w:rPr>
          <w:rFonts w:hint="eastAsia"/>
        </w:rPr>
        <w:t>直接派生（零均值时</w:t>
      </w:r>
      <w:r>
        <w:t xml:space="preserve"> </w:t>
      </w:r>
      <m:oMath>
        <m:sSub>
          <m:sSubPr/>
          <m:e>
            <m:r>
              <m:rPr/>
              <m:t>μ</m:t>
            </m:r>
          </m:e>
          <m:sub>
            <m:r>
              <m:rPr/>
              <m:t>u</m:t>
            </m:r>
          </m:sub>
        </m:sSub>
        <m:r>
          <m:rPr>
            <m:sty m:val="p"/>
          </m:rPr>
          <m:t>=</m:t>
        </m:r>
        <m:r>
          <m:rPr/>
          <m:t>0</m:t>
        </m:r>
      </m:oMath>
      <w:r>
        <w:rPr>
          <w:rFonts w:hint="eastAsia"/>
        </w:rPr>
        <w:t>）：</w:t>
      </w:r>
    </w:p>
    <w:p w14:paraId="4D9FF888">
      <w:pPr>
        <w:pStyle w:val="11"/>
        <w:spacing w:before="120" w:after="120" w:line="240" w:lineRule="auto"/>
        <w:ind w:firstLine="0" w:firstLineChars="0"/>
      </w:pPr>
      <m:oMathPara>
        <m:oMathParaPr>
          <m:jc m:val="center"/>
        </m:oMathParaPr>
        <m:oMath>
          <m:sSub>
            <m:sSubPr/>
            <m:e>
              <m:r>
                <m:rPr/>
                <m:t>p</m:t>
              </m:r>
            </m:e>
            <m:sub>
              <m:r>
                <m:rPr/>
                <m:t>u</m:t>
              </m:r>
            </m:sub>
          </m:sSub>
          <m:r>
            <m:rPr>
              <m:sty m:val="p"/>
            </m:rPr>
            <m:t>(</m:t>
          </m:r>
          <m:r>
            <m:rPr/>
            <m:t>x</m:t>
          </m:r>
          <m:r>
            <m:rPr>
              <m:sty m:val="p"/>
            </m:rPr>
            <m:t>,</m:t>
          </m:r>
          <m:r>
            <m:rPr/>
            <m:t>t</m:t>
          </m:r>
          <m:r>
            <m:rPr>
              <m:sty m:val="p"/>
            </m:rPr>
            <m:t>)=</m:t>
          </m:r>
          <m:f>
            <m:fPr/>
            <m:num>
              <m:r>
                <m:rPr/>
                <m:t>1</m:t>
              </m:r>
            </m:num>
            <m:den>
              <m:rad>
                <m:radPr>
                  <m:degHide m:val="1"/>
                </m:radPr>
                <m:deg/>
                <m:e>
                  <m:r>
                    <m:rPr/>
                    <m:t>2π</m:t>
                  </m:r>
                </m:e>
              </m:rad>
              <m:r>
                <m:rPr/>
                <m:t> </m:t>
              </m:r>
              <m:sSub>
                <m:sSubPr/>
                <m:e>
                  <m:r>
                    <m:rPr/>
                    <m:t>σ</m:t>
                  </m:r>
                </m:e>
                <m:sub>
                  <m:r>
                    <m:rPr/>
                    <m:t>u</m:t>
                  </m:r>
                </m:sub>
              </m:sSub>
              <m:r>
                <m:rPr>
                  <m:sty m:val="p"/>
                </m:rPr>
                <m:t>(</m:t>
              </m:r>
              <m:r>
                <m:rPr/>
                <m:t>t</m:t>
              </m:r>
              <m:r>
                <m:rPr>
                  <m:sty m:val="p"/>
                </m:rPr>
                <m:t>)</m:t>
              </m:r>
            </m:den>
          </m:f>
          <m:r>
            <m:rPr>
              <m:sty m:val="p"/>
            </m:rPr>
            <m:t>exp</m:t>
          </m:r>
          <m:r>
            <m:rPr/>
            <m:t>​</m:t>
          </m:r>
          <m:d>
            <m:dPr>
              <m:begChr m:val="["/>
              <m:sepChr m:val=""/>
              <m:endChr m:val="]"/>
            </m:dPr>
            <m:e>
              <m:r>
                <m:rPr>
                  <m:sty m:val="p"/>
                </m:rPr>
                <m:t>−</m:t>
              </m:r>
              <m:f>
                <m:fPr/>
                <m:num>
                  <m:r>
                    <m:rPr>
                      <m:sty m:val="p"/>
                    </m:rPr>
                    <m:t>(</m:t>
                  </m:r>
                  <m:r>
                    <m:rPr/>
                    <m:t>x</m:t>
                  </m:r>
                  <m:r>
                    <m:rPr>
                      <m:sty m:val="p"/>
                    </m:rPr>
                    <m:t>−</m:t>
                  </m:r>
                  <m:sSub>
                    <m:sSubPr/>
                    <m:e>
                      <m:r>
                        <m:rPr/>
                        <m:t>μ</m:t>
                      </m:r>
                    </m:e>
                    <m:sub>
                      <m:r>
                        <m:rPr/>
                        <m:t>u</m:t>
                      </m:r>
                    </m:sub>
                  </m:sSub>
                  <m:r>
                    <m:rPr>
                      <m:sty m:val="p"/>
                    </m:rPr>
                    <m:t>(</m:t>
                  </m:r>
                  <m:r>
                    <m:rPr/>
                    <m:t>t</m:t>
                  </m:r>
                  <m:r>
                    <m:rPr>
                      <m:sty m:val="p"/>
                    </m:rPr>
                    <m:t>)</m:t>
                  </m:r>
                  <m:sSup>
                    <m:sSupPr/>
                    <m:e>
                      <m:r>
                        <m:rPr>
                          <m:sty m:val="p"/>
                        </m:rPr>
                        <m:t>)</m:t>
                      </m:r>
                    </m:e>
                    <m:sup>
                      <m:r>
                        <m:rPr/>
                        <m:t>2</m:t>
                      </m:r>
                    </m:sup>
                  </m:sSup>
                </m:num>
                <m:den>
                  <m:r>
                    <m:rPr/>
                    <m:t>2</m:t>
                  </m:r>
                  <m:sSubSup>
                    <m:sSubSupPr/>
                    <m:e>
                      <m:r>
                        <m:rPr/>
                        <m:t>σ</m:t>
                      </m:r>
                    </m:e>
                    <m:sub>
                      <m:r>
                        <m:rPr/>
                        <m:t>u</m:t>
                      </m:r>
                    </m:sub>
                    <m:sup>
                      <m:r>
                        <m:rPr/>
                        <m:t>2</m:t>
                      </m:r>
                    </m:sup>
                  </m:sSubSup>
                  <m:r>
                    <m:rPr>
                      <m:sty m:val="p"/>
                    </m:rPr>
                    <m:t>(</m:t>
                  </m:r>
                  <m:r>
                    <m:rPr/>
                    <m:t>t</m:t>
                  </m:r>
                  <m:r>
                    <m:rPr>
                      <m:sty m:val="p"/>
                    </m:rPr>
                    <m:t>)</m:t>
                  </m:r>
                </m:den>
              </m:f>
            </m:e>
          </m:d>
        </m:oMath>
      </m:oMathPara>
    </w:p>
    <w:p w14:paraId="0F43635A">
      <w:pPr>
        <w:pStyle w:val="70"/>
      </w:pPr>
      <w:r>
        <w:rPr>
          <w:rFonts w:hint="eastAsia"/>
        </w:rPr>
        <w:t>此为高斯闭式后处理，无需另解动力学方程。对于线性系统下的非高斯激励，在已给定输入概率模型、样本数据或样本生成规则的条件下，可通过激励样本系综生成、批量线性时域求解和核密度估计计算</w:t>
      </w:r>
      <w:r>
        <w:t xml:space="preserve"> </w:t>
      </w:r>
      <m:oMath>
        <m:sSub>
          <m:sSubPr/>
          <m:e>
            <m:r>
              <m:rPr/>
              <m:t>p</m:t>
            </m:r>
          </m:e>
          <m:sub>
            <m:r>
              <m:rPr/>
              <m:t>u</m:t>
            </m:r>
          </m:sub>
        </m:sSub>
        <m:r>
          <m:rPr>
            <m:sty m:val="p"/>
          </m:rPr>
          <m:t>(</m:t>
        </m:r>
        <m:r>
          <m:rPr/>
          <m:t>x</m:t>
        </m:r>
        <m:r>
          <m:rPr>
            <m:sty m:val="p"/>
          </m:rPr>
          <m:t>,</m:t>
        </m:r>
        <m:r>
          <m:rPr/>
          <m:t>t</m:t>
        </m:r>
        <m:r>
          <m:rPr>
            <m:sty m:val="p"/>
          </m:rPr>
          <m:t>)</m:t>
        </m:r>
      </m:oMath>
      <w:r>
        <w:rPr>
          <w:rFonts w:hint="eastAsia"/>
        </w:rPr>
        <w:t>；仅有功率谱不足以唯一确定非高斯过程的概率分布。需注意：固定时刻的边缘密度不等于整个时段最大值的分布，峰值/越界概率另需极值理论。提供算例测试报告。</w:t>
      </w:r>
    </w:p>
    <w:p w14:paraId="1B169B8E">
      <w:pPr>
        <w:pStyle w:val="11"/>
      </w:pPr>
      <w:r>
        <w:rPr>
          <w:rFonts w:hint="eastAsia"/>
        </w:rPr>
        <w:t>输出形式上，模块支持指定节点、单元或响应分量在若干关键时刻的概率密度曲线，也支持输出固定响应阈值下的单时刻概率值。高斯闭式路径以</w:t>
      </w:r>
      <w:r>
        <w:t xml:space="preserve"> </w:t>
      </w:r>
      <m:oMath>
        <m:sSub>
          <m:sSubPr/>
          <m:e>
            <m:r>
              <m:rPr/>
              <m:t>μ</m:t>
            </m:r>
          </m:e>
          <m:sub>
            <m:r>
              <m:rPr/>
              <m:t>u</m:t>
            </m:r>
          </m:sub>
        </m:sSub>
        <m:r>
          <m:rPr>
            <m:sty m:val="p"/>
          </m:rPr>
          <m:t>(</m:t>
        </m:r>
        <m:r>
          <m:rPr/>
          <m:t>t</m:t>
        </m:r>
        <m:r>
          <m:rPr>
            <m:sty m:val="p"/>
          </m:rPr>
          <m:t>)</m:t>
        </m:r>
      </m:oMath>
      <w:r>
        <w:t xml:space="preserve"> </w:t>
      </w:r>
      <w:r>
        <w:rPr>
          <w:rFonts w:hint="eastAsia"/>
        </w:rPr>
        <w:t>和</w:t>
      </w:r>
      <w:r>
        <w:t xml:space="preserve"> </w:t>
      </w:r>
      <m:oMath>
        <m:sSub>
          <m:sSubPr/>
          <m:e>
            <m:r>
              <m:rPr/>
              <m:t>σ</m:t>
            </m:r>
          </m:e>
          <m:sub>
            <m:r>
              <m:rPr/>
              <m:t>u</m:t>
            </m:r>
          </m:sub>
        </m:sSub>
        <m:r>
          <m:rPr>
            <m:sty m:val="p"/>
          </m:rPr>
          <m:t>(</m:t>
        </m:r>
        <m:r>
          <m:rPr/>
          <m:t>t</m:t>
        </m:r>
        <m:r>
          <m:rPr>
            <m:sty m:val="p"/>
          </m:rPr>
          <m:t>)</m:t>
        </m:r>
      </m:oMath>
      <w:r>
        <w:t xml:space="preserve"> </w:t>
      </w:r>
      <w:r>
        <w:rPr>
          <w:rFonts w:hint="eastAsia"/>
        </w:rPr>
        <w:t>为输入，重点验证概率密度归一性、均值和方差回代一致性；样本统计路径则记录样本数、核函数、带宽、随机种子和收敛性。算例报告中明确区分边缘概率密度、峰值分布和越界概率，避免把固定时刻</w:t>
      </w:r>
      <w:r>
        <w:t xml:space="preserve"> PDF </w:t>
      </w:r>
      <w:r>
        <w:rPr>
          <w:rFonts w:hint="eastAsia"/>
        </w:rPr>
        <w:t>误写为全过程最大响应概率。</w:t>
      </w:r>
    </w:p>
    <w:bookmarkEnd w:id="20"/>
    <w:p w14:paraId="78E2BEFE">
      <w:pPr>
        <w:pStyle w:val="5"/>
      </w:pPr>
      <w:bookmarkStart w:id="21" w:name="四响应谱分析算法1620完全响应"/>
      <w:r>
        <w:rPr>
          <w:rFonts w:hint="eastAsia"/>
        </w:rPr>
        <w:t>（四）响应谱分析算法（▲16–▲20，完全响应）</w:t>
      </w:r>
    </w:p>
    <w:p w14:paraId="0E561034">
      <w:pPr>
        <w:pStyle w:val="70"/>
      </w:pPr>
      <w:r>
        <w:rPr>
          <w:rFonts w:hint="eastAsia"/>
        </w:rPr>
        <w:t>先由模态</w:t>
      </w:r>
      <w:r>
        <w:t xml:space="preserve"> </w:t>
      </w:r>
      <m:oMath>
        <m:r>
          <m:rPr>
            <m:sty m:val="p"/>
          </m:rPr>
          <m:t>(</m:t>
        </m:r>
        <m:sSub>
          <m:sSubPr/>
          <m:e>
            <m:r>
              <m:rPr/>
              <m:t>ω</m:t>
            </m:r>
          </m:e>
          <m:sub>
            <m:r>
              <m:rPr/>
              <m:t>i</m:t>
            </m:r>
          </m:sub>
        </m:sSub>
        <m:r>
          <m:rPr>
            <m:sty m:val="p"/>
          </m:rPr>
          <m:t>,</m:t>
        </m:r>
        <m:sSub>
          <m:sSubPr/>
          <m:e>
            <m:r>
              <m:rPr>
                <m:sty m:val="bi"/>
              </m:rPr>
              <m:t>ϕ</m:t>
            </m:r>
          </m:e>
          <m:sub>
            <m:r>
              <m:rPr/>
              <m:t>i</m:t>
            </m:r>
          </m:sub>
        </m:sSub>
        <m:r>
          <m:rPr>
            <m:sty m:val="p"/>
          </m:rPr>
          <m:t>)</m:t>
        </m:r>
      </m:oMath>
      <w:r>
        <w:rPr>
          <w:rFonts w:hint="eastAsia"/>
        </w:rPr>
        <w:t>、阻尼比</w:t>
      </w:r>
      <w:r>
        <w:t xml:space="preserve"> </w:t>
      </w:r>
      <m:oMath>
        <m:sSub>
          <m:sSubPr/>
          <m:e>
            <m:r>
              <m:rPr/>
              <m:t>ξ</m:t>
            </m:r>
          </m:e>
          <m:sub>
            <m:r>
              <m:rPr/>
              <m:t>i</m:t>
            </m:r>
          </m:sub>
        </m:sSub>
      </m:oMath>
      <w:r>
        <w:rPr>
          <w:rFonts w:hint="eastAsia"/>
        </w:rPr>
        <w:t>、质量阵</w:t>
      </w:r>
      <w:r>
        <w:t xml:space="preserve"> </w:t>
      </w:r>
      <m:oMath>
        <m:r>
          <m:rPr>
            <m:sty m:val="bi"/>
          </m:rPr>
          <m:t>M</m:t>
        </m:r>
      </m:oMath>
      <w:r>
        <w:t xml:space="preserve"> </w:t>
      </w:r>
      <w:r>
        <w:rPr>
          <w:rFonts w:hint="eastAsia"/>
        </w:rPr>
        <w:t>与地震输入方向向量</w:t>
      </w:r>
      <w:r>
        <w:t xml:space="preserve"> </w:t>
      </w:r>
      <m:oMath>
        <m:r>
          <m:rPr>
            <m:sty m:val="bi"/>
          </m:rPr>
          <m:t>r</m:t>
        </m:r>
      </m:oMath>
      <w:r>
        <w:t xml:space="preserve"> </w:t>
      </w:r>
      <w:r>
        <w:rPr>
          <w:rFonts w:hint="eastAsia"/>
        </w:rPr>
        <w:t>计算模态参与系数</w:t>
      </w:r>
    </w:p>
    <w:p w14:paraId="20D7D661">
      <w:pPr>
        <w:pStyle w:val="11"/>
        <w:spacing w:before="120" w:after="120" w:line="240" w:lineRule="auto"/>
        <w:ind w:firstLine="0" w:firstLineChars="0"/>
      </w:pPr>
      <m:oMathPara>
        <m:oMathParaPr>
          <m:jc m:val="center"/>
        </m:oMathParaPr>
        <m:oMath>
          <m:sSub>
            <m:sSubPr/>
            <m:e>
              <m:r>
                <m:rPr>
                  <m:sty m:val="p"/>
                </m:rPr>
                <m:t>Γ</m:t>
              </m:r>
            </m:e>
            <m:sub>
              <m:r>
                <m:rPr/>
                <m:t>i</m:t>
              </m:r>
            </m:sub>
          </m:sSub>
          <m:r>
            <m:rPr>
              <m:sty m:val="p"/>
            </m:rPr>
            <m:t>=</m:t>
          </m:r>
          <m:f>
            <m:fPr/>
            <m:num>
              <m:sSubSup>
                <m:sSubSupPr/>
                <m:e>
                  <m:r>
                    <m:rPr>
                      <m:sty m:val="bi"/>
                    </m:rPr>
                    <m:t>ϕ</m:t>
                  </m:r>
                </m:e>
                <m:sub>
                  <m:r>
                    <m:rPr/>
                    <m:t>i</m:t>
                  </m:r>
                </m:sub>
                <m:sup>
                  <m:r>
                    <m:rPr>
                      <m:sty m:val="p"/>
                      <m:scr m:val="sans-serif"/>
                    </m:rPr>
                    <m:t>T</m:t>
                  </m:r>
                </m:sup>
              </m:sSubSup>
              <m:r>
                <m:rPr>
                  <m:sty m:val="bi"/>
                </m:rPr>
                <m:t>Mr</m:t>
              </m:r>
            </m:num>
            <m:den>
              <m:sSubSup>
                <m:sSubSupPr/>
                <m:e>
                  <m:r>
                    <m:rPr>
                      <m:sty m:val="bi"/>
                    </m:rPr>
                    <m:t>ϕ</m:t>
                  </m:r>
                </m:e>
                <m:sub>
                  <m:r>
                    <m:rPr/>
                    <m:t>i</m:t>
                  </m:r>
                </m:sub>
                <m:sup>
                  <m:r>
                    <m:rPr>
                      <m:sty m:val="p"/>
                      <m:scr m:val="sans-serif"/>
                    </m:rPr>
                    <m:t>T</m:t>
                  </m:r>
                </m:sup>
              </m:sSubSup>
              <m:r>
                <m:rPr>
                  <m:sty m:val="bi"/>
                </m:rPr>
                <m:t>M</m:t>
              </m:r>
              <m:sSub>
                <m:sSubPr/>
                <m:e>
                  <m:r>
                    <m:rPr>
                      <m:sty m:val="bi"/>
                    </m:rPr>
                    <m:t>ϕ</m:t>
                  </m:r>
                </m:e>
                <m:sub>
                  <m:r>
                    <m:rPr/>
                    <m:t>i</m:t>
                  </m:r>
                </m:sub>
              </m:sSub>
            </m:den>
          </m:f>
        </m:oMath>
      </m:oMathPara>
    </w:p>
    <w:p w14:paraId="6B38ACCC">
      <w:pPr>
        <w:pStyle w:val="70"/>
      </w:pPr>
      <w:r>
        <w:rPr>
          <w:rFonts w:hint="eastAsia"/>
        </w:rPr>
        <w:t>此为通用归一化下的表达式；若振型按单位模态质量归一化，则分母</w:t>
      </w:r>
      <w:r>
        <w:t xml:space="preserve"> </w:t>
      </w:r>
      <m:oMath>
        <m:sSubSup>
          <m:sSubSupPr/>
          <m:e>
            <m:r>
              <m:rPr>
                <m:sty m:val="bi"/>
              </m:rPr>
              <m:t>ϕ</m:t>
            </m:r>
          </m:e>
          <m:sub>
            <m:r>
              <m:rPr/>
              <m:t>i</m:t>
            </m:r>
          </m:sub>
          <m:sup>
            <m:r>
              <m:rPr>
                <m:sty m:val="p"/>
                <m:scr m:val="sans-serif"/>
              </m:rPr>
              <m:t>T</m:t>
            </m:r>
          </m:sup>
        </m:sSubSup>
        <m:r>
          <m:rPr>
            <m:sty m:val="bi"/>
          </m:rPr>
          <m:t>M</m:t>
        </m:r>
        <m:sSub>
          <m:sSubPr/>
          <m:e>
            <m:r>
              <m:rPr>
                <m:sty m:val="bi"/>
              </m:rPr>
              <m:t>ϕ</m:t>
            </m:r>
          </m:e>
          <m:sub>
            <m:r>
              <m:rPr/>
              <m:t>i</m:t>
            </m:r>
          </m:sub>
        </m:sSub>
        <m:r>
          <m:rPr>
            <m:sty m:val="p"/>
          </m:rPr>
          <m:t>=</m:t>
        </m:r>
        <m:r>
          <m:rPr/>
          <m:t>1</m:t>
        </m:r>
      </m:oMath>
      <w:r>
        <w:rPr>
          <w:rFonts w:hint="eastAsia"/>
        </w:rPr>
        <w:t>，退化为</w:t>
      </w:r>
      <w:r>
        <w:t xml:space="preserve"> </w:t>
      </w:r>
      <m:oMath>
        <m:sSub>
          <m:sSubPr/>
          <m:e>
            <m:r>
              <m:rPr>
                <m:sty m:val="p"/>
              </m:rPr>
              <m:t>Γ</m:t>
            </m:r>
          </m:e>
          <m:sub>
            <m:r>
              <m:rPr/>
              <m:t>i</m:t>
            </m:r>
          </m:sub>
        </m:sSub>
        <m:r>
          <m:rPr>
            <m:sty m:val="p"/>
          </m:rPr>
          <m:t>=</m:t>
        </m:r>
        <m:sSubSup>
          <m:sSubSupPr/>
          <m:e>
            <m:r>
              <m:rPr>
                <m:sty m:val="bi"/>
              </m:rPr>
              <m:t>ϕ</m:t>
            </m:r>
          </m:e>
          <m:sub>
            <m:r>
              <m:rPr/>
              <m:t>i</m:t>
            </m:r>
          </m:sub>
          <m:sup>
            <m:r>
              <m:rPr>
                <m:sty m:val="p"/>
                <m:scr m:val="sans-serif"/>
              </m:rPr>
              <m:t>T</m:t>
            </m:r>
          </m:sup>
        </m:sSubSup>
        <m:r>
          <m:rPr>
            <m:sty m:val="bi"/>
          </m:rPr>
          <m:t>Mr</m:t>
        </m:r>
      </m:oMath>
      <w:r>
        <w:rPr>
          <w:rFonts w:hint="eastAsia"/>
        </w:rPr>
        <w:t>，与</w:t>
      </w:r>
      <w:r>
        <w:t xml:space="preserve"> ▲10 </w:t>
      </w:r>
      <w:r>
        <w:rPr>
          <w:rFonts w:hint="eastAsia"/>
        </w:rPr>
        <w:t>频响所采用的归一化约定一致。</w:t>
      </w:r>
    </w:p>
    <w:p w14:paraId="4B0137F0">
      <w:pPr>
        <w:pStyle w:val="11"/>
      </w:pPr>
      <w:r>
        <w:rPr>
          <w:rFonts w:hint="eastAsia"/>
        </w:rPr>
        <w:t>这里的</w:t>
      </w:r>
      <w:r>
        <w:t xml:space="preserve"> </w:t>
      </w:r>
      <m:oMath>
        <m:r>
          <m:rPr>
            <m:sty m:val="bi"/>
          </m:rPr>
          <m:t>r</m:t>
        </m:r>
      </m:oMath>
      <w:r>
        <w:t xml:space="preserve"> </w:t>
      </w:r>
      <w:r>
        <w:rPr>
          <w:rFonts w:hint="eastAsia"/>
        </w:rPr>
        <w:t>表示单点一致基础激励方向向量；对于多点或多支座激励，需要按支座自由度和方向分别建立输入影响向量或拟静力影响矩阵，不能把多点输入简单合并为一个</w:t>
      </w:r>
      <w:r>
        <w:t xml:space="preserve"> </w:t>
      </w:r>
      <m:oMath>
        <m:r>
          <m:rPr>
            <m:sty m:val="bi"/>
          </m:rPr>
          <m:t>r</m:t>
        </m:r>
      </m:oMath>
      <w:r>
        <w:rPr>
          <w:rFonts w:hint="eastAsia"/>
        </w:rPr>
        <w:t>。模态参与系数的物理意义是输入方向对第</w:t>
      </w:r>
      <w:r>
        <w:t xml:space="preserve"> </w:t>
      </w:r>
      <m:oMath>
        <m:r>
          <m:rPr/>
          <m:t>i</m:t>
        </m:r>
      </m:oMath>
      <w:r>
        <w:t xml:space="preserve"> </w:t>
      </w:r>
      <w:r>
        <w:rPr>
          <w:rFonts w:hint="eastAsia"/>
        </w:rPr>
        <w:t>阶模态的激发强度，后续反应谱取值和峰值组合均以此为基础。</w:t>
      </w:r>
    </w:p>
    <w:p w14:paraId="3523C5D4">
      <w:pPr>
        <w:pStyle w:val="11"/>
      </w:pPr>
      <w:r>
        <w:rPr>
          <w:rFonts w:hint="eastAsia"/>
        </w:rPr>
        <w:t>以位移反应谱为例，第</w:t>
      </w:r>
      <w:r>
        <w:t xml:space="preserve"> </w:t>
      </w:r>
      <m:oMath>
        <m:r>
          <m:rPr/>
          <m:t>i</m:t>
        </m:r>
      </m:oMath>
      <w:r>
        <w:t xml:space="preserve"> </w:t>
      </w:r>
      <w:r>
        <w:rPr>
          <w:rFonts w:hint="eastAsia"/>
        </w:rPr>
        <w:t>阶模态对指定自由度</w:t>
      </w:r>
      <w:r>
        <w:t xml:space="preserve"> </w:t>
      </w:r>
      <m:oMath>
        <m:r>
          <m:rPr/>
          <m:t>p</m:t>
        </m:r>
      </m:oMath>
      <w:r>
        <w:t xml:space="preserve"> </w:t>
      </w:r>
      <w:r>
        <w:rPr>
          <w:rFonts w:hint="eastAsia"/>
        </w:rPr>
        <w:t>的位移峰值贡献为</w:t>
      </w:r>
    </w:p>
    <w:p w14:paraId="09AF00C4">
      <w:pPr>
        <w:pStyle w:val="11"/>
        <w:spacing w:before="120" w:after="120" w:line="240" w:lineRule="auto"/>
        <w:ind w:firstLine="0" w:firstLineChars="0"/>
      </w:pPr>
      <m:oMathPara>
        <m:oMathParaPr>
          <m:jc m:val="center"/>
        </m:oMathParaPr>
        <m:oMath>
          <m:sSubSup>
            <m:sSubSupPr/>
            <m:e>
              <m:r>
                <m:rPr/>
                <m:t>r</m:t>
              </m:r>
            </m:e>
            <m:sub>
              <m:r>
                <m:rPr/>
                <m:t>pi</m:t>
              </m:r>
            </m:sub>
            <m:sup>
              <m:r>
                <m:rPr>
                  <m:sty m:val="p"/>
                </m:rPr>
                <m:t>(</m:t>
              </m:r>
              <m:r>
                <m:rPr/>
                <m:t>u</m:t>
              </m:r>
              <m:r>
                <m:rPr>
                  <m:sty m:val="p"/>
                </m:rPr>
                <m:t>)</m:t>
              </m:r>
            </m:sup>
          </m:sSubSup>
          <m:r>
            <m:rPr>
              <m:sty m:val="p"/>
            </m:rPr>
            <m:t>=</m:t>
          </m:r>
          <m:sSub>
            <m:sSubPr/>
            <m:e>
              <m:r>
                <m:rPr>
                  <m:sty m:val="p"/>
                </m:rPr>
                <m:t>Γ</m:t>
              </m:r>
            </m:e>
            <m:sub>
              <m:r>
                <m:rPr/>
                <m:t>i</m:t>
              </m:r>
            </m:sub>
          </m:sSub>
          <m:r>
            <m:rPr/>
            <m:t> </m:t>
          </m:r>
          <m:sSub>
            <m:sSubPr/>
            <m:e>
              <m:r>
                <m:rPr/>
                <m:t>ϕ</m:t>
              </m:r>
            </m:e>
            <m:sub>
              <m:r>
                <m:rPr/>
                <m:t>pi</m:t>
              </m:r>
            </m:sub>
          </m:sSub>
          <m:r>
            <m:rPr/>
            <m:t> </m:t>
          </m:r>
          <m:sSub>
            <m:sSubPr/>
            <m:e>
              <m:r>
                <m:rPr/>
                <m:t>S</m:t>
              </m:r>
            </m:e>
            <m:sub>
              <m:r>
                <m:rPr/>
                <m:t>d</m:t>
              </m:r>
            </m:sub>
          </m:sSub>
          <m:r>
            <m:rPr>
              <m:sty m:val="p"/>
            </m:rPr>
            <m:t>(</m:t>
          </m:r>
          <m:sSub>
            <m:sSubPr/>
            <m:e>
              <m:r>
                <m:rPr/>
                <m:t>ω</m:t>
              </m:r>
            </m:e>
            <m:sub>
              <m:r>
                <m:rPr/>
                <m:t>i</m:t>
              </m:r>
            </m:sub>
          </m:sSub>
          <m:r>
            <m:rPr>
              <m:sty m:val="p"/>
            </m:rPr>
            <m:t>,</m:t>
          </m:r>
          <m:sSub>
            <m:sSubPr/>
            <m:e>
              <m:r>
                <m:rPr/>
                <m:t>ξ</m:t>
              </m:r>
            </m:e>
            <m:sub>
              <m:r>
                <m:rPr/>
                <m:t>i</m:t>
              </m:r>
            </m:sub>
          </m:sSub>
          <m:r>
            <m:rPr>
              <m:sty m:val="p"/>
            </m:rPr>
            <m:t>)</m:t>
          </m:r>
        </m:oMath>
      </m:oMathPara>
    </w:p>
    <w:p w14:paraId="3EA2F40F">
      <w:pPr>
        <w:pStyle w:val="70"/>
      </w:pPr>
      <w:r>
        <w:rPr>
          <w:rFonts w:hint="eastAsia"/>
        </w:rPr>
        <w:t>其中，</w:t>
      </w:r>
      <m:oMath>
        <m:sSub>
          <m:sSubPr/>
          <m:e>
            <m:r>
              <m:rPr/>
              <m:t>S</m:t>
            </m:r>
          </m:e>
          <m:sub>
            <m:r>
              <m:rPr/>
              <m:t>d</m:t>
            </m:r>
          </m:sub>
        </m:sSub>
        <m:r>
          <m:rPr>
            <m:sty m:val="p"/>
          </m:rPr>
          <m:t>(</m:t>
        </m:r>
        <m:sSub>
          <m:sSubPr/>
          <m:e>
            <m:r>
              <m:rPr/>
              <m:t>ω</m:t>
            </m:r>
          </m:e>
          <m:sub>
            <m:r>
              <m:rPr/>
              <m:t>i</m:t>
            </m:r>
          </m:sub>
        </m:sSub>
        <m:r>
          <m:rPr>
            <m:sty m:val="p"/>
          </m:rPr>
          <m:t>,</m:t>
        </m:r>
        <m:sSub>
          <m:sSubPr/>
          <m:e>
            <m:r>
              <m:rPr/>
              <m:t>ξ</m:t>
            </m:r>
          </m:e>
          <m:sub>
            <m:r>
              <m:rPr/>
              <m:t>i</m:t>
            </m:r>
          </m:sub>
        </m:sSub>
        <m:r>
          <m:rPr>
            <m:sty m:val="p"/>
          </m:rPr>
          <m:t>)</m:t>
        </m:r>
      </m:oMath>
      <w:r>
        <w:t xml:space="preserve"> </w:t>
      </w:r>
      <w:r>
        <w:rPr>
          <w:rFonts w:hint="eastAsia"/>
        </w:rPr>
        <w:t>为位移反应谱在第</w:t>
      </w:r>
      <w:r>
        <w:t xml:space="preserve"> </w:t>
      </w:r>
      <m:oMath>
        <m:r>
          <m:rPr/>
          <m:t>i</m:t>
        </m:r>
      </m:oMath>
      <w:r>
        <w:t xml:space="preserve"> </w:t>
      </w:r>
      <w:r>
        <w:rPr>
          <w:rFonts w:hint="eastAsia"/>
        </w:rPr>
        <w:t>阶固有频率和阻尼比处的纵坐标，</w:t>
      </w:r>
      <m:oMath>
        <m:sSub>
          <m:sSubPr/>
          <m:e>
            <m:r>
              <m:rPr/>
              <m:t>ϕ</m:t>
            </m:r>
          </m:e>
          <m:sub>
            <m:r>
              <m:rPr/>
              <m:t>pi</m:t>
            </m:r>
          </m:sub>
        </m:sSub>
      </m:oMath>
      <w:r>
        <w:t xml:space="preserve"> </w:t>
      </w:r>
      <w:r>
        <w:rPr>
          <w:rFonts w:hint="eastAsia"/>
        </w:rPr>
        <w:t>为第</w:t>
      </w:r>
      <w:r>
        <w:t xml:space="preserve"> </w:t>
      </w:r>
      <m:oMath>
        <m:r>
          <m:rPr/>
          <m:t>i</m:t>
        </m:r>
      </m:oMath>
      <w:r>
        <w:t xml:space="preserve"> </w:t>
      </w:r>
      <w:r>
        <w:rPr>
          <w:rFonts w:hint="eastAsia"/>
        </w:rPr>
        <w:t>阶振型在自由度</w:t>
      </w:r>
      <w:r>
        <w:t xml:space="preserve"> </w:t>
      </w:r>
      <m:oMath>
        <m:r>
          <m:rPr/>
          <m:t>p</m:t>
        </m:r>
      </m:oMath>
      <w:r>
        <w:t xml:space="preserve"> </w:t>
      </w:r>
      <w:r>
        <w:rPr>
          <w:rFonts w:hint="eastAsia"/>
        </w:rPr>
        <w:t>处的分量。目标为加速度、内力或应力时，采用相应反应谱量并通过对应结果恢复算子计算，不能直接套用位移峰值公式。对同一指定响应量，将各阶峰值贡献简记为</w:t>
      </w:r>
      <w:r>
        <w:t xml:space="preserve"> </w:t>
      </w:r>
      <m:oMath>
        <m:sSub>
          <m:sSubPr/>
          <m:e>
            <m:r>
              <m:rPr/>
              <m:t>r</m:t>
            </m:r>
          </m:e>
          <m:sub>
            <m:r>
              <m:rPr/>
              <m:t>i</m:t>
            </m:r>
          </m:sub>
        </m:sSub>
      </m:oMath>
      <w:r>
        <w:rPr>
          <w:rFonts w:hint="eastAsia"/>
        </w:rPr>
        <w:t>，再按以下方法组合得到总峰值估计</w:t>
      </w:r>
      <w:r>
        <w:t xml:space="preserve"> </w:t>
      </w:r>
      <m:oMath>
        <m:r>
          <m:rPr/>
          <m:t>R</m:t>
        </m:r>
      </m:oMath>
      <w:r>
        <w:rPr>
          <w:rFonts w:hint="eastAsia"/>
        </w:rPr>
        <w:t>。由于各阶峰值通常不在同一时刻发生，组合结果一般不保留正负号和峰值发生时刻。</w:t>
      </w:r>
    </w:p>
    <w:p w14:paraId="56E26A00">
      <w:pPr>
        <w:pStyle w:val="11"/>
      </w:pPr>
      <w:r>
        <w:rPr>
          <w:rFonts w:hint="eastAsia"/>
        </w:rPr>
        <w:t>响应谱分析的输入数据包括反应谱曲线、阻尼比或阻尼修正规则、输入方向、支座分组、模态数据、响应恢复算子和组合方法参数。实现中对反应谱进行插值取值，对每阶模态计算峰值贡献并保留模态贡献表，再按所选组合方法形成总峰值。算例报告输出反应谱曲线、模态参与系数、各阶贡献、组合结果和方法适用性说明。</w:t>
      </w:r>
    </w:p>
    <w:p w14:paraId="7D35C5FF">
      <w:pPr>
        <w:pStyle w:val="11"/>
      </w:pPr>
      <w:r>
        <w:rPr>
          <w:b/>
          <w:bCs/>
        </w:rPr>
        <w:t xml:space="preserve">▲16 </w:t>
      </w:r>
      <w:r>
        <w:rPr>
          <w:rFonts w:hint="eastAsia"/>
          <w:b/>
          <w:bCs/>
        </w:rPr>
        <w:t>响应谱分析支持单点、多点激励施加。</w:t>
      </w:r>
      <w:r>
        <w:t xml:space="preserve"> </w:t>
      </w:r>
      <w:r>
        <w:rPr>
          <w:rFonts w:hint="eastAsia"/>
        </w:rPr>
        <w:t>完全响应。支持单一支座统一激励，以及多支座分组、各支座反应谱和输入方向的定义。多点或多支座输入涉及不同支座运动的空间相关性及支座贡献组合，具体规则依据选定规范配置，不直接套用单点、单方向激励的模态参与系数公式。</w:t>
      </w:r>
    </w:p>
    <w:p w14:paraId="6DACF50A">
      <w:pPr>
        <w:pStyle w:val="11"/>
      </w:pPr>
      <w:r>
        <w:rPr>
          <w:rFonts w:hint="eastAsia"/>
        </w:rPr>
        <w:t>单点激励按统一输入方向向量</w:t>
      </w:r>
      <w:r>
        <w:t xml:space="preserve"> </w:t>
      </w:r>
      <m:oMath>
        <m:r>
          <m:rPr>
            <m:sty m:val="bi"/>
          </m:rPr>
          <m:t>r</m:t>
        </m:r>
      </m:oMath>
      <w:r>
        <w:t xml:space="preserve"> </w:t>
      </w:r>
      <w:r>
        <w:rPr>
          <w:rFonts w:hint="eastAsia"/>
        </w:rPr>
        <w:t>计算模态参与系数；多点激励按支座集合、方向和反应谱工况分别组织输入，并保留支座自由度、方向、相干假设和组合规则。对需要考虑拟静力分量的多支座输入，接口预留相应影响矩阵或等效结果恢复入口，实施时按采购人选定规范和数据条件配置。证明材料包括单点和多点激励算例、支座分组输入表、模态参与系数表和组合结果。</w:t>
      </w:r>
    </w:p>
    <w:p w14:paraId="08808543">
      <w:pPr>
        <w:pStyle w:val="11"/>
      </w:pPr>
      <w:r>
        <w:rPr>
          <w:b/>
          <w:bCs/>
        </w:rPr>
        <w:t xml:space="preserve">▲17 </w:t>
      </w:r>
      <w:r>
        <w:rPr>
          <w:rFonts w:hint="eastAsia"/>
          <w:b/>
          <w:bCs/>
        </w:rPr>
        <w:t>支持</w:t>
      </w:r>
      <w:r>
        <w:rPr>
          <w:b/>
          <w:bCs/>
        </w:rPr>
        <w:t xml:space="preserve"> SRSS </w:t>
      </w:r>
      <w:r>
        <w:rPr>
          <w:rFonts w:hint="eastAsia"/>
          <w:b/>
          <w:bCs/>
        </w:rPr>
        <w:t>叠加法。</w:t>
      </w:r>
      <w:r>
        <w:rPr>
          <w:rFonts w:hint="eastAsia"/>
        </w:rPr>
        <w:t>（提供算法原理描述与算例测试报告）完全响应。对于同一指定响应量，令</w:t>
      </w:r>
      <w:r>
        <w:t xml:space="preserve"> </w:t>
      </w:r>
      <m:oMath>
        <m:sSub>
          <m:sSubPr/>
          <m:e>
            <m:r>
              <m:rPr/>
              <m:t>r</m:t>
            </m:r>
          </m:e>
          <m:sub>
            <m:r>
              <m:rPr/>
              <m:t>i</m:t>
            </m:r>
          </m:sub>
        </m:sSub>
      </m:oMath>
      <w:r>
        <w:t xml:space="preserve"> </w:t>
      </w:r>
      <w:r>
        <w:rPr>
          <w:rFonts w:hint="eastAsia"/>
        </w:rPr>
        <w:t>为第</w:t>
      </w:r>
      <w:r>
        <w:t xml:space="preserve"> </w:t>
      </w:r>
      <m:oMath>
        <m:r>
          <m:rPr/>
          <m:t>i</m:t>
        </m:r>
      </m:oMath>
      <w:r>
        <w:t xml:space="preserve"> </w:t>
      </w:r>
      <w:r>
        <w:rPr>
          <w:rFonts w:hint="eastAsia"/>
        </w:rPr>
        <w:t>阶模态的峰值贡献，则组合后的总峰值估计为</w:t>
      </w:r>
      <w:r>
        <w:t xml:space="preserve"> </w:t>
      </w:r>
      <m:oMath>
        <m:r>
          <m:rPr/>
          <m:t>R</m:t>
        </m:r>
        <m:r>
          <m:rPr>
            <m:sty m:val="p"/>
          </m:rPr>
          <m:t>=</m:t>
        </m:r>
        <m:rad>
          <m:radPr>
            <m:degHide m:val="1"/>
          </m:radPr>
          <m:deg/>
          <m:e>
            <m:nary>
              <m:naryPr>
                <m:chr m:val="∑"/>
                <m:limLoc m:val="undOvr"/>
                <m:supHide m:val="1"/>
              </m:naryPr>
              <m:sub>
                <m:r>
                  <m:rPr/>
                  <m:t>i</m:t>
                </m:r>
              </m:sub>
              <m:sup/>
              <m:e>
                <m:sSubSup>
                  <m:sSubSupPr/>
                  <m:e>
                    <m:r>
                      <m:rPr/>
                      <m:t>r</m:t>
                    </m:r>
                  </m:e>
                  <m:sub>
                    <m:r>
                      <m:rPr/>
                      <m:t>i</m:t>
                    </m:r>
                  </m:sub>
                  <m:sup>
                    <m:r>
                      <m:rPr/>
                      <m:t>2</m:t>
                    </m:r>
                  </m:sup>
                </m:sSubSup>
              </m:e>
            </m:nary>
          </m:e>
        </m:rad>
      </m:oMath>
      <w:r>
        <w:rPr>
          <w:rFonts w:hint="eastAsia"/>
        </w:rPr>
        <w:t>。该方法适用于固有频率分离较好、各阶峰值响应相关性较弱的情形；相关模态组合理论可参考文献</w:t>
      </w:r>
      <w:r>
        <w:t xml:space="preserve"> [4–6]。</w:t>
      </w:r>
    </w:p>
    <w:p w14:paraId="6630F8E2">
      <w:pPr>
        <w:pStyle w:val="11"/>
      </w:pPr>
      <w:r>
        <w:rPr>
          <w:rFonts w:hint="eastAsia"/>
        </w:rPr>
        <w:t>实现中，SRSS</w:t>
      </w:r>
      <w:r>
        <w:t xml:space="preserve"> </w:t>
      </w:r>
      <w:r>
        <w:rPr>
          <w:rFonts w:hint="eastAsia"/>
        </w:rPr>
        <w:t>对各阶峰值贡献取平方和开方，输出总峰值及各阶贡献占比。算例报告重点说明模态频率分离情况、主导模态和</w:t>
      </w:r>
      <w:r>
        <w:t xml:space="preserve"> SRSS </w:t>
      </w:r>
      <w:r>
        <w:rPr>
          <w:rFonts w:hint="eastAsia"/>
        </w:rPr>
        <w:t>与</w:t>
      </w:r>
      <w:r>
        <w:t xml:space="preserve"> CQC </w:t>
      </w:r>
      <w:r>
        <w:rPr>
          <w:rFonts w:hint="eastAsia"/>
        </w:rPr>
        <w:t>在频率分离良好算例中的一致性；对于密集模态算例，报告中给出</w:t>
      </w:r>
      <w:r>
        <w:t xml:space="preserve"> SRSS </w:t>
      </w:r>
      <w:r>
        <w:rPr>
          <w:rFonts w:hint="eastAsia"/>
        </w:rPr>
        <w:t>与</w:t>
      </w:r>
      <w:r>
        <w:t xml:space="preserve"> CQC </w:t>
      </w:r>
      <w:r>
        <w:rPr>
          <w:rFonts w:hint="eastAsia"/>
        </w:rPr>
        <w:t>差异，作为方法适用性的说明。</w:t>
      </w:r>
    </w:p>
    <w:p w14:paraId="1C10F94F">
      <w:pPr>
        <w:pStyle w:val="11"/>
      </w:pPr>
      <w:r>
        <w:rPr>
          <w:b/>
          <w:bCs/>
        </w:rPr>
        <w:t xml:space="preserve">▲18 </w:t>
      </w:r>
      <w:r>
        <w:rPr>
          <w:rFonts w:hint="eastAsia"/>
          <w:b/>
          <w:bCs/>
        </w:rPr>
        <w:t>支持</w:t>
      </w:r>
      <w:r>
        <w:rPr>
          <w:b/>
          <w:bCs/>
        </w:rPr>
        <w:t xml:space="preserve"> NRL </w:t>
      </w:r>
      <w:r>
        <w:rPr>
          <w:rFonts w:hint="eastAsia"/>
          <w:b/>
          <w:bCs/>
        </w:rPr>
        <w:t>叠加法。</w:t>
      </w:r>
      <w:r>
        <w:rPr>
          <w:rFonts w:hint="eastAsia"/>
        </w:rPr>
        <w:t>（提供算法原理描述与算例测试报告）完全响应。NRL（美国海军研究实验室法，Naval</w:t>
      </w:r>
      <w:r>
        <w:t xml:space="preserve"> Research </w:t>
      </w:r>
      <w:r>
        <w:rPr>
          <w:rFonts w:hint="eastAsia"/>
        </w:rPr>
        <w:t>Laboratory）作为响应谱峰值组合中的工程实用方法，通常取绝对值最大的模态贡献与其余模态的</w:t>
      </w:r>
      <w:r>
        <w:t xml:space="preserve"> SRSS </w:t>
      </w:r>
      <w:r>
        <w:rPr>
          <w:rFonts w:hint="eastAsia"/>
        </w:rPr>
        <w:t>结果相加，具体采用的工程口径按项目选定规范或基准资料固化</w:t>
      </w:r>
      <w:r>
        <w:t xml:space="preserve"> </w:t>
      </w:r>
      <w:r>
        <w:rPr>
          <w:rFonts w:hint="eastAsia"/>
        </w:rPr>
        <w:t>[11]。令</w:t>
      </w:r>
      <w:r>
        <w:t xml:space="preserve"> </w:t>
      </w:r>
      <m:oMath>
        <m:r>
          <m:rPr/>
          <m:t>k</m:t>
        </m:r>
        <m:r>
          <m:rPr>
            <m:sty m:val="p"/>
          </m:rPr>
          <m:t>=arg</m:t>
        </m:r>
        <m:sSub>
          <m:sSubPr/>
          <m:e>
            <m:r>
              <m:rPr>
                <m:sty m:val="p"/>
              </m:rPr>
              <m:t>max</m:t>
            </m:r>
          </m:e>
          <m:sub>
            <m:r>
              <m:rPr/>
              <m:t>i</m:t>
            </m:r>
          </m:sub>
        </m:sSub>
        <m:r>
          <m:rPr>
            <m:sty m:val="p"/>
          </m:rPr>
          <m:t>|</m:t>
        </m:r>
        <m:sSub>
          <m:sSubPr/>
          <m:e>
            <m:r>
              <m:rPr/>
              <m:t>r</m:t>
            </m:r>
          </m:e>
          <m:sub>
            <m:r>
              <m:rPr/>
              <m:t>i</m:t>
            </m:r>
          </m:sub>
        </m:sSub>
        <m:r>
          <m:rPr>
            <m:sty m:val="p"/>
          </m:rPr>
          <m:t>|</m:t>
        </m:r>
      </m:oMath>
      <w:r>
        <w:rPr>
          <w:rFonts w:hint="eastAsia"/>
        </w:rPr>
        <w:t>，则</w:t>
      </w:r>
    </w:p>
    <w:p w14:paraId="5C3ACE2D">
      <w:pPr>
        <w:pStyle w:val="11"/>
        <w:spacing w:before="120" w:after="120" w:line="240" w:lineRule="auto"/>
        <w:ind w:firstLine="0" w:firstLineChars="0"/>
      </w:pPr>
      <m:oMathPara>
        <m:oMathParaPr>
          <m:jc m:val="center"/>
        </m:oMathParaPr>
        <m:oMath>
          <m:sSub>
            <m:sSubPr/>
            <m:e>
              <m:r>
                <m:rPr/>
                <m:t>R</m:t>
              </m:r>
            </m:e>
            <m:sub>
              <m:r>
                <m:rPr>
                  <m:sty m:val="p"/>
                </m:rPr>
                <m:t>NRL</m:t>
              </m:r>
            </m:sub>
          </m:sSub>
          <m:r>
            <m:rPr>
              <m:sty m:val="p"/>
            </m:rPr>
            <m:t>=|</m:t>
          </m:r>
          <m:sSub>
            <m:sSubPr/>
            <m:e>
              <m:r>
                <m:rPr/>
                <m:t>r</m:t>
              </m:r>
            </m:e>
            <m:sub>
              <m:r>
                <m:rPr/>
                <m:t>k</m:t>
              </m:r>
            </m:sub>
          </m:sSub>
          <m:r>
            <m:rPr>
              <m:sty m:val="p"/>
            </m:rPr>
            <m:t>|+</m:t>
          </m:r>
          <m:rad>
            <m:radPr>
              <m:degHide m:val="1"/>
            </m:radPr>
            <m:deg/>
            <m:e>
              <m:nary>
                <m:naryPr>
                  <m:chr m:val="∑"/>
                  <m:limLoc m:val="undOvr"/>
                  <m:supHide m:val="1"/>
                </m:naryPr>
                <m:sub>
                  <m:r>
                    <m:rPr/>
                    <m:t>i</m:t>
                  </m:r>
                  <m:r>
                    <m:rPr>
                      <m:sty m:val="p"/>
                    </m:rPr>
                    <m:t>≠</m:t>
                  </m:r>
                  <m:r>
                    <m:rPr/>
                    <m:t>k</m:t>
                  </m:r>
                </m:sub>
                <m:sup/>
                <m:e>
                  <m:sSubSup>
                    <m:sSubSupPr/>
                    <m:e>
                      <m:r>
                        <m:rPr/>
                        <m:t>r</m:t>
                      </m:r>
                    </m:e>
                    <m:sub>
                      <m:r>
                        <m:rPr/>
                        <m:t>i</m:t>
                      </m:r>
                    </m:sub>
                    <m:sup>
                      <m:r>
                        <m:rPr/>
                        <m:t>2</m:t>
                      </m:r>
                    </m:sup>
                  </m:sSubSup>
                </m:e>
              </m:nary>
            </m:e>
          </m:rad>
        </m:oMath>
      </m:oMathPara>
    </w:p>
    <w:p w14:paraId="450835E3">
      <w:pPr>
        <w:pStyle w:val="70"/>
      </w:pPr>
      <w:r>
        <w:rPr>
          <w:rFonts w:hint="eastAsia"/>
        </w:rPr>
        <w:t>该方法属于工程中使用的保守组合方法。</w:t>
      </w:r>
    </w:p>
    <w:p w14:paraId="051343E0">
      <w:pPr>
        <w:pStyle w:val="11"/>
      </w:pPr>
      <w:r>
        <w:rPr>
          <w:rFonts w:hint="eastAsia"/>
        </w:rPr>
        <w:t>实现中，NRL</w:t>
      </w:r>
      <w:r>
        <w:t xml:space="preserve"> </w:t>
      </w:r>
      <w:r>
        <w:rPr>
          <w:rFonts w:hint="eastAsia"/>
        </w:rPr>
        <w:t>首先识别绝对值最大的主导模态贡献，再将其与其余模态的</w:t>
      </w:r>
      <w:r>
        <w:t xml:space="preserve"> SRSS </w:t>
      </w:r>
      <w:r>
        <w:rPr>
          <w:rFonts w:hint="eastAsia"/>
        </w:rPr>
        <w:t>组合相加。该方法在冲击和抗震工程中常用于提供偏保守估计，算例报告中给出主导模态编号、主导模态贡献、其余模态组合值和最终</w:t>
      </w:r>
      <w:r>
        <w:t xml:space="preserve"> NRL </w:t>
      </w:r>
      <w:r>
        <w:rPr>
          <w:rFonts w:hint="eastAsia"/>
        </w:rPr>
        <w:t>结果，并与</w:t>
      </w:r>
      <w:r>
        <w:t xml:space="preserve"> SRSS/CQC </w:t>
      </w:r>
      <w:r>
        <w:rPr>
          <w:rFonts w:hint="eastAsia"/>
        </w:rPr>
        <w:t>结果并列比较。</w:t>
      </w:r>
    </w:p>
    <w:p w14:paraId="37C54957">
      <w:pPr>
        <w:pStyle w:val="11"/>
      </w:pPr>
      <w:r>
        <w:rPr>
          <w:b/>
          <w:bCs/>
        </w:rPr>
        <w:t xml:space="preserve">▲19 </w:t>
      </w:r>
      <w:r>
        <w:rPr>
          <w:rFonts w:hint="eastAsia"/>
          <w:b/>
          <w:bCs/>
        </w:rPr>
        <w:t>支持</w:t>
      </w:r>
      <w:r>
        <w:rPr>
          <w:b/>
          <w:bCs/>
        </w:rPr>
        <w:t xml:space="preserve"> GRP </w:t>
      </w:r>
      <w:r>
        <w:rPr>
          <w:rFonts w:hint="eastAsia"/>
          <w:b/>
          <w:bCs/>
        </w:rPr>
        <w:t>叠加法。</w:t>
      </w:r>
      <w:r>
        <w:rPr>
          <w:rFonts w:hint="eastAsia"/>
        </w:rPr>
        <w:t>（提供算法原理描述与算例测试报告）完全响应。GRP（分组法，Grouping</w:t>
      </w:r>
      <w:r>
        <w:t xml:space="preserve"> </w:t>
      </w:r>
      <w:r>
        <w:rPr>
          <w:rFonts w:hint="eastAsia"/>
        </w:rPr>
        <w:t>Method）将频率相近的模态按选定规范或频率间隔阈值进行分组</w:t>
      </w:r>
      <w:r>
        <w:t xml:space="preserve"> </w:t>
      </w:r>
      <w:r>
        <w:rPr>
          <w:rFonts w:hint="eastAsia"/>
        </w:rPr>
        <w:t>[6]，组内采用模态贡献绝对值相加，组间采用</w:t>
      </w:r>
      <w:r>
        <w:t xml:space="preserve"> SRSS </w:t>
      </w:r>
      <w:r>
        <w:rPr>
          <w:rFonts w:hint="eastAsia"/>
        </w:rPr>
        <w:t>组合，以考虑密集模态影响；工程实现中明确并记录所采用的分组准则和阈值。</w:t>
      </w:r>
    </w:p>
    <w:p w14:paraId="7F85BC41">
      <w:pPr>
        <w:pStyle w:val="11"/>
      </w:pPr>
      <w:r>
        <w:rPr>
          <w:rFonts w:hint="eastAsia"/>
        </w:rPr>
        <w:t>实现中，GRP</w:t>
      </w:r>
      <w:r>
        <w:t xml:space="preserve"> </w:t>
      </w:r>
      <w:r>
        <w:rPr>
          <w:rFonts w:hint="eastAsia"/>
        </w:rPr>
        <w:t>根据频率间隔、周期比或规范指定阈值形成模态组，组内按绝对值相加得到组贡献，组间再进行平方和开方。输出结果包括模态分组表、组内贡献、组间组合结果和阈值设置。算例报告重点覆盖密集模态结构，说明</w:t>
      </w:r>
      <w:r>
        <w:t xml:space="preserve"> GRP </w:t>
      </w:r>
      <w:r>
        <w:rPr>
          <w:rFonts w:hint="eastAsia"/>
        </w:rPr>
        <w:t>相比</w:t>
      </w:r>
      <w:r>
        <w:t xml:space="preserve"> SRSS </w:t>
      </w:r>
      <w:r>
        <w:rPr>
          <w:rFonts w:hint="eastAsia"/>
        </w:rPr>
        <w:t>的保守性和相比</w:t>
      </w:r>
      <w:r>
        <w:t xml:space="preserve"> CQC </w:t>
      </w:r>
      <w:r>
        <w:rPr>
          <w:rFonts w:hint="eastAsia"/>
        </w:rPr>
        <w:t>的工程简化特征。</w:t>
      </w:r>
    </w:p>
    <w:p w14:paraId="39E6D4E6">
      <w:pPr>
        <w:pStyle w:val="11"/>
      </w:pPr>
      <w:r>
        <w:rPr>
          <w:b/>
          <w:bCs/>
        </w:rPr>
        <w:t xml:space="preserve">▲20 </w:t>
      </w:r>
      <w:r>
        <w:rPr>
          <w:rFonts w:hint="eastAsia"/>
          <w:b/>
          <w:bCs/>
        </w:rPr>
        <w:t>支持</w:t>
      </w:r>
      <w:r>
        <w:rPr>
          <w:b/>
          <w:bCs/>
        </w:rPr>
        <w:t xml:space="preserve"> CQC </w:t>
      </w:r>
      <w:r>
        <w:rPr>
          <w:rFonts w:hint="eastAsia"/>
          <w:b/>
          <w:bCs/>
        </w:rPr>
        <w:t>叠加法。</w:t>
      </w:r>
      <w:r>
        <w:rPr>
          <w:rFonts w:hint="eastAsia"/>
        </w:rPr>
        <w:t>（提供算法原理描述与算例测试报告）完全响应。基于模态相关系数</w:t>
      </w:r>
      <w:r>
        <w:t xml:space="preserve"> </w:t>
      </w:r>
      <m:oMath>
        <m:sSub>
          <m:sSubPr/>
          <m:e>
            <m:r>
              <m:rPr/>
              <m:t>ρ</m:t>
            </m:r>
          </m:e>
          <m:sub>
            <m:r>
              <m:rPr/>
              <m:t>ij</m:t>
            </m:r>
          </m:sub>
        </m:sSub>
      </m:oMath>
      <w:r>
        <w:t xml:space="preserve"> </w:t>
      </w:r>
      <w:r>
        <w:rPr>
          <w:rFonts w:hint="eastAsia"/>
        </w:rPr>
        <w:t>的完全二次组合</w:t>
      </w:r>
      <w:r>
        <w:t xml:space="preserve"> [4,5] </w:t>
      </w:r>
      <m:oMath>
        <m:r>
          <m:rPr/>
          <m:t>R</m:t>
        </m:r>
        <m:r>
          <m:rPr>
            <m:sty m:val="p"/>
          </m:rPr>
          <m:t>=</m:t>
        </m:r>
        <m:rad>
          <m:radPr>
            <m:degHide m:val="1"/>
          </m:radPr>
          <m:deg/>
          <m:e>
            <m:nary>
              <m:naryPr>
                <m:chr m:val="∑"/>
                <m:limLoc m:val="undOvr"/>
                <m:supHide m:val="1"/>
              </m:naryPr>
              <m:sub>
                <m:r>
                  <m:rPr/>
                  <m:t>i</m:t>
                </m:r>
              </m:sub>
              <m:sup/>
              <m:e>
                <m:nary>
                  <m:naryPr>
                    <m:chr m:val="∑"/>
                    <m:limLoc m:val="undOvr"/>
                    <m:supHide m:val="1"/>
                  </m:naryPr>
                  <m:sub>
                    <m:r>
                      <m:rPr/>
                      <m:t>j</m:t>
                    </m:r>
                  </m:sub>
                  <m:sup/>
                  <m:e>
                    <m:sSub>
                      <m:sSubPr/>
                      <m:e>
                        <m:r>
                          <m:rPr/>
                          <m:t>ρ</m:t>
                        </m:r>
                      </m:e>
                      <m:sub>
                        <m:r>
                          <m:rPr/>
                          <m:t>ij</m:t>
                        </m:r>
                      </m:sub>
                    </m:sSub>
                  </m:e>
                </m:nary>
              </m:e>
            </m:nary>
            <m:sSub>
              <m:sSubPr/>
              <m:e>
                <m:r>
                  <m:rPr/>
                  <m:t>r</m:t>
                </m:r>
              </m:e>
              <m:sub>
                <m:r>
                  <m:rPr/>
                  <m:t>i</m:t>
                </m:r>
              </m:sub>
            </m:sSub>
            <m:sSub>
              <m:sSubPr/>
              <m:e>
                <m:r>
                  <m:rPr/>
                  <m:t>r</m:t>
                </m:r>
              </m:e>
              <m:sub>
                <m:r>
                  <m:rPr/>
                  <m:t>j</m:t>
                </m:r>
              </m:sub>
            </m:sSub>
          </m:e>
        </m:rad>
      </m:oMath>
      <w:r>
        <w:rPr>
          <w:rFonts w:hint="eastAsia"/>
        </w:rPr>
        <w:t>。在线性结构、经典阻尼及白噪声输入假设下，令频率比</w:t>
      </w:r>
      <w:r>
        <w:t xml:space="preserve"> </w:t>
      </w:r>
      <m:oMath>
        <m:sSub>
          <m:sSubPr/>
          <m:e>
            <m:r>
              <m:rPr/>
              <m:t>β</m:t>
            </m:r>
          </m:e>
          <m:sub>
            <m:r>
              <m:rPr/>
              <m:t>ij</m:t>
            </m:r>
          </m:sub>
        </m:sSub>
        <m:r>
          <m:rPr>
            <m:sty m:val="p"/>
          </m:rPr>
          <m:t>=</m:t>
        </m:r>
        <m:sSub>
          <m:sSubPr/>
          <m:e>
            <m:r>
              <m:rPr/>
              <m:t>ω</m:t>
            </m:r>
          </m:e>
          <m:sub>
            <m:r>
              <m:rPr/>
              <m:t>j</m:t>
            </m:r>
          </m:sub>
        </m:sSub>
        <m:r>
          <m:rPr>
            <m:sty m:val="p"/>
          </m:rPr>
          <m:t>/</m:t>
        </m:r>
        <m:sSub>
          <m:sSubPr/>
          <m:e>
            <m:r>
              <m:rPr/>
              <m:t>ω</m:t>
            </m:r>
          </m:e>
          <m:sub>
            <m:r>
              <m:rPr/>
              <m:t>i</m:t>
            </m:r>
          </m:sub>
        </m:sSub>
      </m:oMath>
      <w:r>
        <w:rPr>
          <w:rFonts w:hint="eastAsia"/>
        </w:rPr>
        <w:t>，一种常见的相关系数形式为：</w:t>
      </w:r>
    </w:p>
    <w:p w14:paraId="6AE6BD09">
      <w:pPr>
        <w:pStyle w:val="11"/>
        <w:spacing w:before="120" w:after="120" w:line="240" w:lineRule="auto"/>
        <w:ind w:firstLine="0" w:firstLineChars="0"/>
      </w:pPr>
      <m:oMathPara>
        <m:oMathParaPr>
          <m:jc m:val="center"/>
        </m:oMathParaPr>
        <m:oMath>
          <m:sSub>
            <m:sSubPr/>
            <m:e>
              <m:r>
                <m:rPr/>
                <m:t>ρ</m:t>
              </m:r>
            </m:e>
            <m:sub>
              <m:r>
                <m:rPr/>
                <m:t>ij</m:t>
              </m:r>
            </m:sub>
          </m:sSub>
          <m:r>
            <m:rPr>
              <m:sty m:val="p"/>
            </m:rPr>
            <m:t>=</m:t>
          </m:r>
          <m:f>
            <m:fPr/>
            <m:num>
              <m:r>
                <m:rPr/>
                <m:t>8</m:t>
              </m:r>
              <m:rad>
                <m:radPr>
                  <m:degHide m:val="1"/>
                </m:radPr>
                <m:deg/>
                <m:e>
                  <m:sSub>
                    <m:sSubPr/>
                    <m:e>
                      <m:r>
                        <m:rPr/>
                        <m:t>ξ</m:t>
                      </m:r>
                    </m:e>
                    <m:sub>
                      <m:r>
                        <m:rPr/>
                        <m:t>i</m:t>
                      </m:r>
                    </m:sub>
                  </m:sSub>
                  <m:sSub>
                    <m:sSubPr/>
                    <m:e>
                      <m:r>
                        <m:rPr/>
                        <m:t>ξ</m:t>
                      </m:r>
                    </m:e>
                    <m:sub>
                      <m:r>
                        <m:rPr/>
                        <m:t>j</m:t>
                      </m:r>
                    </m:sub>
                  </m:sSub>
                </m:e>
              </m:rad>
              <m:r>
                <m:rPr/>
                <m:t> </m:t>
              </m:r>
              <m:r>
                <m:rPr>
                  <m:sty m:val="p"/>
                </m:rPr>
                <m:t>(</m:t>
              </m:r>
              <m:sSub>
                <m:sSubPr/>
                <m:e>
                  <m:r>
                    <m:rPr/>
                    <m:t>ξ</m:t>
                  </m:r>
                </m:e>
                <m:sub>
                  <m:r>
                    <m:rPr/>
                    <m:t>i</m:t>
                  </m:r>
                </m:sub>
              </m:sSub>
              <m:r>
                <m:rPr>
                  <m:sty m:val="p"/>
                </m:rPr>
                <m:t>+</m:t>
              </m:r>
              <m:sSub>
                <m:sSubPr/>
                <m:e>
                  <m:r>
                    <m:rPr/>
                    <m:t>β</m:t>
                  </m:r>
                </m:e>
                <m:sub>
                  <m:r>
                    <m:rPr/>
                    <m:t>ij</m:t>
                  </m:r>
                </m:sub>
              </m:sSub>
              <m:sSub>
                <m:sSubPr/>
                <m:e>
                  <m:r>
                    <m:rPr/>
                    <m:t>ξ</m:t>
                  </m:r>
                </m:e>
                <m:sub>
                  <m:r>
                    <m:rPr/>
                    <m:t>j</m:t>
                  </m:r>
                </m:sub>
              </m:sSub>
              <m:r>
                <m:rPr>
                  <m:sty m:val="p"/>
                </m:rPr>
                <m:t>)</m:t>
              </m:r>
              <m:r>
                <m:rPr/>
                <m:t> </m:t>
              </m:r>
              <m:sSubSup>
                <m:sSubSupPr/>
                <m:e>
                  <m:r>
                    <m:rPr/>
                    <m:t>β</m:t>
                  </m:r>
                </m:e>
                <m:sub>
                  <m:r>
                    <m:rPr/>
                    <m:t>ij</m:t>
                  </m:r>
                </m:sub>
                <m:sup>
                  <m:r>
                    <m:rPr/>
                    <m:t>3</m:t>
                  </m:r>
                  <m:r>
                    <m:rPr>
                      <m:sty m:val="p"/>
                    </m:rPr>
                    <m:t>/</m:t>
                  </m:r>
                  <m:r>
                    <m:rPr/>
                    <m:t>2</m:t>
                  </m:r>
                </m:sup>
              </m:sSubSup>
            </m:num>
            <m:den>
              <m:r>
                <m:rPr>
                  <m:sty m:val="p"/>
                </m:rPr>
                <m:t>(</m:t>
              </m:r>
              <m:r>
                <m:rPr/>
                <m:t>1</m:t>
              </m:r>
              <m:r>
                <m:rPr>
                  <m:sty m:val="p"/>
                </m:rPr>
                <m:t>−</m:t>
              </m:r>
              <m:sSubSup>
                <m:sSubSupPr/>
                <m:e>
                  <m:r>
                    <m:rPr/>
                    <m:t>β</m:t>
                  </m:r>
                </m:e>
                <m:sub>
                  <m:r>
                    <m:rPr/>
                    <m:t>ij</m:t>
                  </m:r>
                </m:sub>
                <m:sup>
                  <m:r>
                    <m:rPr/>
                    <m:t>2</m:t>
                  </m:r>
                </m:sup>
              </m:sSubSup>
              <m:sSup>
                <m:sSupPr/>
                <m:e>
                  <m:r>
                    <m:rPr>
                      <m:sty m:val="p"/>
                    </m:rPr>
                    <m:t>)</m:t>
                  </m:r>
                </m:e>
                <m:sup>
                  <m:r>
                    <m:rPr/>
                    <m:t>2</m:t>
                  </m:r>
                </m:sup>
              </m:sSup>
              <m:r>
                <m:rPr>
                  <m:sty m:val="p"/>
                </m:rPr>
                <m:t>+</m:t>
              </m:r>
              <m:r>
                <m:rPr/>
                <m:t>4</m:t>
              </m:r>
              <m:sSub>
                <m:sSubPr/>
                <m:e>
                  <m:r>
                    <m:rPr/>
                    <m:t>ξ</m:t>
                  </m:r>
                </m:e>
                <m:sub>
                  <m:r>
                    <m:rPr/>
                    <m:t>i</m:t>
                  </m:r>
                </m:sub>
              </m:sSub>
              <m:sSub>
                <m:sSubPr/>
                <m:e>
                  <m:r>
                    <m:rPr/>
                    <m:t>ξ</m:t>
                  </m:r>
                </m:e>
                <m:sub>
                  <m:r>
                    <m:rPr/>
                    <m:t>j</m:t>
                  </m:r>
                </m:sub>
              </m:sSub>
              <m:sSub>
                <m:sSubPr/>
                <m:e>
                  <m:r>
                    <m:rPr/>
                    <m:t>β</m:t>
                  </m:r>
                </m:e>
                <m:sub>
                  <m:r>
                    <m:rPr/>
                    <m:t>ij</m:t>
                  </m:r>
                </m:sub>
              </m:sSub>
              <m:r>
                <m:rPr>
                  <m:sty m:val="p"/>
                </m:rPr>
                <m:t>(</m:t>
              </m:r>
              <m:r>
                <m:rPr/>
                <m:t>1</m:t>
              </m:r>
              <m:r>
                <m:rPr>
                  <m:sty m:val="p"/>
                </m:rPr>
                <m:t>+</m:t>
              </m:r>
              <m:sSubSup>
                <m:sSubSupPr/>
                <m:e>
                  <m:r>
                    <m:rPr/>
                    <m:t>β</m:t>
                  </m:r>
                </m:e>
                <m:sub>
                  <m:r>
                    <m:rPr/>
                    <m:t>ij</m:t>
                  </m:r>
                </m:sub>
                <m:sup>
                  <m:r>
                    <m:rPr/>
                    <m:t>2</m:t>
                  </m:r>
                </m:sup>
              </m:sSubSup>
              <m:r>
                <m:rPr>
                  <m:sty m:val="p"/>
                </m:rPr>
                <m:t>)+</m:t>
              </m:r>
              <m:r>
                <m:rPr/>
                <m:t>4</m:t>
              </m:r>
              <m:r>
                <m:rPr>
                  <m:sty m:val="p"/>
                </m:rPr>
                <m:t>(</m:t>
              </m:r>
              <m:sSubSup>
                <m:sSubSupPr/>
                <m:e>
                  <m:r>
                    <m:rPr/>
                    <m:t>ξ</m:t>
                  </m:r>
                </m:e>
                <m:sub>
                  <m:r>
                    <m:rPr/>
                    <m:t>i</m:t>
                  </m:r>
                </m:sub>
                <m:sup>
                  <m:r>
                    <m:rPr/>
                    <m:t>2</m:t>
                  </m:r>
                </m:sup>
              </m:sSubSup>
              <m:r>
                <m:rPr>
                  <m:sty m:val="p"/>
                </m:rPr>
                <m:t>+</m:t>
              </m:r>
              <m:sSubSup>
                <m:sSubSupPr/>
                <m:e>
                  <m:r>
                    <m:rPr/>
                    <m:t>ξ</m:t>
                  </m:r>
                </m:e>
                <m:sub>
                  <m:r>
                    <m:rPr/>
                    <m:t>j</m:t>
                  </m:r>
                </m:sub>
                <m:sup>
                  <m:r>
                    <m:rPr/>
                    <m:t>2</m:t>
                  </m:r>
                </m:sup>
              </m:sSubSup>
              <m:r>
                <m:rPr>
                  <m:sty m:val="p"/>
                </m:rPr>
                <m:t>)</m:t>
              </m:r>
              <m:sSubSup>
                <m:sSubSupPr/>
                <m:e>
                  <m:r>
                    <m:rPr/>
                    <m:t>β</m:t>
                  </m:r>
                </m:e>
                <m:sub>
                  <m:r>
                    <m:rPr/>
                    <m:t>ij</m:t>
                  </m:r>
                </m:sub>
                <m:sup>
                  <m:r>
                    <m:rPr/>
                    <m:t>2</m:t>
                  </m:r>
                </m:sup>
              </m:sSubSup>
            </m:den>
          </m:f>
        </m:oMath>
      </m:oMathPara>
    </w:p>
    <w:p w14:paraId="03FC60F7">
      <w:pPr>
        <w:pStyle w:val="70"/>
      </w:pPr>
      <w:r>
        <w:rPr>
          <w:rFonts w:hint="eastAsia"/>
        </w:rPr>
        <w:t>该方法用于考虑密集模态之间的相关性。工程实现中明确所采用的规范版本、频率比定义、阻尼模型和适用假设；采用其他规范或输入假设时，按相应规定选取相关系数。</w:t>
      </w:r>
    </w:p>
    <w:p w14:paraId="45C2646A">
      <w:pPr>
        <w:pStyle w:val="11"/>
      </w:pPr>
      <w:r>
        <w:rPr>
          <w:rFonts w:hint="eastAsia"/>
        </w:rPr>
        <w:t>从数学性质看，响应谱</w:t>
      </w:r>
      <w:r>
        <w:t xml:space="preserve"> CQC </w:t>
      </w:r>
      <w:r>
        <w:rPr>
          <w:rFonts w:hint="eastAsia"/>
        </w:rPr>
        <w:t>要求</w:t>
      </w:r>
      <w:r>
        <w:t xml:space="preserve"> </w:t>
      </w:r>
      <m:oMath>
        <m:sSub>
          <m:sSubPr/>
          <m:e>
            <m:r>
              <m:rPr/>
              <m:t>ρ</m:t>
            </m:r>
          </m:e>
          <m:sub>
            <m:r>
              <m:rPr/>
              <m:t>ii</m:t>
            </m:r>
          </m:sub>
        </m:sSub>
        <m:r>
          <m:rPr>
            <m:sty m:val="p"/>
          </m:rPr>
          <m:t>=</m:t>
        </m:r>
        <m:r>
          <m:rPr/>
          <m:t>1</m:t>
        </m:r>
      </m:oMath>
      <w:r>
        <w:rPr>
          <w:rFonts w:hint="eastAsia"/>
        </w:rPr>
        <w:t>，并要求相关系数组合在工程可接受范围内保持非负峰值估计；当</w:t>
      </w:r>
      <w:r>
        <w:t xml:space="preserve"> </w:t>
      </w:r>
      <m:oMath>
        <m:sSub>
          <m:sSubPr/>
          <m:e>
            <m:r>
              <m:rPr/>
              <m:t>ω</m:t>
            </m:r>
          </m:e>
          <m:sub>
            <m:r>
              <m:rPr/>
              <m:t>i</m:t>
            </m:r>
          </m:sub>
        </m:sSub>
      </m:oMath>
      <w:r>
        <w:t xml:space="preserve"> </w:t>
      </w:r>
      <w:r>
        <w:rPr>
          <w:rFonts w:hint="eastAsia"/>
        </w:rPr>
        <w:t>与</w:t>
      </w:r>
      <w:r>
        <w:t xml:space="preserve"> </w:t>
      </w:r>
      <m:oMath>
        <m:sSub>
          <m:sSubPr/>
          <m:e>
            <m:r>
              <m:rPr/>
              <m:t>ω</m:t>
            </m:r>
          </m:e>
          <m:sub>
            <m:r>
              <m:rPr/>
              <m:t>j</m:t>
            </m:r>
          </m:sub>
        </m:sSub>
      </m:oMath>
      <w:r>
        <w:t xml:space="preserve"> </w:t>
      </w:r>
      <w:r>
        <w:rPr>
          <w:rFonts w:hint="eastAsia"/>
        </w:rPr>
        <w:t>相距较远时，</w:t>
      </w:r>
      <m:oMath>
        <m:sSub>
          <m:sSubPr/>
          <m:e>
            <m:r>
              <m:rPr/>
              <m:t>ρ</m:t>
            </m:r>
          </m:e>
          <m:sub>
            <m:r>
              <m:rPr/>
              <m:t>ij</m:t>
            </m:r>
          </m:sub>
        </m:sSub>
      </m:oMath>
      <w:r>
        <w:t xml:space="preserve"> </w:t>
      </w:r>
      <w:r>
        <w:rPr>
          <w:rFonts w:hint="eastAsia"/>
        </w:rPr>
        <w:t>趋近于</w:t>
      </w:r>
      <w:r>
        <w:t xml:space="preserve"> </w:t>
      </w:r>
      <w:r>
        <w:rPr>
          <w:rFonts w:hint="eastAsia"/>
        </w:rPr>
        <w:t>0，公式退化到</w:t>
      </w:r>
      <w:r>
        <w:t xml:space="preserve"> SRSS </w:t>
      </w:r>
      <w:r>
        <w:rPr>
          <w:rFonts w:hint="eastAsia"/>
        </w:rPr>
        <w:t>的思想；当两阶频率接近且阻尼不小，交叉项不可忽略。由于响应谱法组合的是各阶峰值而非同时刻响应，</w:t>
      </w:r>
      <m:oMath>
        <m:r>
          <m:rPr/>
          <m:t>R</m:t>
        </m:r>
      </m:oMath>
      <w:r>
        <w:t xml:space="preserve"> </w:t>
      </w:r>
      <w:r>
        <w:rPr>
          <w:rFonts w:hint="eastAsia"/>
        </w:rPr>
        <w:t>是峰值包络估计，不是可回代到某一时刻的带符号位移、内力或应力。</w:t>
      </w:r>
    </w:p>
    <w:p w14:paraId="5119EF35">
      <w:pPr>
        <w:pStyle w:val="11"/>
      </w:pPr>
      <w:r>
        <w:rPr>
          <w:rFonts w:hint="eastAsia"/>
        </w:rPr>
        <w:t>实现中，CQC</w:t>
      </w:r>
      <w:r>
        <w:t xml:space="preserve"> </w:t>
      </w:r>
      <w:r>
        <w:rPr>
          <w:rFonts w:hint="eastAsia"/>
        </w:rPr>
        <w:t>先计算并检查相关系数矩阵</w:t>
      </w:r>
      <w:r>
        <w:t xml:space="preserve"> </w:t>
      </w:r>
      <m:oMath>
        <m:r>
          <m:rPr>
            <m:sty m:val="bi"/>
          </m:rPr>
          <m:t>ρ</m:t>
        </m:r>
      </m:oMath>
      <w:r>
        <w:t xml:space="preserve"> </w:t>
      </w:r>
      <w:r>
        <w:rPr>
          <w:rFonts w:hint="eastAsia"/>
        </w:rPr>
        <w:t>的对称性和对角项，随后完成完全二次组合。算例报告给出频率比、阻尼比、相关系数矩阵关键元素和组合结果；对于频率分离良好的算例，验证</w:t>
      </w:r>
      <w:r>
        <w:t xml:space="preserve"> CQC </w:t>
      </w:r>
      <w:r>
        <w:rPr>
          <w:rFonts w:hint="eastAsia"/>
        </w:rPr>
        <w:t>结果向</w:t>
      </w:r>
      <w:r>
        <w:t xml:space="preserve"> SRSS </w:t>
      </w:r>
      <w:r>
        <w:rPr>
          <w:rFonts w:hint="eastAsia"/>
        </w:rPr>
        <w:t>结果趋近；对于密集模态算例，展示相关项对组合峰值的影响。需特别说明，本条</w:t>
      </w:r>
      <w:r>
        <w:t xml:space="preserve"> CQC </w:t>
      </w:r>
      <w:r>
        <w:rPr>
          <w:rFonts w:hint="eastAsia"/>
        </w:rPr>
        <w:t>是响应谱峰值组合方法，与</w:t>
      </w:r>
      <w:r>
        <w:t xml:space="preserve"> ▲10 </w:t>
      </w:r>
      <w:r>
        <w:rPr>
          <w:rFonts w:hint="eastAsia"/>
        </w:rPr>
        <w:t>中功率谱分析的</w:t>
      </w:r>
      <w:r>
        <w:t xml:space="preserve"> CQC </w:t>
      </w:r>
      <w:r>
        <w:rPr>
          <w:rFonts w:hint="eastAsia"/>
        </w:rPr>
        <w:t>模态谱组合含义不同。</w:t>
      </w:r>
    </w:p>
    <w:bookmarkEnd w:id="17"/>
    <w:bookmarkEnd w:id="21"/>
    <w:p w14:paraId="3B1C2E6B">
      <w:pPr>
        <w:pStyle w:val="4"/>
      </w:pPr>
      <w:bookmarkStart w:id="22" w:name="其他要求响应"/>
      <w:r>
        <w:t xml:space="preserve">3.3 </w:t>
      </w:r>
      <w:r>
        <w:rPr>
          <w:rFonts w:hint="eastAsia"/>
        </w:rPr>
        <w:t>其他要求响应</w:t>
      </w:r>
    </w:p>
    <w:p w14:paraId="0DCC8A37">
      <w:pPr>
        <w:pStyle w:val="70"/>
        <w:rPr>
          <w:rFonts w:hint="eastAsia"/>
        </w:rPr>
      </w:pPr>
      <w:r>
        <w:rPr>
          <w:rFonts w:hint="eastAsia"/>
        </w:rPr>
        <w:t>（1）</w:t>
      </w:r>
      <w:r>
        <w:rPr>
          <w:rFonts w:hint="eastAsia"/>
          <w:b/>
          <w:bCs/>
        </w:rPr>
        <w:t>供货期</w:t>
      </w:r>
      <w:r>
        <w:rPr>
          <w:rFonts w:hint="eastAsia"/>
        </w:rPr>
        <w:t>：合同签订后</w:t>
      </w:r>
      <w:r>
        <w:t xml:space="preserve"> 2 </w:t>
      </w:r>
      <w:r>
        <w:rPr>
          <w:rFonts w:hint="eastAsia"/>
        </w:rPr>
        <w:t>个月内交付（★，无偏离）；</w:t>
      </w:r>
    </w:p>
    <w:p w14:paraId="5A59D9E2">
      <w:pPr>
        <w:pStyle w:val="70"/>
        <w:rPr>
          <w:rFonts w:hint="eastAsia"/>
        </w:rPr>
      </w:pPr>
      <w:r>
        <w:rPr>
          <w:rFonts w:hint="eastAsia"/>
        </w:rPr>
        <w:t>（2）</w:t>
      </w:r>
      <w:r>
        <w:rPr>
          <w:rFonts w:hint="eastAsia"/>
          <w:b/>
          <w:bCs/>
        </w:rPr>
        <w:t>质保期</w:t>
      </w:r>
      <w:r>
        <w:rPr>
          <w:rFonts w:hint="eastAsia"/>
        </w:rPr>
        <w:t>：验收合格之日起</w:t>
      </w:r>
      <w:r>
        <w:t xml:space="preserve"> 1 </w:t>
      </w:r>
      <w:r>
        <w:rPr>
          <w:rFonts w:hint="eastAsia"/>
        </w:rPr>
        <w:t>年（★，无偏离），质保期内免费维保；</w:t>
      </w:r>
    </w:p>
    <w:p w14:paraId="2A9E9465">
      <w:pPr>
        <w:pStyle w:val="70"/>
        <w:rPr>
          <w:rFonts w:hint="eastAsia"/>
        </w:rPr>
      </w:pPr>
      <w:r>
        <w:rPr>
          <w:rFonts w:hint="eastAsia"/>
        </w:rPr>
        <w:t>（3）</w:t>
      </w:r>
      <w:r>
        <w:rPr>
          <w:rFonts w:hint="eastAsia"/>
          <w:b/>
          <w:bCs/>
        </w:rPr>
        <w:t>售后响应</w:t>
      </w:r>
      <w:r>
        <w:rPr>
          <w:rFonts w:hint="eastAsia"/>
        </w:rPr>
        <w:t>：7×24</w:t>
      </w:r>
      <w:r>
        <w:t xml:space="preserve"> </w:t>
      </w:r>
      <w:r>
        <w:rPr>
          <w:rFonts w:hint="eastAsia"/>
        </w:rPr>
        <w:t>小时应急响应，紧急故障半小时内联系、4</w:t>
      </w:r>
      <w:r>
        <w:t xml:space="preserve"> </w:t>
      </w:r>
      <w:r>
        <w:rPr>
          <w:rFonts w:hint="eastAsia"/>
        </w:rPr>
        <w:t>小时内技术工程师响应、8</w:t>
      </w:r>
      <w:r>
        <w:t xml:space="preserve"> </w:t>
      </w:r>
      <w:r>
        <w:rPr>
          <w:rFonts w:hint="eastAsia"/>
        </w:rPr>
        <w:t>小时内初步方案、24</w:t>
      </w:r>
      <w:r>
        <w:t xml:space="preserve"> </w:t>
      </w:r>
      <w:r>
        <w:rPr>
          <w:rFonts w:hint="eastAsia"/>
        </w:rPr>
        <w:t>小时内解决，重大问题</w:t>
      </w:r>
      <w:r>
        <w:t xml:space="preserve"> 48 </w:t>
      </w:r>
      <w:r>
        <w:rPr>
          <w:rFonts w:hint="eastAsia"/>
        </w:rPr>
        <w:t>小时内解决；</w:t>
      </w:r>
    </w:p>
    <w:p w14:paraId="71BF8756">
      <w:pPr>
        <w:pStyle w:val="70"/>
        <w:rPr>
          <w:rFonts w:hint="eastAsia"/>
        </w:rPr>
      </w:pPr>
      <w:r>
        <w:rPr>
          <w:rFonts w:hint="eastAsia"/>
        </w:rPr>
        <w:t>（4）</w:t>
      </w:r>
      <w:r>
        <w:rPr>
          <w:rFonts w:hint="eastAsia"/>
          <w:b/>
          <w:bCs/>
        </w:rPr>
        <w:t>培训</w:t>
      </w:r>
      <w:r>
        <w:rPr>
          <w:rFonts w:hint="eastAsia"/>
        </w:rPr>
        <w:t>：验收合格后</w:t>
      </w:r>
      <w:r>
        <w:t xml:space="preserve"> 7 </w:t>
      </w:r>
      <w:r>
        <w:rPr>
          <w:rFonts w:hint="eastAsia"/>
        </w:rPr>
        <w:t>个工作日内开展不少于</w:t>
      </w:r>
      <w:r>
        <w:t xml:space="preserve"> 3 </w:t>
      </w:r>
      <w:r>
        <w:rPr>
          <w:rFonts w:hint="eastAsia"/>
        </w:rPr>
        <w:t>日培训，覆盖使用操作、技术原理与数据分析，提供全套培训资料（详见培训方案）；</w:t>
      </w:r>
    </w:p>
    <w:p w14:paraId="62F868AC">
      <w:pPr>
        <w:pStyle w:val="70"/>
      </w:pPr>
      <w:r>
        <w:rPr>
          <w:rFonts w:hint="eastAsia"/>
        </w:rPr>
        <w:t>（5）</w:t>
      </w:r>
      <w:r>
        <w:rPr>
          <w:rFonts w:hint="eastAsia"/>
          <w:b/>
          <w:bCs/>
        </w:rPr>
        <w:t>知识产权</w:t>
      </w:r>
      <w:r>
        <w:rPr>
          <w:rFonts w:hint="eastAsia"/>
        </w:rPr>
        <w:t>：交付软件模块及可编译全部源代码，自交付起知识产权归采购人，无保留条款（★，无偏离）。</w:t>
      </w:r>
    </w:p>
    <w:p w14:paraId="4762D5B6">
      <w:pPr>
        <w:pStyle w:val="11"/>
      </w:pPr>
      <w:r>
        <w:rPr>
          <w:rFonts w:hint="eastAsia"/>
        </w:rPr>
        <w:t>上述其他要求与技术交付同步纳入项目管理。供货期内以接口确认、算法实现、算例报告和集成联调作为里程碑；质保期内对编译、接口、算例复跑、结果解释和缺陷修复提供支持；培训内容除软件操作外，重点覆盖功率谱、非平稳随机振动、响应谱组合、输入数据准备、结果判读和算例复现方法，确保采购人能够接收源代码后独立维护和二次开发。</w:t>
      </w:r>
    </w:p>
    <w:p w14:paraId="1C43ED94">
      <w:r>
        <w:pict>
          <v:rect id="_x0000_i1027" o:spt="1" style="height:1.5pt;width:0pt;" coordsize="21600,21600" o:hr="t" o:hrstd="t" o:hralign="center">
            <v:path/>
            <v:fill focussize="0,0"/>
            <v:stroke/>
            <v:imagedata o:title=""/>
            <o:lock v:ext="edit"/>
            <w10:wrap type="none"/>
            <w10:anchorlock/>
          </v:rect>
        </w:pict>
      </w:r>
    </w:p>
    <w:bookmarkEnd w:id="15"/>
    <w:bookmarkEnd w:id="22"/>
    <w:p w14:paraId="0CEA2658">
      <w:pPr>
        <w:pStyle w:val="3"/>
      </w:pPr>
      <w:bookmarkStart w:id="23" w:name="四方案适用性说明"/>
      <w:r>
        <w:rPr>
          <w:rFonts w:hint="eastAsia"/>
        </w:rPr>
        <w:t>四、方案适用性说明</w:t>
      </w:r>
    </w:p>
    <w:p w14:paraId="6108A82B">
      <w:pPr>
        <w:pStyle w:val="4"/>
      </w:pPr>
      <w:bookmarkStart w:id="24" w:name="对采购人研发场景的适用性"/>
      <w:r>
        <w:t xml:space="preserve">4.1 </w:t>
      </w:r>
      <w:r>
        <w:rPr>
          <w:rFonts w:hint="eastAsia"/>
        </w:rPr>
        <w:t>对采购人研发场景的适用性</w:t>
      </w:r>
    </w:p>
    <w:p w14:paraId="61905F68">
      <w:pPr>
        <w:pStyle w:val="70"/>
      </w:pPr>
      <w:r>
        <w:t xml:space="preserve">C </w:t>
      </w:r>
      <w:r>
        <w:rPr>
          <w:rFonts w:hint="eastAsia"/>
        </w:rPr>
        <w:t>包采购的是嵌入国产自研求解器的随机振动算法库，而非端到端商业软件。我方方案在三个层面精确匹配：</w:t>
      </w:r>
    </w:p>
    <w:p w14:paraId="75B1E915">
      <w:pPr>
        <w:pStyle w:val="11"/>
      </w:pPr>
      <w:r>
        <w:rPr>
          <w:rFonts w:hint="eastAsia"/>
        </w:rPr>
        <w:t>（1）</w:t>
      </w:r>
      <w:r>
        <w:rPr>
          <w:rFonts w:hint="eastAsia"/>
          <w:b/>
          <w:bCs/>
        </w:rPr>
        <w:t>形态适配</w:t>
      </w:r>
      <w:r>
        <w:rPr>
          <w:rFonts w:hint="eastAsia"/>
        </w:rPr>
        <w:t>：以随机振动算法库为核心交付物，通过标准支撑接口接收采购人已有的矩阵、模态及求解服务；测试支撑组件可用于脱离</w:t>
      </w:r>
      <w:r>
        <w:t xml:space="preserve"> A、B </w:t>
      </w:r>
      <w:r>
        <w:rPr>
          <w:rFonts w:hint="eastAsia"/>
        </w:rPr>
        <w:t>模块开展独立算例验证；</w:t>
      </w:r>
    </w:p>
    <w:p w14:paraId="5F0E2848">
      <w:pPr>
        <w:pStyle w:val="11"/>
      </w:pPr>
      <w:r>
        <w:rPr>
          <w:rFonts w:hint="eastAsia"/>
        </w:rPr>
        <w:t>（2）</w:t>
      </w:r>
      <w:r>
        <w:rPr>
          <w:rFonts w:hint="eastAsia"/>
          <w:b/>
          <w:bCs/>
        </w:rPr>
        <w:t>代码适配</w:t>
      </w:r>
      <w:r>
        <w:rPr>
          <w:rFonts w:hint="eastAsia"/>
        </w:rPr>
        <w:t>：全部源代码以工程化标准交付（统一规范、完整注释、CMake</w:t>
      </w:r>
      <w:r>
        <w:t xml:space="preserve"> </w:t>
      </w:r>
      <w:r>
        <w:rPr>
          <w:rFonts w:hint="eastAsia"/>
        </w:rPr>
        <w:t>构建、自动化测试），保证采购人接手后可独立编译、修改、扩展，与“知识产权完整移交”的采购本质一致；</w:t>
      </w:r>
    </w:p>
    <w:p w14:paraId="35EB1945">
      <w:pPr>
        <w:pStyle w:val="11"/>
      </w:pPr>
      <w:r>
        <w:rPr>
          <w:rFonts w:hint="eastAsia"/>
        </w:rPr>
        <w:t>（3）</w:t>
      </w:r>
      <w:r>
        <w:rPr>
          <w:rFonts w:hint="eastAsia"/>
          <w:b/>
          <w:bCs/>
        </w:rPr>
        <w:t>生态适配</w:t>
      </w:r>
      <w:r>
        <w:rPr>
          <w:rFonts w:hint="eastAsia"/>
        </w:rPr>
        <w:t>：模型和结果格式采用适配器机制衔接采购人现有前后处理工具链，避免将随机振动算法绑定于单一文件格式，降低对现有建模和数据处理流程的影响。</w:t>
      </w:r>
    </w:p>
    <w:p w14:paraId="59C5E1D4">
      <w:pPr>
        <w:pStyle w:val="11"/>
      </w:pPr>
      <w:r>
        <w:rPr>
          <w:rFonts w:hint="eastAsia"/>
        </w:rPr>
        <w:t>从采购人研发场景看，本项目既要服务求解器软件研制，又要支撑高校科研、工程验证和后续教学示范。算法库形态能够直接嵌入采购人的求解器内核，不要求用户改变既有建模流程；源代码和接口文档完整移交后，采购人可以在本项目基础上继续开发新的谱型、结果后处理或平台适配能力；测试支撑组件则保证在整体求解器尚未全部打通时，C</w:t>
      </w:r>
      <w:r>
        <w:t xml:space="preserve"> </w:t>
      </w:r>
      <w:r>
        <w:rPr>
          <w:rFonts w:hint="eastAsia"/>
        </w:rPr>
        <w:t>包仍有独立演示、调试和验收路径。该适用性比单纯提供可执行程序更符合“国产自研求解器研发”的项目目标。</w:t>
      </w:r>
    </w:p>
    <w:p w14:paraId="1EFADB71">
      <w:pPr>
        <w:pStyle w:val="11"/>
      </w:pPr>
      <w:r>
        <w:rPr>
          <w:rFonts w:hint="eastAsia"/>
        </w:rPr>
        <w:t>同时，C</w:t>
      </w:r>
      <w:r>
        <w:t xml:space="preserve"> </w:t>
      </w:r>
      <w:r>
        <w:rPr>
          <w:rFonts w:hint="eastAsia"/>
        </w:rPr>
        <w:t>包覆盖的随机振动场景具有明确工程指向：设备随机振动鉴定、车辆或装备路面谱响应、航空航天宽频随机载荷、地震响应谱分析等均以谱输入和统计输出为核心。采购人若已有确定性动力响应能力，本方案可以在其上自然叠加统计分析层；采购人若处于分模块研发阶段，本方案也可通过标准算例和模拟求解服务先行验证随机振动算法，避免被整体系统集成进度锁死。</w:t>
      </w:r>
    </w:p>
    <w:bookmarkEnd w:id="24"/>
    <w:p w14:paraId="3DABD75A">
      <w:pPr>
        <w:pStyle w:val="4"/>
      </w:pPr>
      <w:bookmarkStart w:id="25" w:name="与三模块体系的协同适用性"/>
      <w:r>
        <w:t xml:space="preserve">4.2 </w:t>
      </w:r>
      <w:r>
        <w:rPr>
          <w:rFonts w:hint="eastAsia"/>
        </w:rPr>
        <w:t>与三模块体系的协同适用性</w:t>
      </w:r>
    </w:p>
    <w:p w14:paraId="193A54EB">
      <w:pPr>
        <w:pStyle w:val="70"/>
      </w:pPr>
      <w:r>
        <w:rPr>
          <w:rFonts w:hint="eastAsia"/>
        </w:rPr>
        <w:t>采购人</w:t>
      </w:r>
      <w:r>
        <w:t xml:space="preserve"> A、B、C </w:t>
      </w:r>
      <w:r>
        <w:rPr>
          <w:rFonts w:hint="eastAsia"/>
        </w:rPr>
        <w:t>三包的最终目标是一套协同工作的统一国产求解器（三包共享有限元底座、模态与求解数据层层衔接，详见</w:t>
      </w:r>
      <w:r>
        <w:t xml:space="preserve"> </w:t>
      </w:r>
      <w:r>
        <w:rPr>
          <w:rFonts w:hint="eastAsia"/>
        </w:rPr>
        <w:t>1.3）。本</w:t>
      </w:r>
      <w:r>
        <w:t xml:space="preserve"> C </w:t>
      </w:r>
      <w:r>
        <w:rPr>
          <w:rFonts w:hint="eastAsia"/>
        </w:rPr>
        <w:t>包方案在“体系适配”维度具备如下适用性：</w:t>
      </w:r>
    </w:p>
    <w:p w14:paraId="06F4DB79">
      <w:pPr>
        <w:pStyle w:val="11"/>
      </w:pPr>
      <w:r>
        <w:rPr>
          <w:rFonts w:hint="eastAsia"/>
        </w:rPr>
        <w:t>（1）</w:t>
      </w:r>
      <w:r>
        <w:rPr>
          <w:rFonts w:hint="eastAsia"/>
          <w:b/>
          <w:bCs/>
        </w:rPr>
        <w:t>接口前向兼容</w:t>
      </w:r>
      <w:r>
        <w:rPr>
          <w:rFonts w:hint="eastAsia"/>
        </w:rPr>
        <w:t>：C</w:t>
      </w:r>
      <w:r>
        <w:t xml:space="preserve"> </w:t>
      </w:r>
      <w:r>
        <w:rPr>
          <w:rFonts w:hint="eastAsia"/>
        </w:rPr>
        <w:t>模块的模态数据结构、频域/时域求解调用接口按</w:t>
      </w:r>
      <w:r>
        <w:t xml:space="preserve"> A、B </w:t>
      </w:r>
      <w:r>
        <w:rPr>
          <w:rFonts w:hint="eastAsia"/>
        </w:rPr>
        <w:t>包的自然边界定义，并通过版本化接口协议和适配器降低后续模块接入的改造工作量；</w:t>
      </w:r>
    </w:p>
    <w:p w14:paraId="3A8F88E2">
      <w:pPr>
        <w:pStyle w:val="11"/>
      </w:pPr>
      <w:r>
        <w:rPr>
          <w:rFonts w:hint="eastAsia"/>
        </w:rPr>
        <w:t>（2）</w:t>
      </w:r>
      <w:r>
        <w:rPr>
          <w:rFonts w:hint="eastAsia"/>
          <w:b/>
          <w:bCs/>
        </w:rPr>
        <w:t>集成风险可控</w:t>
      </w:r>
      <w:r>
        <w:rPr>
          <w:rFonts w:hint="eastAsia"/>
        </w:rPr>
        <w:t>：C</w:t>
      </w:r>
      <w:r>
        <w:t xml:space="preserve"> </w:t>
      </w:r>
      <w:r>
        <w:rPr>
          <w:rFonts w:hint="eastAsia"/>
        </w:rPr>
        <w:t>模块配套标准算例、基准数据和测试支撑组件，核心算法可在</w:t>
      </w:r>
      <w:r>
        <w:t xml:space="preserve"> A、B </w:t>
      </w:r>
      <w:r>
        <w:rPr>
          <w:rFonts w:hint="eastAsia"/>
        </w:rPr>
        <w:t>模块尚未接入时独立验证；整体集成时再切换至正式求解服务，降低跨包进度和接口变化带来的风险；</w:t>
      </w:r>
    </w:p>
    <w:p w14:paraId="6DB01058">
      <w:pPr>
        <w:pStyle w:val="11"/>
      </w:pPr>
      <w:r>
        <w:rPr>
          <w:rFonts w:hint="eastAsia"/>
        </w:rPr>
        <w:t>（3）</w:t>
      </w:r>
      <w:r>
        <w:rPr>
          <w:rFonts w:hint="eastAsia"/>
          <w:b/>
          <w:bCs/>
        </w:rPr>
        <w:t>演进路径平滑</w:t>
      </w:r>
      <w:r>
        <w:rPr>
          <w:rFonts w:hint="eastAsia"/>
        </w:rPr>
        <w:t>：分层架构使测试支撑组件、A/B</w:t>
      </w:r>
      <w:r>
        <w:t xml:space="preserve"> </w:t>
      </w:r>
      <w:r>
        <w:rPr>
          <w:rFonts w:hint="eastAsia"/>
        </w:rPr>
        <w:t>包模块和采购人自研实现遵循同一服务接口，上层随机振动算法无需因底层求解服务替换而整体重构。</w:t>
      </w:r>
    </w:p>
    <w:p w14:paraId="342F728F">
      <w:pPr>
        <w:pStyle w:val="11"/>
      </w:pPr>
      <w:r>
        <w:rPr>
          <w:rFonts w:hint="eastAsia"/>
        </w:rPr>
        <w:t>这种协同适用性体现在数据链条的连续性上：A</w:t>
      </w:r>
      <w:r>
        <w:t xml:space="preserve"> </w:t>
      </w:r>
      <w:r>
        <w:rPr>
          <w:rFonts w:hint="eastAsia"/>
        </w:rPr>
        <w:t>包输出固有频率、振型、模态质量和阻尼等数据，C</w:t>
      </w:r>
      <w:r>
        <w:t xml:space="preserve"> </w:t>
      </w:r>
      <w:r>
        <w:rPr>
          <w:rFonts w:hint="eastAsia"/>
        </w:rPr>
        <w:t>包可直接用于</w:t>
      </w:r>
      <w:r>
        <w:t xml:space="preserve"> CQC/SRSS </w:t>
      </w:r>
      <w:r>
        <w:rPr>
          <w:rFonts w:hint="eastAsia"/>
        </w:rPr>
        <w:t>功率谱计算和响应谱组合；B</w:t>
      </w:r>
      <w:r>
        <w:t xml:space="preserve"> </w:t>
      </w:r>
      <w:r>
        <w:rPr>
          <w:rFonts w:hint="eastAsia"/>
        </w:rPr>
        <w:t>包输出频率响应或提供时域积分服务，C</w:t>
      </w:r>
      <w:r>
        <w:t xml:space="preserve"> </w:t>
      </w:r>
      <w:r>
        <w:rPr>
          <w:rFonts w:hint="eastAsia"/>
        </w:rPr>
        <w:t>包可直接用于</w:t>
      </w:r>
      <w:r>
        <w:t xml:space="preserve"> PEM </w:t>
      </w:r>
      <w:r>
        <w:rPr>
          <w:rFonts w:hint="eastAsia"/>
        </w:rPr>
        <w:t>和非平稳随机振动计算。C</w:t>
      </w:r>
      <w:r>
        <w:t xml:space="preserve"> </w:t>
      </w:r>
      <w:r>
        <w:rPr>
          <w:rFonts w:hint="eastAsia"/>
        </w:rPr>
        <w:t>包不抢占</w:t>
      </w:r>
      <w:r>
        <w:t xml:space="preserve"> A/B </w:t>
      </w:r>
      <w:r>
        <w:rPr>
          <w:rFonts w:hint="eastAsia"/>
        </w:rPr>
        <w:t>包职责，而是把</w:t>
      </w:r>
      <w:r>
        <w:t xml:space="preserve"> A/B </w:t>
      </w:r>
      <w:r>
        <w:rPr>
          <w:rFonts w:hint="eastAsia"/>
        </w:rPr>
        <w:t>包结果转化为随机响应统计量和工程峰值指标，使三包形成“有限元模型—模态—确定性响应—随机响应”的递进关系。</w:t>
      </w:r>
    </w:p>
    <w:p w14:paraId="5F9F8AD4">
      <w:pPr>
        <w:pStyle w:val="11"/>
      </w:pPr>
      <w:r>
        <w:rPr>
          <w:rFonts w:hint="eastAsia"/>
        </w:rPr>
        <w:t>在项目实施层面，C</w:t>
      </w:r>
      <w:r>
        <w:t xml:space="preserve"> </w:t>
      </w:r>
      <w:r>
        <w:rPr>
          <w:rFonts w:hint="eastAsia"/>
        </w:rPr>
        <w:t>包接口按“正式服务”和“测试服务”双路径设计：正式服务面向采购人统一求解器，测试服务面向独立算例和阶段验收。这样既能适应三包同步推进，也能适应</w:t>
      </w:r>
      <w:r>
        <w:t xml:space="preserve"> A、B </w:t>
      </w:r>
      <w:r>
        <w:rPr>
          <w:rFonts w:hint="eastAsia"/>
        </w:rPr>
        <w:t>包接口晚于</w:t>
      </w:r>
      <w:r>
        <w:t xml:space="preserve"> C </w:t>
      </w:r>
      <w:r>
        <w:rPr>
          <w:rFonts w:hint="eastAsia"/>
        </w:rPr>
        <w:t>包算法成熟的情况。接口固化后，即使底层求解器从测试支撑组件切换为采购人正式实现，上层工况、算法参数、结果后处理和算例报告生成流程仍可保持稳定。</w:t>
      </w:r>
    </w:p>
    <w:bookmarkEnd w:id="25"/>
    <w:p w14:paraId="65F65B8A">
      <w:pPr>
        <w:pStyle w:val="4"/>
      </w:pPr>
      <w:bookmarkStart w:id="26" w:name="工程模型适用性"/>
      <w:r>
        <w:t xml:space="preserve">4.3 </w:t>
      </w:r>
      <w:r>
        <w:rPr>
          <w:rFonts w:hint="eastAsia"/>
        </w:rPr>
        <w:t>工程模型适用性</w:t>
      </w:r>
    </w:p>
    <w:p w14:paraId="098645BF">
      <w:pPr>
        <w:pStyle w:val="70"/>
      </w:pPr>
      <w:r>
        <w:rPr>
          <w:rFonts w:hint="eastAsia"/>
        </w:rPr>
        <w:t>（1）</w:t>
      </w:r>
      <w:r>
        <w:rPr>
          <w:rFonts w:hint="eastAsia"/>
          <w:b/>
          <w:bCs/>
        </w:rPr>
        <w:t>混合网格</w:t>
      </w:r>
      <w:r>
        <w:rPr>
          <w:rFonts w:hint="eastAsia"/>
        </w:rPr>
        <w:t>：模型适配接口覆盖</w:t>
      </w:r>
      <w:r>
        <w:t xml:space="preserve"> ▲1–▲9 </w:t>
      </w:r>
      <w:r>
        <w:rPr>
          <w:rFonts w:hint="eastAsia"/>
        </w:rPr>
        <w:t>所列</w:t>
      </w:r>
      <w:r>
        <w:t xml:space="preserve"> 1D/2D/3D </w:t>
      </w:r>
      <w:r>
        <w:rPr>
          <w:rFonts w:hint="eastAsia"/>
        </w:rPr>
        <w:t>单元、连接、质量、阻尼、材料和约束类型，保持模型数据到矩阵、模态、响应位置、载荷通道及结果恢复数据的映射关系，支持按节点、单元和指定响应分量提取随机振动分析结果；</w:t>
      </w:r>
    </w:p>
    <w:p w14:paraId="0C3A53A2">
      <w:pPr>
        <w:pStyle w:val="11"/>
      </w:pPr>
      <w:r>
        <w:rPr>
          <w:rFonts w:hint="eastAsia"/>
        </w:rPr>
        <w:t>（2）</w:t>
      </w:r>
      <w:r>
        <w:rPr>
          <w:rFonts w:hint="eastAsia"/>
          <w:b/>
          <w:bCs/>
        </w:rPr>
        <w:t>大规模问题</w:t>
      </w:r>
      <w:r>
        <w:rPr>
          <w:rFonts w:hint="eastAsia"/>
        </w:rPr>
        <w:t>：接口支持稀疏矩阵、批量频点、谱矩阵分解及频响/时域服务复用，结合</w:t>
      </w:r>
      <w:r>
        <w:t xml:space="preserve"> PEM </w:t>
      </w:r>
      <w:r>
        <w:rPr>
          <w:rFonts w:hint="eastAsia"/>
        </w:rPr>
        <w:t>减少显式处理大量模态交叉项的开销，支撑工程规模模型的随机振动分析；</w:t>
      </w:r>
    </w:p>
    <w:p w14:paraId="1DF7CF76">
      <w:pPr>
        <w:pStyle w:val="11"/>
      </w:pPr>
      <w:r>
        <w:rPr>
          <w:rFonts w:hint="eastAsia"/>
        </w:rPr>
        <w:t>（3）</w:t>
      </w:r>
      <w:r>
        <w:rPr>
          <w:rFonts w:hint="eastAsia"/>
          <w:b/>
          <w:bCs/>
        </w:rPr>
        <w:t>复杂激励</w:t>
      </w:r>
      <w:r>
        <w:rPr>
          <w:rFonts w:hint="eastAsia"/>
        </w:rPr>
        <w:t>：支持单点/多点激励、多支座反应谱及经</w:t>
      </w:r>
      <w:r>
        <w:t xml:space="preserve"> SPCD </w:t>
      </w:r>
      <w:r>
        <w:rPr>
          <w:rFonts w:hint="eastAsia"/>
        </w:rPr>
        <w:t>或等效通道输入的基础运动随机激励；PEM</w:t>
      </w:r>
      <w:r>
        <w:t xml:space="preserve"> </w:t>
      </w:r>
      <w:r>
        <w:rPr>
          <w:rFonts w:hint="eastAsia"/>
        </w:rPr>
        <w:t>通过输入谱矩阵分解保留多点激励的相关信息；</w:t>
      </w:r>
    </w:p>
    <w:p w14:paraId="2AD49714">
      <w:pPr>
        <w:pStyle w:val="11"/>
      </w:pPr>
      <w:r>
        <w:rPr>
          <w:rFonts w:hint="eastAsia"/>
        </w:rPr>
        <w:t>（4）</w:t>
      </w:r>
      <w:r>
        <w:rPr>
          <w:rFonts w:hint="eastAsia"/>
          <w:b/>
          <w:bCs/>
        </w:rPr>
        <w:t>平稳与非平稳分析贯通</w:t>
      </w:r>
      <w:r>
        <w:rPr>
          <w:rFonts w:hint="eastAsia"/>
        </w:rPr>
        <w:t>：在相应适用假设下，以一套模块实现频域平稳分析（功率谱/RMS）和时域非平稳分析（时变</w:t>
      </w:r>
      <w:r>
        <w:t xml:space="preserve"> </w:t>
      </w:r>
      <w:r>
        <w:rPr>
          <w:rFonts w:hint="eastAsia"/>
        </w:rPr>
        <w:t>RMS/概率密度），覆盖招标文件要求的两类随机振动分析功能。</w:t>
      </w:r>
    </w:p>
    <w:p w14:paraId="6C2AEE3E">
      <w:pPr>
        <w:pStyle w:val="11"/>
      </w:pPr>
      <w:r>
        <w:rPr>
          <w:rFonts w:hint="eastAsia"/>
        </w:rPr>
        <w:t>工程模型适用性的关键不在于</w:t>
      </w:r>
      <w:r>
        <w:t xml:space="preserve"> C </w:t>
      </w:r>
      <w:r>
        <w:rPr>
          <w:rFonts w:hint="eastAsia"/>
        </w:rPr>
        <w:t>包重新定义所有单元，而在于其能够继承上游有限元模型形成的矩阵、模态、约束和结果恢复关系。对于杆梁结构，随机振动结果可恢复为轴力、剪力、弯矩或应力</w:t>
      </w:r>
      <w:r>
        <w:t xml:space="preserve"> </w:t>
      </w:r>
      <w:r>
        <w:rPr>
          <w:rFonts w:hint="eastAsia"/>
        </w:rPr>
        <w:t>RMS；对于壳和实体结构，可输出节点响应以及单元应力、等效应力等统计量；对于连接件、集中质量和阻尼单元，可保留其对动力特性的影响，并在需要时输出连接响应或局部响应指标。</w:t>
      </w:r>
    </w:p>
    <w:p w14:paraId="3D6CF403">
      <w:pPr>
        <w:pStyle w:val="11"/>
      </w:pPr>
      <w:r>
        <w:rPr>
          <w:rFonts w:hint="eastAsia"/>
        </w:rPr>
        <w:t>对于工程规模模型，本方案采用“按需响应集合</w:t>
      </w:r>
      <w:r>
        <w:t xml:space="preserve"> + </w:t>
      </w:r>
      <w:r>
        <w:rPr>
          <w:rFonts w:hint="eastAsia"/>
        </w:rPr>
        <w:t>分块频率/时间计算</w:t>
      </w:r>
      <w:r>
        <w:t xml:space="preserve"> + </w:t>
      </w:r>
      <w:r>
        <w:rPr>
          <w:rFonts w:hint="eastAsia"/>
        </w:rPr>
        <w:t>稀疏数据接口”的组织方式，避免强制形成全自由度全频率结果矩阵。用户可指定关键节点、关键单元、连接部位、支座或传感器位置作为输出集合，模块只对这些响应量进行功率谱、RMS、时变统计量或响应谱峰值恢复。该方式适合大型结构的工程验收和设计迭代，也有利于算例报告聚焦关键指标。</w:t>
      </w:r>
    </w:p>
    <w:p w14:paraId="1291DD6E">
      <w:pPr>
        <w:pStyle w:val="11"/>
      </w:pPr>
      <w:r>
        <w:rPr>
          <w:rFonts w:hint="eastAsia"/>
        </w:rPr>
        <w:t>对于复杂激励，本方案既支持载荷功率谱，也支持基础运动或多支座输入。平稳随机分析中，输入谱矩阵可以描述多输入通道之间的相关性；非平稳随机分析中，调制函数和演变谱可描述强度随时间变化的载荷；响应谱分析中，单点与多点激励可以按支座分组和方向组织。上述能力覆盖随机振动鉴定、地震响应谱分析和具有多个激励位置的装备结构分析等典型场景。</w:t>
      </w:r>
    </w:p>
    <w:bookmarkEnd w:id="26"/>
    <w:p w14:paraId="6C3F2F3F">
      <w:pPr>
        <w:pStyle w:val="4"/>
      </w:pPr>
      <w:bookmarkStart w:id="27" w:name="平台与环境适用性"/>
      <w:r>
        <w:t xml:space="preserve">4.4 </w:t>
      </w:r>
      <w:r>
        <w:rPr>
          <w:rFonts w:hint="eastAsia"/>
        </w:rPr>
        <w:t>平台与环境适用性</w:t>
      </w:r>
    </w:p>
    <w:p w14:paraId="5489BFDC">
      <w:pPr>
        <w:pStyle w:val="70"/>
      </w:pPr>
      <w:r>
        <w:rPr>
          <w:rFonts w:hint="eastAsia"/>
        </w:rPr>
        <w:t>（1）标准</w:t>
      </w:r>
      <w:r>
        <w:t xml:space="preserve"> C/C++ </w:t>
      </w:r>
      <w:r>
        <w:rPr>
          <w:rFonts w:hint="eastAsia"/>
        </w:rPr>
        <w:t>实现，不依赖特定指令集与商业运行时，支持</w:t>
      </w:r>
      <w:r>
        <w:t xml:space="preserve"> Linux/Windows </w:t>
      </w:r>
      <w:r>
        <w:rPr>
          <w:rFonts w:hint="eastAsia"/>
        </w:rPr>
        <w:t>及国产软硬件平台（国产</w:t>
      </w:r>
      <w:r>
        <w:t xml:space="preserve"> CPU + </w:t>
      </w:r>
      <w:r>
        <w:rPr>
          <w:rFonts w:hint="eastAsia"/>
        </w:rPr>
        <w:t>国产操作系统）编译运行，满足“非进口产品”与自主可控要求；</w:t>
      </w:r>
    </w:p>
    <w:p w14:paraId="42636E74">
      <w:pPr>
        <w:pStyle w:val="11"/>
      </w:pPr>
      <w:r>
        <w:rPr>
          <w:rFonts w:hint="eastAsia"/>
        </w:rPr>
        <w:t>（2）采用</w:t>
      </w:r>
      <w:r>
        <w:t xml:space="preserve"> CMake </w:t>
      </w:r>
      <w:r>
        <w:rPr>
          <w:rFonts w:hint="eastAsia"/>
        </w:rPr>
        <w:t>构建系统，并通过持续集成和目标平台编译测试验证交叉编译与平台移植路径；</w:t>
      </w:r>
    </w:p>
    <w:p w14:paraId="690E5FBA">
      <w:pPr>
        <w:pStyle w:val="11"/>
      </w:pPr>
      <w:r>
        <w:rPr>
          <w:rFonts w:hint="eastAsia"/>
        </w:rPr>
        <w:t>（3）Python</w:t>
      </w:r>
      <w:r>
        <w:t xml:space="preserve"> </w:t>
      </w:r>
      <w:r>
        <w:rPr>
          <w:rFonts w:hint="eastAsia"/>
        </w:rPr>
        <w:t>绑定便于采购人科研人员快速验证算法与二次开发，匹配高校“研发</w:t>
      </w:r>
      <w:r>
        <w:t xml:space="preserve"> + </w:t>
      </w:r>
      <w:r>
        <w:rPr>
          <w:rFonts w:hint="eastAsia"/>
        </w:rPr>
        <w:t>教学</w:t>
      </w:r>
      <w:r>
        <w:t xml:space="preserve"> + </w:t>
      </w:r>
      <w:r>
        <w:rPr>
          <w:rFonts w:hint="eastAsia"/>
        </w:rPr>
        <w:t>工程服务”的多重场景。</w:t>
      </w:r>
    </w:p>
    <w:p w14:paraId="0F3CEEDD">
      <w:pPr>
        <w:pStyle w:val="11"/>
      </w:pPr>
      <w:r>
        <w:rPr>
          <w:rFonts w:hint="eastAsia"/>
        </w:rPr>
        <w:t>平台适用性服务于“源代码可接管”的交付要求。核心算法以标准</w:t>
      </w:r>
      <w:r>
        <w:t xml:space="preserve"> C/C++ </w:t>
      </w:r>
      <w:r>
        <w:rPr>
          <w:rFonts w:hint="eastAsia"/>
        </w:rPr>
        <w:t>组织，构建系统、依赖版本和编译选项随源码一并交付，便于采购人在不同编译器、操作系统和硬件平台上复现构建过程。对国产软硬件环境，重点验证编译链兼容性、数值库链接、文件路径与编码、浮点结果容差和批量算例运行稳定性，而不是依赖某一特定商业运行时。</w:t>
      </w:r>
    </w:p>
    <w:p w14:paraId="12AF08CC">
      <w:pPr>
        <w:pStyle w:val="11"/>
      </w:pPr>
      <w:r>
        <w:t xml:space="preserve">Python </w:t>
      </w:r>
      <w:r>
        <w:rPr>
          <w:rFonts w:hint="eastAsia"/>
        </w:rPr>
        <w:t>绑定定位为算法验证和科研扩展入口，不替代</w:t>
      </w:r>
      <w:r>
        <w:t xml:space="preserve"> C/C++ </w:t>
      </w:r>
      <w:r>
        <w:rPr>
          <w:rFonts w:hint="eastAsia"/>
        </w:rPr>
        <w:t>核心接口。采购人研发人员可利用</w:t>
      </w:r>
      <w:r>
        <w:t xml:space="preserve"> Python </w:t>
      </w:r>
      <w:r>
        <w:rPr>
          <w:rFonts w:hint="eastAsia"/>
        </w:rPr>
        <w:t>快速构造输入谱、绘制功率谱/RMS</w:t>
      </w:r>
      <w:r>
        <w:t xml:space="preserve"> </w:t>
      </w:r>
      <w:r>
        <w:rPr>
          <w:rFonts w:hint="eastAsia"/>
        </w:rPr>
        <w:t>曲线、检查概率密度或组织教学算例；工程集成仍以稳定的</w:t>
      </w:r>
      <w:r>
        <w:t xml:space="preserve"> C/C++ </w:t>
      </w:r>
      <w:r>
        <w:rPr>
          <w:rFonts w:hint="eastAsia"/>
        </w:rPr>
        <w:t>库接口为主。这样的双接口形态兼顾求解器内核集成和高校科研验证效率。</w:t>
      </w:r>
    </w:p>
    <w:p w14:paraId="57AF4AD3">
      <w:pPr>
        <w:pStyle w:val="11"/>
      </w:pPr>
      <w:r>
        <w:rPr>
          <w:rFonts w:hint="eastAsia"/>
        </w:rPr>
        <w:t>在部署形态上，模块可作为静态库或动态库接入采购人框架，也可通过测试驱动程序运行标准算例。交付包中配套构建脚本、示例工程、测试数据和文档，确保采购人在无供应商私有环境的情况下完成编译、运行和二次开发。</w:t>
      </w:r>
    </w:p>
    <w:bookmarkEnd w:id="27"/>
    <w:p w14:paraId="0F3520C1">
      <w:pPr>
        <w:pStyle w:val="4"/>
      </w:pPr>
      <w:bookmarkStart w:id="28" w:name="验收与可验证性适用性"/>
      <w:r>
        <w:t xml:space="preserve">4.5 </w:t>
      </w:r>
      <w:r>
        <w:rPr>
          <w:rFonts w:hint="eastAsia"/>
        </w:rPr>
        <w:t>验收与可验证性适用性</w:t>
      </w:r>
    </w:p>
    <w:p w14:paraId="7BA57940">
      <w:pPr>
        <w:pStyle w:val="70"/>
      </w:pPr>
      <w:r>
        <w:rPr>
          <w:rFonts w:hint="eastAsia"/>
        </w:rPr>
        <w:t>招标文件明确要求算例测试报告的</w:t>
      </w:r>
      <w:r>
        <w:t xml:space="preserve"> ▲ </w:t>
      </w:r>
      <w:r>
        <w:rPr>
          <w:rFonts w:hint="eastAsia"/>
        </w:rPr>
        <w:t>条款，其标准算例同时作为验收测试用例；其他算法功能亦纳入内部回归测试集。验收时可在采购人环境下复跑相应算例，通过预先约定的误差指标和通过准则评价结果，使“检验试验根据招标文件项目需求及国家有关标准进行验收”具备可操作依据。</w:t>
      </w:r>
    </w:p>
    <w:p w14:paraId="06394776">
      <w:pPr>
        <w:pStyle w:val="11"/>
      </w:pPr>
      <w:r>
        <w:rPr>
          <w:rFonts w:hint="eastAsia"/>
        </w:rPr>
        <w:t>本方案的验收适用性体现在“可复跑、可比对、可追溯”。可复跑是指交付的算例输入、脚本、参数文件和基准结果能够在采购人环境下重新执行；可比对是指每个需要算例测试报告的</w:t>
      </w:r>
      <w:r>
        <w:t xml:space="preserve"> ▲ </w:t>
      </w:r>
      <w:r>
        <w:rPr>
          <w:rFonts w:hint="eastAsia"/>
        </w:rPr>
        <w:t>条款均对应明确的结果量，如功率谱峰值、RMS、时变</w:t>
      </w:r>
      <w:r>
        <w:t xml:space="preserve"> </w:t>
      </w:r>
      <w:r>
        <w:rPr>
          <w:rFonts w:hint="eastAsia"/>
        </w:rPr>
        <w:t>RMS、概率密度、响应谱组合峰值等；可追溯是指报告中保留模型版本、频率/时间网格、模态截断、谱归一化、算法参数和误差指标，便于定位差异来源。</w:t>
      </w:r>
    </w:p>
    <w:p w14:paraId="01D4D664">
      <w:pPr>
        <w:pStyle w:val="11"/>
      </w:pPr>
      <w:r>
        <w:rPr>
          <w:rFonts w:hint="eastAsia"/>
        </w:rPr>
        <w:t>验收算例可按三类组织：第一类为解析或半解析算例，用于验证公式和数值积分；第二类为多自由度基准算例，用于验证模态叠加、PEM、非平稳时域虚拟激励和响应谱组合；第三类为工程规模算例，用于验证混合网格、多点激励、结果恢复和批量计算能力。三类算例由浅入深，既能支撑条款验收，也能帮助采购人后续建立回归测试库。</w:t>
      </w:r>
    </w:p>
    <w:p w14:paraId="0BCFA2B2">
      <w:pPr>
        <w:pStyle w:val="11"/>
      </w:pPr>
      <w:r>
        <w:rPr>
          <w:rFonts w:hint="eastAsia"/>
        </w:rPr>
        <w:t>对于涉及标准谱型的场景，模块可对接常见随机振动试验或工程谱输入形式，如宽带随机振动功率谱、调制随机过程、地震反应谱和多支座输入谱。模块提供相应谱型的数据接口、单位说明和结果输出方式，便于采购人开展试验设计、仿真结果比对和工程验收；同时，本模块定位为结构随机振动分析算法库，不逐字实现各试验标准的试验台控制、夹具规范或完整试验流程。</w:t>
      </w:r>
    </w:p>
    <w:bookmarkEnd w:id="23"/>
    <w:bookmarkEnd w:id="28"/>
    <w:p w14:paraId="698459C1">
      <w:pPr>
        <w:pStyle w:val="3"/>
      </w:pPr>
      <w:bookmarkStart w:id="29" w:name="五技术先进性说明"/>
      <w:r>
        <w:rPr>
          <w:rFonts w:hint="eastAsia"/>
        </w:rPr>
        <w:t>五、技术先进性说明</w:t>
      </w:r>
    </w:p>
    <w:p w14:paraId="0E909F87">
      <w:pPr>
        <w:pStyle w:val="4"/>
      </w:pPr>
      <w:bookmarkStart w:id="30" w:name="算法体系的先进性"/>
      <w:r>
        <w:t xml:space="preserve">5.1 </w:t>
      </w:r>
      <w:r>
        <w:rPr>
          <w:rFonts w:hint="eastAsia"/>
        </w:rPr>
        <w:t>算法体系的先进性</w:t>
      </w:r>
    </w:p>
    <w:p w14:paraId="0B4E5113">
      <w:pPr>
        <w:pStyle w:val="70"/>
      </w:pPr>
      <w:r>
        <w:rPr>
          <w:rFonts w:hint="eastAsia"/>
          <w:b/>
          <w:bCs/>
        </w:rPr>
        <w:t>（1）虚拟激励法（PEM）——</w:t>
      </w:r>
      <w:r>
        <w:rPr>
          <w:b/>
          <w:bCs/>
        </w:rPr>
        <w:t xml:space="preserve"> </w:t>
      </w:r>
      <w:r>
        <w:rPr>
          <w:rFonts w:hint="eastAsia"/>
          <w:b/>
          <w:bCs/>
        </w:rPr>
        <w:t>随机振动的高效算法。</w:t>
      </w:r>
      <w:r>
        <w:t xml:space="preserve"> PEM </w:t>
      </w:r>
      <w:r>
        <w:rPr>
          <w:rFonts w:hint="eastAsia"/>
        </w:rPr>
        <w:t>通过谱分解将随机响应谱计算转化为确定性简谐计算序列</w:t>
      </w:r>
      <w:r>
        <w:t xml:space="preserve"> </w:t>
      </w:r>
      <w:r>
        <w:rPr>
          <w:rFonts w:hint="eastAsia"/>
        </w:rPr>
        <w:t>[1–3]，能够在输入谱分解中保留多点激励的相关信息。本方案以</w:t>
      </w:r>
      <w:r>
        <w:t xml:space="preserve"> PEM </w:t>
      </w:r>
      <w:r>
        <w:rPr>
          <w:rFonts w:hint="eastAsia"/>
        </w:rPr>
        <w:t>作为功率谱分析的重要核心算法，并采用时域虚拟激励与逐步积分相结合的技术路线处理非平稳随机振动问题。相关算法按照“数学模型明确、接口边界清晰、标准算例验证、工程算例复核”的方式实施。</w:t>
      </w:r>
    </w:p>
    <w:p w14:paraId="7D050C51">
      <w:pPr>
        <w:pStyle w:val="11"/>
      </w:pPr>
      <w:r>
        <w:t xml:space="preserve">PEM </w:t>
      </w:r>
      <w:r>
        <w:rPr>
          <w:rFonts w:hint="eastAsia"/>
        </w:rPr>
        <w:t>的先进性不只是“计算快”，更在于其数学变换方式适合工程软件实现：输入功率谱矩阵经</w:t>
      </w:r>
      <w:r>
        <w:t xml:space="preserve"> Hermitian </w:t>
      </w:r>
      <w:r>
        <w:rPr>
          <w:rFonts w:hint="eastAsia"/>
        </w:rPr>
        <w:t>半正定分解后，每个谱分量都可转化为确定性虚拟激励，继而复用已有频率响应求解器。这使</w:t>
      </w:r>
      <w:r>
        <w:t xml:space="preserve"> C </w:t>
      </w:r>
      <w:r>
        <w:rPr>
          <w:rFonts w:hint="eastAsia"/>
        </w:rPr>
        <w:t>包能够把随机振动算法建立在</w:t>
      </w:r>
      <w:r>
        <w:t xml:space="preserve"> B </w:t>
      </w:r>
      <w:r>
        <w:rPr>
          <w:rFonts w:hint="eastAsia"/>
        </w:rPr>
        <w:t>包频响能力之上，既保留多输入相关性，又避免显式展开大量模态交叉项。对于多点相关激励、低秩谱矩阵和大批量频点分析，PEM</w:t>
      </w:r>
      <w:r>
        <w:t xml:space="preserve"> </w:t>
      </w:r>
      <w:r>
        <w:rPr>
          <w:rFonts w:hint="eastAsia"/>
        </w:rPr>
        <w:t>尤其有利于降低计算组织复杂度。</w:t>
      </w:r>
    </w:p>
    <w:p w14:paraId="5BBC261E">
      <w:pPr>
        <w:pStyle w:val="11"/>
      </w:pPr>
      <w:r>
        <w:rPr>
          <w:rFonts w:hint="eastAsia"/>
          <w:b/>
          <w:bCs/>
        </w:rPr>
        <w:t>（2）功率谱算法体系覆盖不同适用场景。</w:t>
      </w:r>
      <w:r>
        <w:t xml:space="preserve"> CQC </w:t>
      </w:r>
      <w:r>
        <w:rPr>
          <w:rFonts w:hint="eastAsia"/>
        </w:rPr>
        <w:t>用于考虑模态交叉相关影响，SRSS</w:t>
      </w:r>
      <w:r>
        <w:t xml:space="preserve"> </w:t>
      </w:r>
      <w:r>
        <w:rPr>
          <w:rFonts w:hint="eastAsia"/>
        </w:rPr>
        <w:t>适用于模态响应相关性较弱的情形，PEM</w:t>
      </w:r>
      <w:r>
        <w:t xml:space="preserve"> </w:t>
      </w:r>
      <w:r>
        <w:rPr>
          <w:rFonts w:hint="eastAsia"/>
        </w:rPr>
        <w:t>适用于通过确定性频响计算处理单点或多点相关激励；三种方法可在适用条件重叠的算例中开展交叉校核</w:t>
      </w:r>
      <w:r>
        <w:t xml:space="preserve"> [1–5]。</w:t>
      </w:r>
    </w:p>
    <w:p w14:paraId="4E870B1A">
      <w:pPr>
        <w:pStyle w:val="11"/>
      </w:pPr>
      <w:r>
        <w:rPr>
          <w:rFonts w:hint="eastAsia"/>
        </w:rPr>
        <w:t>三种功率谱算法构成“快速估计—相关修正—确定性等价”的完整谱系。SRSS</w:t>
      </w:r>
      <w:r>
        <w:t xml:space="preserve"> </w:t>
      </w:r>
      <w:r>
        <w:rPr>
          <w:rFonts w:hint="eastAsia"/>
        </w:rPr>
        <w:t>提供频率分离良好场景下的高效模态叠加；CQC</w:t>
      </w:r>
      <w:r>
        <w:t xml:space="preserve"> </w:t>
      </w:r>
      <w:r>
        <w:rPr>
          <w:rFonts w:hint="eastAsia"/>
        </w:rPr>
        <w:t>在密集模态或相关性较强时保留交叉项；PEM</w:t>
      </w:r>
      <w:r>
        <w:t xml:space="preserve"> </w:t>
      </w:r>
      <w:r>
        <w:rPr>
          <w:rFonts w:hint="eastAsia"/>
        </w:rPr>
        <w:t>则从输入谱矩阵分解出发，直接复用频响求解能力。三者并列实现不仅满足招标条款，也为工程应用提供方法选择和相互校核机制，减少单一算法适用条件不清带来的风险。</w:t>
      </w:r>
    </w:p>
    <w:p w14:paraId="6DC26D98">
      <w:pPr>
        <w:pStyle w:val="11"/>
      </w:pPr>
      <w:r>
        <w:rPr>
          <w:rFonts w:hint="eastAsia"/>
          <w:b/>
          <w:bCs/>
        </w:rPr>
        <w:t>（3）响应谱叠加方法类型完整。</w:t>
      </w:r>
      <w:r>
        <w:t xml:space="preserve"> SRSS、NRL、GRP、CQC </w:t>
      </w:r>
      <w:r>
        <w:rPr>
          <w:rFonts w:hint="eastAsia"/>
        </w:rPr>
        <w:t>四种组合方法分别提供忽略模态相关、保守组合、密频分组和相关系数组合等不同处理路径；具体适用范围、分组准则和相关系数按照项目选定规范及分析假设配置</w:t>
      </w:r>
      <w:r>
        <w:t xml:space="preserve"> [4–6,11]。</w:t>
      </w:r>
    </w:p>
    <w:p w14:paraId="215C1DA2">
      <w:pPr>
        <w:pStyle w:val="11"/>
      </w:pPr>
      <w:r>
        <w:rPr>
          <w:rFonts w:hint="eastAsia"/>
        </w:rPr>
        <w:t>响应谱分析面向工程峰值估计，其先进性体现在方法体系完整和适用条件可配置。SRSS</w:t>
      </w:r>
      <w:r>
        <w:t xml:space="preserve"> </w:t>
      </w:r>
      <w:r>
        <w:rPr>
          <w:rFonts w:hint="eastAsia"/>
        </w:rPr>
        <w:t>适合模态频率分离良好的情况，NRL</w:t>
      </w:r>
      <w:r>
        <w:t xml:space="preserve"> </w:t>
      </w:r>
      <w:r>
        <w:rPr>
          <w:rFonts w:hint="eastAsia"/>
        </w:rPr>
        <w:t>提供偏保守工程估计，GRP</w:t>
      </w:r>
      <w:r>
        <w:t xml:space="preserve"> </w:t>
      </w:r>
      <w:r>
        <w:rPr>
          <w:rFonts w:hint="eastAsia"/>
        </w:rPr>
        <w:t>面向密集模态分组处理，CQC</w:t>
      </w:r>
      <w:r>
        <w:t xml:space="preserve"> </w:t>
      </w:r>
      <w:r>
        <w:rPr>
          <w:rFonts w:hint="eastAsia"/>
        </w:rPr>
        <w:t>通过相关系数考虑模态相关性。模块将四种方法统一到同一模态贡献表和结果恢复流程下，使用户能够在同一模型、同一反应谱输入上比较不同组合规则，支撑抗震、抗冲击和设备鉴定等不同工程口径。</w:t>
      </w:r>
    </w:p>
    <w:p w14:paraId="6F6016B7">
      <w:pPr>
        <w:pStyle w:val="11"/>
      </w:pPr>
      <w:r>
        <w:rPr>
          <w:rFonts w:hint="eastAsia"/>
          <w:b/>
          <w:bCs/>
        </w:rPr>
        <w:t>（4）非平稳随机振动的工程化技术路线。</w:t>
      </w:r>
      <w:r>
        <w:t xml:space="preserve"> </w:t>
      </w:r>
      <w:r>
        <w:rPr>
          <w:rFonts w:hint="eastAsia"/>
        </w:rPr>
        <w:t>采用演变功率谱、时域虚拟激励与逐步积分相结合的方案</w:t>
      </w:r>
      <w:r>
        <w:t xml:space="preserve"> </w:t>
      </w:r>
      <w:r>
        <w:rPr>
          <w:rFonts w:hint="eastAsia"/>
        </w:rPr>
        <w:t>[3,10]，面向时变均方根和响应概率密度等招标指标开展实现与算例验证。</w:t>
      </w:r>
    </w:p>
    <w:p w14:paraId="483888C5">
      <w:pPr>
        <w:pStyle w:val="11"/>
      </w:pPr>
      <w:r>
        <w:rPr>
          <w:rFonts w:hint="eastAsia"/>
        </w:rPr>
        <w:t>非平稳随机振动的难点在于响应统计量随绝对时间变化，不能简单沿用平稳频域公式。本方案采用演变功率谱描述时变频率含量，并通过时域虚拟激励保留结构瞬态记忆效应，能够给出时变</w:t>
      </w:r>
      <w:r>
        <w:t xml:space="preserve"> RMS </w:t>
      </w:r>
      <w:r>
        <w:rPr>
          <w:rFonts w:hint="eastAsia"/>
        </w:rPr>
        <w:t>和固定时刻概率密度等工程上关心的统计量。该路线兼具理论依据和工程可实现性：谱分解仍可复用</w:t>
      </w:r>
      <w:r>
        <w:t xml:space="preserve"> PEM </w:t>
      </w:r>
      <w:r>
        <w:rPr>
          <w:rFonts w:hint="eastAsia"/>
        </w:rPr>
        <w:t>思想，时域响应则通过标准积分服务完成，便于与</w:t>
      </w:r>
      <w:r>
        <w:t xml:space="preserve"> B </w:t>
      </w:r>
      <w:r>
        <w:rPr>
          <w:rFonts w:hint="eastAsia"/>
        </w:rPr>
        <w:t>包能力衔接。</w:t>
      </w:r>
    </w:p>
    <w:p w14:paraId="67096D58">
      <w:pPr>
        <w:pStyle w:val="11"/>
      </w:pPr>
      <w:r>
        <w:rPr>
          <w:rFonts w:hint="eastAsia"/>
          <w:b/>
          <w:bCs/>
        </w:rPr>
        <w:t>（5）支撑接口具有开放性。</w:t>
      </w:r>
      <w:r>
        <w:t xml:space="preserve"> </w:t>
      </w:r>
      <w:r>
        <w:rPr>
          <w:rFonts w:hint="eastAsia"/>
        </w:rPr>
        <w:t>模态、频率响应和时域积分能力均通过标准服务接口调用，可接入采购人现有求解器、A/B</w:t>
      </w:r>
      <w:r>
        <w:t xml:space="preserve"> </w:t>
      </w:r>
      <w:r>
        <w:rPr>
          <w:rFonts w:hint="eastAsia"/>
        </w:rPr>
        <w:t>包模块或测试支撑组件，使随机振动算法与具体底层求解实现解耦，便于后续替换、扩展和性能优化。</w:t>
      </w:r>
    </w:p>
    <w:p w14:paraId="56E12B12">
      <w:pPr>
        <w:pStyle w:val="11"/>
      </w:pPr>
      <w:r>
        <w:rPr>
          <w:rFonts w:hint="eastAsia"/>
        </w:rPr>
        <w:t>这种开放性使算法先进性能够真正落到采购人自研框架中。C</w:t>
      </w:r>
      <w:r>
        <w:t xml:space="preserve"> </w:t>
      </w:r>
      <w:r>
        <w:rPr>
          <w:rFonts w:hint="eastAsia"/>
        </w:rPr>
        <w:t>包不把</w:t>
      </w:r>
      <w:r>
        <w:t xml:space="preserve"> </w:t>
      </w:r>
      <w:r>
        <w:rPr>
          <w:rFonts w:hint="eastAsia"/>
        </w:rPr>
        <w:t>PEM、CQC、响应谱组合等算法绑定到某一种矩阵格式、某一个频响求解器或某一种前后处理文件，而是通过标准数据协议和服务接口接入上游能力。随着采购人</w:t>
      </w:r>
      <w:r>
        <w:t xml:space="preserve"> A/B </w:t>
      </w:r>
      <w:r>
        <w:rPr>
          <w:rFonts w:hint="eastAsia"/>
        </w:rPr>
        <w:t>包成熟或既有求解器升级，C</w:t>
      </w:r>
      <w:r>
        <w:t xml:space="preserve"> </w:t>
      </w:r>
      <w:r>
        <w:rPr>
          <w:rFonts w:hint="eastAsia"/>
        </w:rPr>
        <w:t>包算法层可以保持稳定，底层求解服务可逐步替换和优化。</w:t>
      </w:r>
    </w:p>
    <w:bookmarkEnd w:id="30"/>
    <w:p w14:paraId="5092B293">
      <w:pPr>
        <w:pStyle w:val="4"/>
      </w:pPr>
      <w:bookmarkStart w:id="31" w:name="软件架构的先进性"/>
      <w:r>
        <w:t xml:space="preserve">5.2 </w:t>
      </w:r>
      <w:r>
        <w:rPr>
          <w:rFonts w:hint="eastAsia"/>
        </w:rPr>
        <w:t>软件架构的先进性</w:t>
      </w:r>
    </w:p>
    <w:p w14:paraId="2365862F">
      <w:pPr>
        <w:pStyle w:val="70"/>
      </w:pPr>
      <w:r>
        <w:rPr>
          <w:rFonts w:hint="eastAsia"/>
        </w:rPr>
        <w:t>（1）</w:t>
      </w:r>
      <w:r>
        <w:rPr>
          <w:rFonts w:hint="eastAsia"/>
          <w:b/>
          <w:bCs/>
        </w:rPr>
        <w:t>分层解耦</w:t>
      </w:r>
      <w:r>
        <w:rPr>
          <w:rFonts w:hint="eastAsia"/>
        </w:rPr>
        <w:t>：数据协议、模型适配、求解服务接口和随机振动算法四层边界清晰，算法与底层模型、模态及动力响应求解实现解耦，便于独立替换和升级；</w:t>
      </w:r>
    </w:p>
    <w:p w14:paraId="06CAA850">
      <w:pPr>
        <w:pStyle w:val="11"/>
      </w:pPr>
      <w:r>
        <w:rPr>
          <w:rFonts w:hint="eastAsia"/>
        </w:rPr>
        <w:t>（2）</w:t>
      </w:r>
      <w:r>
        <w:rPr>
          <w:rFonts w:hint="eastAsia"/>
          <w:b/>
          <w:bCs/>
        </w:rPr>
        <w:t>模态数据枢纽</w:t>
      </w:r>
      <w:r>
        <w:rPr>
          <w:rFonts w:hint="eastAsia"/>
        </w:rPr>
        <w:t>：CQC/SRSS/响应谱共享标准化模态数据，可复用</w:t>
      </w:r>
      <w:r>
        <w:t xml:space="preserve"> A </w:t>
      </w:r>
      <w:r>
        <w:rPr>
          <w:rFonts w:hint="eastAsia"/>
        </w:rPr>
        <w:t>包或采购人已有模态结果，减少重复计算并保证不同分析之间的数据一致性；</w:t>
      </w:r>
    </w:p>
    <w:p w14:paraId="2E236276">
      <w:pPr>
        <w:pStyle w:val="11"/>
      </w:pPr>
      <w:r>
        <w:rPr>
          <w:rFonts w:hint="eastAsia"/>
        </w:rPr>
        <w:t>（3）</w:t>
      </w:r>
      <w:r>
        <w:rPr>
          <w:rFonts w:hint="eastAsia"/>
          <w:b/>
          <w:bCs/>
        </w:rPr>
        <w:t>自动化质量体系</w:t>
      </w:r>
      <w:r>
        <w:rPr>
          <w:rFonts w:hint="eastAsia"/>
        </w:rPr>
        <w:t>：全部算例纳入回归测试、文档与代码同步交付，按可持续维护的工业软件标准建设，与“源代码移交后由采购人长期演进”的项目定位匹配。</w:t>
      </w:r>
    </w:p>
    <w:p w14:paraId="40729DE4">
      <w:pPr>
        <w:pStyle w:val="11"/>
      </w:pPr>
      <w:r>
        <w:rPr>
          <w:rFonts w:hint="eastAsia"/>
        </w:rPr>
        <w:t>在架构先进性上，本方案强调“算法层稳定、支撑层可替换、数据层可追溯”。数据协议层负责统一矩阵、模态、谱输入、反应谱、响应位置和结果格式；模型适配层负责将上游有限元数据转化为随机振动分析可用的自由度映射和结果恢复关系；求解服务接口层屏蔽</w:t>
      </w:r>
      <w:r>
        <w:t xml:space="preserve"> A/B </w:t>
      </w:r>
      <w:r>
        <w:rPr>
          <w:rFonts w:hint="eastAsia"/>
        </w:rPr>
        <w:t>包或采购人现有求解器的具体实现；算法层则专注于功率谱、非平稳随机和响应谱分析。这样的分层方式有利于在采购人后续替换求解器、扩展单元类型或增加后处理指标时保持上层算法稳定。</w:t>
      </w:r>
    </w:p>
    <w:p w14:paraId="219EA382">
      <w:pPr>
        <w:pStyle w:val="11"/>
      </w:pPr>
      <w:r>
        <w:rPr>
          <w:rFonts w:hint="eastAsia"/>
        </w:rPr>
        <w:t>软件工程化方面，模块以纯库形式交付，采用</w:t>
      </w:r>
      <w:r>
        <w:t xml:space="preserve"> CMake </w:t>
      </w:r>
      <w:r>
        <w:rPr>
          <w:rFonts w:hint="eastAsia"/>
        </w:rPr>
        <w:t>构建、版本化接口、示例工程、自动化测试和中文文档配套。对于高校和科研单位而言，先进性不仅体现在算法公式，也体现在“能否被接手、能否复跑、能否二次开发”。本方案把算例、脚本、日志、误差指标和接口文档纳入同一交付体系，使采购人能够在验收后继续维护和扩展，而不是依赖供应商黑盒支持。</w:t>
      </w:r>
    </w:p>
    <w:p w14:paraId="6C37ABCC">
      <w:pPr>
        <w:pStyle w:val="11"/>
      </w:pPr>
      <w:r>
        <w:rPr>
          <w:rFonts w:hint="eastAsia"/>
        </w:rPr>
        <w:t>面向大规模工程应用，架构层支持稀疏矩阵、批量频点、按需响应集合、分块结果输出和多工况组织。算法层不强制形成全自由度全频点输出，而是围绕关键节点、关键单元、连接部位和支座响应组织计算，既降低数据规模，也更符合工程报告和验收关注点。</w:t>
      </w:r>
    </w:p>
    <w:bookmarkEnd w:id="31"/>
    <w:p w14:paraId="39D0C190">
      <w:pPr>
        <w:pStyle w:val="4"/>
      </w:pPr>
      <w:bookmarkStart w:id="32" w:name="先进性的可落地性"/>
      <w:r>
        <w:t xml:space="preserve">5.3 </w:t>
      </w:r>
      <w:r>
        <w:rPr>
          <w:rFonts w:hint="eastAsia"/>
        </w:rPr>
        <w:t>先进性的可落地性</w:t>
      </w:r>
    </w:p>
    <w:p w14:paraId="76D0327C">
      <w:pPr>
        <w:pStyle w:val="70"/>
      </w:pPr>
      <w:r>
        <w:rPr>
          <w:rFonts w:hint="eastAsia"/>
        </w:rPr>
        <w:t>本方案的可落地性建立在我方既有的有限元方法、数值线性代数、大规模科学计算和工程软件开发基础之上。现有证明材料能够支撑团队在有限元离散、矩阵计算、频域问题求解、软件架构设计、自动化测试及国产平台适配等方面的研发能力。</w:t>
      </w:r>
    </w:p>
    <w:p w14:paraId="7CE23255">
      <w:pPr>
        <w:pStyle w:val="11"/>
      </w:pPr>
      <w:r>
        <w:rPr>
          <w:rFonts w:hint="eastAsia"/>
        </w:rPr>
        <w:t>针对本项目新增的</w:t>
      </w:r>
      <w:r>
        <w:t xml:space="preserve"> PEM </w:t>
      </w:r>
      <w:r>
        <w:rPr>
          <w:rFonts w:hint="eastAsia"/>
        </w:rPr>
        <w:t>功率谱分析、非平稳随机振动及响应谱组合算法，我方将按照“原理设计—接口实现—标准算例—交叉校核—工程验证”的路径完成研发和验证：</w:t>
      </w:r>
    </w:p>
    <w:p w14:paraId="4DC58088">
      <w:pPr>
        <w:pStyle w:val="11"/>
      </w:pPr>
      <w:r>
        <w:rPr>
          <w:rFonts w:hint="eastAsia"/>
        </w:rPr>
        <w:t>（1）依据随机振动理论完成算法公式、适用假设、输入输出和数值流程设计；</w:t>
      </w:r>
    </w:p>
    <w:p w14:paraId="6A6E47AB">
      <w:pPr>
        <w:pStyle w:val="11"/>
      </w:pPr>
      <w:r>
        <w:rPr>
          <w:rFonts w:hint="eastAsia"/>
        </w:rPr>
        <w:t>（2）通过标准支撑接口复用模态、频率响应和时域积分能力，实现随机振动算法与底层求解器解耦；</w:t>
      </w:r>
    </w:p>
    <w:p w14:paraId="101EBADF">
      <w:pPr>
        <w:pStyle w:val="11"/>
      </w:pPr>
      <w:r>
        <w:rPr>
          <w:rFonts w:hint="eastAsia"/>
        </w:rPr>
        <w:t>（3）采用解析解、标准基准算例和工程模型逐级验证，并通过</w:t>
      </w:r>
      <w:r>
        <w:t xml:space="preserve"> </w:t>
      </w:r>
      <w:r>
        <w:rPr>
          <w:rFonts w:hint="eastAsia"/>
        </w:rPr>
        <w:t>CQC、SRSS、PEM、蒙特卡洛参考解等方式开展交叉校核；</w:t>
      </w:r>
    </w:p>
    <w:p w14:paraId="3747904E">
      <w:pPr>
        <w:pStyle w:val="11"/>
      </w:pPr>
      <w:r>
        <w:rPr>
          <w:rFonts w:hint="eastAsia"/>
        </w:rPr>
        <w:t>（4）将全部算例纳入自动化回归测试，形成可重复执行的验收测试集；</w:t>
      </w:r>
    </w:p>
    <w:p w14:paraId="278C86B3">
      <w:pPr>
        <w:pStyle w:val="11"/>
      </w:pPr>
      <w:r>
        <w:rPr>
          <w:rFonts w:hint="eastAsia"/>
        </w:rPr>
        <w:t>（5）同步交付算法原理、接口说明、算例报告和源代码，保证成果可编译、可验证、可维护。</w:t>
      </w:r>
    </w:p>
    <w:p w14:paraId="0265D530">
      <w:pPr>
        <w:pStyle w:val="11"/>
      </w:pPr>
      <w:r>
        <w:rPr>
          <w:rFonts w:hint="eastAsia"/>
        </w:rPr>
        <w:t>因此，本方案所述先进性体现为技术路线和工程实施体系的先进性。相关功能是否达到预期，以最终代码、算例测试报告及采购人环境下的验收结果为准。</w:t>
      </w:r>
    </w:p>
    <w:p w14:paraId="3A69C5A3">
      <w:pPr>
        <w:pStyle w:val="11"/>
      </w:pPr>
      <w:r>
        <w:rPr>
          <w:rFonts w:hint="eastAsia"/>
        </w:rPr>
        <w:t>落地路径上，本方案不把先进性停留在概念层，而是拆解为可执行任务：先固化数学公式、谱归一化、模态归一化和输入输出对象；再实现</w:t>
      </w:r>
      <w:r>
        <w:t xml:space="preserve"> </w:t>
      </w:r>
      <w:r>
        <w:rPr>
          <w:rFonts w:hint="eastAsia"/>
        </w:rPr>
        <w:t>CQC/SRSS/PEM、非平稳时域虚拟激励和响应谱组合算法；随后通过解析解、基准模型和工程模型逐级验证；最后形成可在采购人环境复跑的自动化测试集和算例报告。每一步都对应可检查交付物，便于项目进度管理和验收。</w:t>
      </w:r>
    </w:p>
    <w:p w14:paraId="7E191424">
      <w:pPr>
        <w:pStyle w:val="11"/>
      </w:pPr>
      <w:r>
        <w:rPr>
          <w:rFonts w:hint="eastAsia"/>
        </w:rPr>
        <w:t>风险控制方面，方案将“算法复杂性”和“系统集成复杂性”分开处理。算法侧通过标准算例、解析解、蒙特卡洛参考解、PEM/CQC</w:t>
      </w:r>
      <w:r>
        <w:t xml:space="preserve"> </w:t>
      </w:r>
      <w:r>
        <w:rPr>
          <w:rFonts w:hint="eastAsia"/>
        </w:rPr>
        <w:t>互校和响应谱组合对比来控制正确性风险；集成侧通过数据注入和服务调用两种模式、测试支撑组件和接口版本固化来控制跨包接口风险。即使</w:t>
      </w:r>
      <w:r>
        <w:t xml:space="preserve"> A/B </w:t>
      </w:r>
      <w:r>
        <w:rPr>
          <w:rFonts w:hint="eastAsia"/>
        </w:rPr>
        <w:t>包接口尚未完全稳定，C</w:t>
      </w:r>
      <w:r>
        <w:t xml:space="preserve"> </w:t>
      </w:r>
      <w:r>
        <w:rPr>
          <w:rFonts w:hint="eastAsia"/>
        </w:rPr>
        <w:t>包核心算法也可先在测试支撑环境下完成验证。</w:t>
      </w:r>
    </w:p>
    <w:p w14:paraId="4B7423DB">
      <w:pPr>
        <w:pStyle w:val="11"/>
      </w:pPr>
      <w:r>
        <w:rPr>
          <w:rFonts w:hint="eastAsia"/>
        </w:rPr>
        <w:t>交付形态上，先进性最终落实为可编译源码、可调用库接口、可复跑算例、可追溯误差报告和可维护文档。采购人接收后不仅能够运行首交版本，还能够理解算法假设、修改接口适配、扩展结果输出或替换底层求解服务。这一点与本项目“源代码和知识产权完整移交”的采购本质一致。</w:t>
      </w:r>
    </w:p>
    <w:bookmarkEnd w:id="32"/>
    <w:p w14:paraId="5BD2345E">
      <w:pPr>
        <w:pStyle w:val="4"/>
      </w:pPr>
      <w:bookmarkStart w:id="33" w:name="后续扩展接口预留"/>
      <w:r>
        <w:t xml:space="preserve">5.4 </w:t>
      </w:r>
      <w:r>
        <w:rPr>
          <w:rFonts w:hint="eastAsia"/>
        </w:rPr>
        <w:t>后续扩展接口预留</w:t>
      </w:r>
    </w:p>
    <w:p w14:paraId="374F35E7">
      <w:pPr>
        <w:pStyle w:val="70"/>
      </w:pPr>
      <w:r>
        <w:rPr>
          <w:rFonts w:hint="eastAsia"/>
        </w:rPr>
        <w:t>本方案首交范围以招标文件</w:t>
      </w:r>
      <w:r>
        <w:t xml:space="preserve"> 3 </w:t>
      </w:r>
      <w:r>
        <w:rPr>
          <w:rFonts w:hint="eastAsia"/>
        </w:rPr>
        <w:t>个</w:t>
      </w:r>
      <w:r>
        <w:t xml:space="preserve"> ★ </w:t>
      </w:r>
      <w:r>
        <w:rPr>
          <w:rFonts w:hint="eastAsia"/>
        </w:rPr>
        <w:t>功能和</w:t>
      </w:r>
      <w:r>
        <w:t xml:space="preserve"> 20 </w:t>
      </w:r>
      <w:r>
        <w:rPr>
          <w:rFonts w:hint="eastAsia"/>
        </w:rPr>
        <w:t>个</w:t>
      </w:r>
      <w:r>
        <w:t xml:space="preserve"> ▲ </w:t>
      </w:r>
      <w:r>
        <w:rPr>
          <w:rFonts w:hint="eastAsia"/>
        </w:rPr>
        <w:t>指标为边界。分层解耦架构和标准支撑接口为后续能力扩展预留了条件，但本节内容仅用于说明架构可扩展性，不作为首交范围的功能承诺。</w:t>
      </w:r>
    </w:p>
    <w:p w14:paraId="3C9AD902">
      <w:pPr>
        <w:pStyle w:val="11"/>
      </w:pPr>
      <w:r>
        <w:rPr>
          <w:rFonts w:hint="eastAsia"/>
        </w:rPr>
        <w:t>后续可扩展方向包括：在已有样本统计和概率密度计算接口基础上扩展非高斯非平稳随机过程建模</w:t>
      </w:r>
      <w:r>
        <w:t xml:space="preserve"> </w:t>
      </w:r>
      <w:r>
        <w:rPr>
          <w:rFonts w:hint="eastAsia"/>
        </w:rPr>
        <w:t>[12]；在频繁参数扫描、可靠性分析和敏感性分析等场景中，引入多项式混沌展开、稀疏概率配置等不确定性量化代理模型</w:t>
      </w:r>
      <w:r>
        <w:t xml:space="preserve"> </w:t>
      </w:r>
      <w:r>
        <w:rPr>
          <w:rFonts w:hint="eastAsia"/>
        </w:rPr>
        <w:t>[13,14]；在更复杂结构场景中扩展非经典阻尼、复模态随机响应、越界概率和概率风险分析等后处理能力。</w:t>
      </w:r>
    </w:p>
    <w:p w14:paraId="04485BD0">
      <w:pPr>
        <w:pStyle w:val="11"/>
      </w:pPr>
      <w:r>
        <w:rPr>
          <w:rFonts w:hint="eastAsia"/>
        </w:rPr>
        <w:t>上述方向均应通过新增算法模块、扩展数据接口或增加后处理服务的方式逐步纳入，不影响首交版本对招标指标的实现。</w:t>
      </w:r>
    </w:p>
    <w:p w14:paraId="764528D2">
      <w:pPr>
        <w:pStyle w:val="11"/>
      </w:pPr>
      <w:r>
        <w:rPr>
          <w:rFonts w:hint="eastAsia"/>
        </w:rPr>
        <w:t>具体而言，非高斯扩展可复用</w:t>
      </w:r>
      <w:r>
        <w:t xml:space="preserve"> ▲15 </w:t>
      </w:r>
      <w:r>
        <w:rPr>
          <w:rFonts w:hint="eastAsia"/>
        </w:rPr>
        <w:t>已建立的样本统计和概率密度输出通道，在未来增加高阶统计量、样本生成或非高斯过程识别功能；不确定性量化扩展可复用现有工况批量组织和回归测试框架，在参数扫描、可靠性分析和敏感性分析中减少重复求解成本；复模态和非经典阻尼扩展可在模态数据结构和频响服务接口中增加复模态支持，而不改变既有平稳随机、非平稳随机和响应谱首交功能。</w:t>
      </w:r>
    </w:p>
    <w:p w14:paraId="7508D434">
      <w:pPr>
        <w:pStyle w:val="11"/>
      </w:pPr>
      <w:r>
        <w:rPr>
          <w:rFonts w:hint="eastAsia"/>
        </w:rPr>
        <w:t>后续扩展遵循三个原则：一是接口向后兼容，不破坏已交付算例和用户调用；二是新增能力以独立算法模块或后处理服务形式接入，避免牵动已验收核心算法；三是每项扩展均需配套新增算例、误差判据和文档说明。这样，C</w:t>
      </w:r>
      <w:r>
        <w:t xml:space="preserve"> </w:t>
      </w:r>
      <w:r>
        <w:rPr>
          <w:rFonts w:hint="eastAsia"/>
        </w:rPr>
        <w:t>包既能在首交阶段稳妥满足招标指标，也为采购人后续科研和工程应用留下演进空间。</w:t>
      </w:r>
    </w:p>
    <w:bookmarkEnd w:id="33"/>
    <w:p w14:paraId="5C1D00DD">
      <w:pPr>
        <w:pStyle w:val="4"/>
      </w:pPr>
      <w:bookmarkStart w:id="34" w:name="小结-2"/>
      <w:r>
        <w:t xml:space="preserve">5.5 </w:t>
      </w:r>
      <w:r>
        <w:rPr>
          <w:rFonts w:hint="eastAsia"/>
        </w:rPr>
        <w:t>小结</w:t>
      </w:r>
    </w:p>
    <w:p w14:paraId="062046D5">
      <w:pPr>
        <w:pStyle w:val="70"/>
      </w:pPr>
      <w:r>
        <w:rPr>
          <w:rFonts w:hint="eastAsia"/>
        </w:rPr>
        <w:t>本方案的先进性体现为：</w:t>
      </w:r>
      <w:r>
        <w:rPr>
          <w:rFonts w:hint="eastAsia"/>
          <w:b/>
          <w:bCs/>
        </w:rPr>
        <w:t>算法上</w:t>
      </w:r>
      <w:r>
        <w:rPr>
          <w:rFonts w:hint="eastAsia"/>
        </w:rPr>
        <w:t>以</w:t>
      </w:r>
      <w:r>
        <w:t xml:space="preserve"> PEM </w:t>
      </w:r>
      <w:r>
        <w:rPr>
          <w:rFonts w:hint="eastAsia"/>
        </w:rPr>
        <w:t>为核心、功率谱/非平稳/响应谱算法谱系完整，能够覆盖多输入相关激励、时变随机过程和工程峰值估计；</w:t>
      </w:r>
      <w:r>
        <w:rPr>
          <w:rFonts w:hint="eastAsia"/>
          <w:b/>
          <w:bCs/>
        </w:rPr>
        <w:t>架构上</w:t>
      </w:r>
      <w:r>
        <w:rPr>
          <w:rFonts w:hint="eastAsia"/>
        </w:rPr>
        <w:t>采用标准支撑接口、模态数据枢纽和分层解耦组织，可复用采购人或</w:t>
      </w:r>
      <w:r>
        <w:t xml:space="preserve"> A/B </w:t>
      </w:r>
      <w:r>
        <w:rPr>
          <w:rFonts w:hint="eastAsia"/>
        </w:rPr>
        <w:t>包的基础能力，并为后续替换求解服务和扩展后处理能力预留空间；</w:t>
      </w:r>
      <w:r>
        <w:rPr>
          <w:rFonts w:hint="eastAsia"/>
          <w:b/>
          <w:bCs/>
        </w:rPr>
        <w:t>工程上</w:t>
      </w:r>
      <w:r>
        <w:rPr>
          <w:rFonts w:hint="eastAsia"/>
        </w:rPr>
        <w:t>通过测试支撑组件、自动回归以及“算法</w:t>
      </w:r>
      <w:r>
        <w:t xml:space="preserve"> + </w:t>
      </w:r>
      <w:r>
        <w:rPr>
          <w:rFonts w:hint="eastAsia"/>
        </w:rPr>
        <w:t>原理文档</w:t>
      </w:r>
      <w:r>
        <w:t xml:space="preserve"> + </w:t>
      </w:r>
      <w:r>
        <w:rPr>
          <w:rFonts w:hint="eastAsia"/>
        </w:rPr>
        <w:t>标准算例”实现可验证交付。</w:t>
      </w:r>
    </w:p>
    <w:p w14:paraId="2DDA62BE">
      <w:pPr>
        <w:pStyle w:val="11"/>
      </w:pPr>
      <w:r>
        <w:rPr>
          <w:rFonts w:hint="eastAsia"/>
        </w:rPr>
        <w:t>与单纯罗列算法名称相比，本方案更强调“先进性可验收”：每项核心算法均对应数学原理、实现流程、接口边界和算例报告；每项架构设计均服务于源码移交后的可维护和可扩展；每项后续扩展均明确不影响首交范围。三者共同保证</w:t>
      </w:r>
      <w:r>
        <w:t xml:space="preserve"> C </w:t>
      </w:r>
      <w:r>
        <w:rPr>
          <w:rFonts w:hint="eastAsia"/>
        </w:rPr>
        <w:t>包满足招标技术参数，并形成便于集成和持续演进的随机振动算法资产。</w:t>
      </w:r>
    </w:p>
    <w:bookmarkEnd w:id="29"/>
    <w:bookmarkEnd w:id="34"/>
    <w:p w14:paraId="24B164D1">
      <w:pPr>
        <w:pStyle w:val="3"/>
      </w:pPr>
      <w:bookmarkStart w:id="35" w:name="六总结"/>
      <w:r>
        <w:rPr>
          <w:rFonts w:hint="eastAsia"/>
        </w:rPr>
        <w:t>六、总结</w:t>
      </w:r>
    </w:p>
    <w:p w14:paraId="2699B298">
      <w:pPr>
        <w:pStyle w:val="70"/>
      </w:pPr>
      <w:r>
        <w:rPr>
          <w:rFonts w:hint="eastAsia"/>
        </w:rPr>
        <w:t>本说明针对</w:t>
      </w:r>
      <w:r>
        <w:t xml:space="preserve"> C </w:t>
      </w:r>
      <w:r>
        <w:rPr>
          <w:rFonts w:hint="eastAsia"/>
        </w:rPr>
        <w:t>包（结构随机振动分析模块），从项目理解、总体方案、功能要求逐条响应、方案适用性与技术先进性五个方面完整阐述了我方技术响应。我方承诺：</w:t>
      </w:r>
      <w:r>
        <w:rPr>
          <w:b/>
          <w:bCs/>
        </w:rPr>
        <w:t xml:space="preserve">3 </w:t>
      </w:r>
      <w:r>
        <w:rPr>
          <w:rFonts w:hint="eastAsia"/>
          <w:b/>
          <w:bCs/>
        </w:rPr>
        <w:t>个</w:t>
      </w:r>
      <w:r>
        <w:rPr>
          <w:b/>
          <w:bCs/>
        </w:rPr>
        <w:t xml:space="preserve"> ★ </w:t>
      </w:r>
      <w:r>
        <w:rPr>
          <w:rFonts w:hint="eastAsia"/>
          <w:b/>
          <w:bCs/>
        </w:rPr>
        <w:t>关键功能全部无偏离满足，20</w:t>
      </w:r>
      <w:r>
        <w:rPr>
          <w:b/>
          <w:bCs/>
        </w:rPr>
        <w:t xml:space="preserve"> </w:t>
      </w:r>
      <w:r>
        <w:rPr>
          <w:rFonts w:hint="eastAsia"/>
          <w:b/>
          <w:bCs/>
        </w:rPr>
        <w:t>个</w:t>
      </w:r>
      <w:r>
        <w:rPr>
          <w:b/>
          <w:bCs/>
        </w:rPr>
        <w:t xml:space="preserve"> ▲ </w:t>
      </w:r>
      <w:r>
        <w:rPr>
          <w:rFonts w:hint="eastAsia"/>
          <w:b/>
          <w:bCs/>
        </w:rPr>
        <w:t>重要指标全部“完全响应”，并对招标文件明确要求的条款提供算法原理描述和算例测试报告等证明材料</w:t>
      </w:r>
      <w:r>
        <w:rPr>
          <w:rFonts w:hint="eastAsia"/>
        </w:rPr>
        <w:t>，合同签订后</w:t>
      </w:r>
      <w:r>
        <w:t xml:space="preserve"> 2 </w:t>
      </w:r>
      <w:r>
        <w:rPr>
          <w:rFonts w:hint="eastAsia"/>
        </w:rPr>
        <w:t>个月内完成交付，源代码与知识产权完整移交，并以</w:t>
      </w:r>
      <w:r>
        <w:t xml:space="preserve"> 1 </w:t>
      </w:r>
      <w:r>
        <w:rPr>
          <w:rFonts w:hint="eastAsia"/>
        </w:rPr>
        <w:t>年质保与</w:t>
      </w:r>
      <w:r>
        <w:t xml:space="preserve"> 7×24 </w:t>
      </w:r>
      <w:r>
        <w:rPr>
          <w:rFonts w:hint="eastAsia"/>
        </w:rPr>
        <w:t>响应保障采购人使用。</w:t>
      </w:r>
    </w:p>
    <w:p w14:paraId="7060A61F">
      <w:r>
        <w:pict>
          <v:rect id="_x0000_i1028" o:spt="1" style="height:1.5pt;width:0pt;" coordsize="21600,21600" o:hr="t" o:hrstd="t" o:hralign="center">
            <v:path/>
            <v:fill focussize="0,0"/>
            <v:stroke/>
            <v:imagedata o:title=""/>
            <o:lock v:ext="edit"/>
            <w10:wrap type="none"/>
            <w10:anchorlock/>
          </v:rect>
        </w:pict>
      </w:r>
    </w:p>
    <w:bookmarkEnd w:id="35"/>
    <w:p w14:paraId="4EA6C7F8">
      <w:pPr>
        <w:pStyle w:val="3"/>
      </w:pPr>
      <w:bookmarkStart w:id="36" w:name="参考文献"/>
      <w:r>
        <w:rPr>
          <w:rFonts w:hint="eastAsia"/>
        </w:rPr>
        <w:t>参考文献</w:t>
      </w:r>
    </w:p>
    <w:p w14:paraId="5D2FBE2A">
      <w:pPr>
        <w:pStyle w:val="70"/>
      </w:pPr>
      <w:r>
        <w:t xml:space="preserve">[1] </w:t>
      </w:r>
      <w:r>
        <w:rPr>
          <w:rFonts w:hint="eastAsia"/>
        </w:rPr>
        <w:t>林家浩,</w:t>
      </w:r>
      <w:r>
        <w:t xml:space="preserve"> </w:t>
      </w:r>
      <w:r>
        <w:rPr>
          <w:rFonts w:hint="eastAsia"/>
        </w:rPr>
        <w:t>张亚辉.</w:t>
      </w:r>
      <w:r>
        <w:t xml:space="preserve"> </w:t>
      </w:r>
      <w:r>
        <w:rPr>
          <w:rFonts w:hint="eastAsia"/>
        </w:rPr>
        <w:t>随机振动的虚拟激励法[M].</w:t>
      </w:r>
      <w:r>
        <w:t xml:space="preserve"> </w:t>
      </w:r>
      <w:r>
        <w:rPr>
          <w:rFonts w:hint="eastAsia"/>
        </w:rPr>
        <w:t>北京:</w:t>
      </w:r>
      <w:r>
        <w:t xml:space="preserve"> </w:t>
      </w:r>
      <w:r>
        <w:rPr>
          <w:rFonts w:hint="eastAsia"/>
        </w:rPr>
        <w:t>科学出版社,</w:t>
      </w:r>
      <w:r>
        <w:t xml:space="preserve"> 2004.</w:t>
      </w:r>
    </w:p>
    <w:p w14:paraId="2D084D95">
      <w:pPr>
        <w:pStyle w:val="11"/>
      </w:pPr>
      <w:r>
        <w:t>[2] Lin J H. A fast CQC algorithm of PSD matrices for random seismic responses[J]. Computers &amp; Structures, 1992, 44(3): 683–687.</w:t>
      </w:r>
    </w:p>
    <w:p w14:paraId="370F5786">
      <w:pPr>
        <w:pStyle w:val="11"/>
      </w:pPr>
      <w:r>
        <w:t>[3] Lin J H, Zhang W S, Williams F W. Pseudo-excitation algorithm for nonstationary random seismic responses[J]. Engineering Structures, 1994, 16(4): 270–276.</w:t>
      </w:r>
    </w:p>
    <w:p w14:paraId="187EE6D8">
      <w:pPr>
        <w:pStyle w:val="11"/>
      </w:pPr>
      <w:r>
        <w:t>[4] Wilson E L, Der Kiureghian A, Bayo E P. A replacement for the SRSS method in seismic analysis[J]. Earthquake Engineering &amp; Structural Dynamics, 1981, 9(2): 187–192.</w:t>
      </w:r>
    </w:p>
    <w:p w14:paraId="2B13C5FC">
      <w:pPr>
        <w:pStyle w:val="11"/>
      </w:pPr>
      <w:r>
        <w:t>[5] Der Kiureghian A. A response spectrum method for random vibration analysis of MDF systems[J]. Earthquake Engineering &amp; Structural Dynamics, 1981, 9(5): 419–435.</w:t>
      </w:r>
    </w:p>
    <w:p w14:paraId="54F96EF1">
      <w:pPr>
        <w:pStyle w:val="11"/>
      </w:pPr>
      <w:r>
        <w:t>[6] Chopra A K. Dynamics of Structures: Theory and Applications to Earthquake Engineering[M]. 4th ed. Upper Saddle River, NJ: Prentice Hall, 2011.</w:t>
      </w:r>
    </w:p>
    <w:p w14:paraId="4D5391CE">
      <w:pPr>
        <w:pStyle w:val="11"/>
      </w:pPr>
      <w:r>
        <w:t>[7] Newland D E. An Introduction to Random Vibrations, Spectral and Wavelet Analysis[M]. 3rd ed. Mineola, NY: Dover Publications, 2005.</w:t>
      </w:r>
    </w:p>
    <w:p w14:paraId="68AECF9A">
      <w:pPr>
        <w:pStyle w:val="11"/>
      </w:pPr>
      <w:r>
        <w:t>[8] Lutes L D, Sarkani S. Random Vibrations: Analysis of Structural and Mechanical Systems[M]. Burlington: Butterworth-Heinemann, 2004.</w:t>
      </w:r>
    </w:p>
    <w:p w14:paraId="03EBBA65">
      <w:pPr>
        <w:pStyle w:val="11"/>
      </w:pPr>
      <w:r>
        <w:t>[9] Clough R W, Penzien J. Dynamics of Structures[M]. New York: McGraw-Hill, 1975.</w:t>
      </w:r>
    </w:p>
    <w:p w14:paraId="410065D4">
      <w:pPr>
        <w:pStyle w:val="11"/>
      </w:pPr>
      <w:r>
        <w:t>[10] Priestley M B. Evolutionary spectra and non-stationary processes[J]. Journal of the Royal Statistical Society: Series B (Methodological), 1965, 27(2): 204–229.</w:t>
      </w:r>
    </w:p>
    <w:p w14:paraId="0EE031B3">
      <w:pPr>
        <w:pStyle w:val="11"/>
      </w:pPr>
      <w:r>
        <w:t>[11] O’Hara G J, Belsheim R O. Interim design values for shock design of shipboard equipment[R]. NRL Memorandum Report 1396. Washington, D.C.: U.S. Naval Research Laboratory, 1963.</w:t>
      </w:r>
    </w:p>
    <w:p w14:paraId="35B95B4D">
      <w:pPr>
        <w:pStyle w:val="11"/>
      </w:pPr>
      <w:r>
        <w:t>[12] Vandanapu L, Shields M D. Simulation of non-stationary and non-Gaussian random processes by 3rd-order Spectral Representation Method: Theory and POD implementation[J]. Mechanical Systems and Signal Processing, 2022, 178: 109150.</w:t>
      </w:r>
    </w:p>
    <w:p w14:paraId="06ED3661">
      <w:pPr>
        <w:pStyle w:val="11"/>
      </w:pPr>
      <w:r>
        <w:t>[13] Zhu X, Broccardo M, Sudret B. Seismic fragility analysis using stochastic polynomial chaos expans</w:t>
      </w:r>
      <w:bookmarkStart w:id="41" w:name="_GoBack"/>
      <w:bookmarkEnd w:id="41"/>
      <w:r>
        <w:t>ions[J]. Probabilistic Engineering Mechanics, 2023, 72: 103413.</w:t>
      </w:r>
    </w:p>
    <w:p w14:paraId="45B08423">
      <w:pPr>
        <w:pStyle w:val="11"/>
      </w:pPr>
      <w:r>
        <w:t>[14] Qiu Y, Lin J, Chen X, Liu F, Song Y. Nonintrusive uncertainty quantification of dynamic power systems subject to stochastic excitations[J]. IEEE Transactions on Power Systems, 2021, 36(1): 402–414.</w:t>
      </w:r>
    </w:p>
    <w:p w14:paraId="40654BFF">
      <w:pPr>
        <w:pStyle w:val="11"/>
      </w:pPr>
      <w:r>
        <w:t>[15] Bendat J S, Piersol A G. Random Data: Analysis and Measurement Procedures[M]. 4th ed. Hoboken, NJ: Wiley, 2010.</w:t>
      </w:r>
    </w:p>
    <w:p w14:paraId="2DA3C1B8">
      <w:pPr>
        <w:pStyle w:val="11"/>
      </w:pPr>
      <w:r>
        <w:t>[16] Roberts J B, Spanos P D. Random Vibration and Statistical Linearization[M]. Mineola, NY: Dover Publications, 2003.</w:t>
      </w:r>
    </w:p>
    <w:bookmarkEnd w:id="0"/>
    <w:bookmarkEnd w:id="36"/>
    <w:p w14:paraId="4B561B13">
      <w:pPr>
        <w:pStyle w:val="2"/>
      </w:pPr>
      <w:bookmarkStart w:id="37" w:name="十三供货安装方案"/>
      <w:r>
        <w:rPr>
          <w:rFonts w:hint="eastAsia"/>
        </w:rPr>
        <w:t>十三、供货安装方案</w:t>
      </w:r>
    </w:p>
    <w:p w14:paraId="7E1EE2AC">
      <w:pPr>
        <w:pStyle w:val="70"/>
      </w:pPr>
      <w:r>
        <w:rPr>
          <w:rFonts w:hint="eastAsia"/>
        </w:rPr>
        <w:t>（格式自拟）</w:t>
      </w:r>
    </w:p>
    <w:bookmarkEnd w:id="37"/>
    <w:p w14:paraId="55AC4A6B">
      <w:pPr>
        <w:pStyle w:val="2"/>
      </w:pPr>
      <w:bookmarkStart w:id="38" w:name="十四培训方案"/>
      <w:r>
        <w:rPr>
          <w:rFonts w:hint="eastAsia"/>
        </w:rPr>
        <w:t>十四、培训方案</w:t>
      </w:r>
    </w:p>
    <w:p w14:paraId="2D3ECAE8">
      <w:pPr>
        <w:pStyle w:val="70"/>
      </w:pPr>
      <w:r>
        <w:rPr>
          <w:rFonts w:hint="eastAsia"/>
        </w:rPr>
        <w:t>（格式自拟）</w:t>
      </w:r>
    </w:p>
    <w:bookmarkEnd w:id="38"/>
    <w:p w14:paraId="0A246F2D">
      <w:pPr>
        <w:pStyle w:val="2"/>
      </w:pPr>
      <w:bookmarkStart w:id="39" w:name="十五售后服务方案"/>
      <w:r>
        <w:rPr>
          <w:rFonts w:hint="eastAsia"/>
        </w:rPr>
        <w:t>十五、售后服务方案</w:t>
      </w:r>
    </w:p>
    <w:p w14:paraId="2609DA05">
      <w:pPr>
        <w:pStyle w:val="70"/>
      </w:pPr>
      <w:r>
        <w:rPr>
          <w:rFonts w:hint="eastAsia"/>
        </w:rPr>
        <w:t>（格式自拟）</w:t>
      </w:r>
    </w:p>
    <w:bookmarkEnd w:id="39"/>
    <w:p w14:paraId="2A1D06C1">
      <w:pPr>
        <w:pStyle w:val="2"/>
      </w:pPr>
      <w:bookmarkStart w:id="40" w:name="十六质保期承诺"/>
      <w:r>
        <w:rPr>
          <w:rFonts w:hint="eastAsia"/>
        </w:rPr>
        <w:t>十六、质保期承诺</w:t>
      </w:r>
    </w:p>
    <w:p w14:paraId="7660E913">
      <w:pPr>
        <w:pStyle w:val="70"/>
      </w:pPr>
      <w:r>
        <w:rPr>
          <w:rFonts w:hint="eastAsia"/>
        </w:rPr>
        <w:t>（格式自拟）</w:t>
      </w:r>
    </w:p>
    <w:bookmarkEnd w:id="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F4A"/>
    <w:rsid w:val="0010055E"/>
    <w:rsid w:val="00181462"/>
    <w:rsid w:val="0019036A"/>
    <w:rsid w:val="00322254"/>
    <w:rsid w:val="009969EA"/>
    <w:rsid w:val="00AD0287"/>
    <w:rsid w:val="00C80154"/>
    <w:rsid w:val="00DA29B4"/>
    <w:rsid w:val="00EB3F4A"/>
    <w:rsid w:val="1EE60A31"/>
    <w:rsid w:val="28BB3B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000000"/>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000000"/>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000000"/>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000000"/>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000000"/>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000000"/>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Body Text"/>
    <w:basedOn w:val="1"/>
    <w:qFormat/>
    <w:uiPriority w:val="0"/>
    <w:pPr>
      <w:spacing w:line="440" w:lineRule="atLeast"/>
      <w:ind w:firstLine="420" w:firstLineChars="200"/>
    </w:pPr>
  </w:style>
  <w:style w:type="paragraph" w:styleId="12">
    <w:name w:val="Block Text"/>
    <w:basedOn w:val="1"/>
    <w:uiPriority w:val="0"/>
    <w:pPr>
      <w:spacing w:line="440" w:lineRule="atLeast"/>
      <w:ind w:firstLine="420" w:firstLineChars="200"/>
    </w:pPr>
  </w:style>
  <w:style w:type="paragraph" w:styleId="13">
    <w:name w:val="Plain Text"/>
    <w:basedOn w:val="1"/>
    <w:link w:val="37"/>
    <w:qFormat/>
    <w:uiPriority w:val="0"/>
    <w:rPr>
      <w:rFonts w:ascii="宋体" w:hAnsi="Courier New" w:eastAsia="宋体" w:cs="Times New Roman"/>
      <w:szCs w:val="21"/>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000000"/>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000000"/>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000000"/>
      <w:sz w:val="32"/>
      <w:szCs w:val="32"/>
    </w:rPr>
  </w:style>
  <w:style w:type="character" w:customStyle="1" w:styleId="21">
    <w:name w:val="标题 4 字符"/>
    <w:basedOn w:val="17"/>
    <w:link w:val="5"/>
    <w:semiHidden/>
    <w:uiPriority w:val="9"/>
    <w:rPr>
      <w:rFonts w:cstheme="majorBidi"/>
      <w:color w:val="000000"/>
      <w:sz w:val="28"/>
      <w:szCs w:val="28"/>
    </w:rPr>
  </w:style>
  <w:style w:type="character" w:customStyle="1" w:styleId="22">
    <w:name w:val="标题 5 字符"/>
    <w:basedOn w:val="17"/>
    <w:link w:val="6"/>
    <w:semiHidden/>
    <w:uiPriority w:val="9"/>
    <w:rPr>
      <w:rFonts w:cstheme="majorBidi"/>
      <w:color w:val="000000"/>
      <w:sz w:val="24"/>
      <w:szCs w:val="24"/>
    </w:rPr>
  </w:style>
  <w:style w:type="character" w:customStyle="1" w:styleId="23">
    <w:name w:val="标题 6 字符"/>
    <w:basedOn w:val="17"/>
    <w:link w:val="7"/>
    <w:semiHidden/>
    <w:uiPriority w:val="9"/>
    <w:rPr>
      <w:rFonts w:cstheme="majorBidi"/>
      <w:b/>
      <w:bCs/>
      <w:color w:val="000000"/>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纯文本 字符"/>
    <w:basedOn w:val="17"/>
    <w:semiHidden/>
    <w:uiPriority w:val="99"/>
    <w:rPr>
      <w:rFonts w:hAnsi="Courier New" w:cs="Courier New" w:asciiTheme="minorEastAsia"/>
    </w:rPr>
  </w:style>
  <w:style w:type="character" w:customStyle="1" w:styleId="37">
    <w:name w:val="纯文本 字符2"/>
    <w:link w:val="13"/>
    <w:qFormat/>
    <w:uiPriority w:val="0"/>
    <w:rPr>
      <w:rFonts w:ascii="宋体" w:hAnsi="Courier New" w:eastAsia="宋体" w:cs="Times New Roman"/>
      <w:szCs w:val="21"/>
    </w:rPr>
  </w:style>
  <w:style w:type="paragraph" w:customStyle="1" w:styleId="38">
    <w:name w:val="Source Code"/>
    <w:uiPriority w:val="0"/>
    <w:pPr>
      <w:wordWrap w:val="0"/>
    </w:pPr>
    <w:rPr>
      <w:rFonts w:asciiTheme="minorHAnsi" w:hAnsiTheme="minorHAnsi" w:eastAsiaTheme="minorEastAsia" w:cstheme="minorBidi"/>
      <w:kern w:val="2"/>
      <w:sz w:val="21"/>
      <w:szCs w:val="22"/>
      <w:lang w:val="en-US" w:eastAsia="zh-CN" w:bidi="ar-SA"/>
    </w:rPr>
  </w:style>
  <w:style w:type="character" w:customStyle="1" w:styleId="39">
    <w:name w:val="KeywordTok"/>
    <w:uiPriority w:val="0"/>
    <w:rPr>
      <w:b/>
      <w:color w:val="007020"/>
    </w:rPr>
  </w:style>
  <w:style w:type="character" w:customStyle="1" w:styleId="40">
    <w:name w:val="DataTypeTok"/>
    <w:uiPriority w:val="0"/>
    <w:rPr>
      <w:color w:val="902000"/>
    </w:rPr>
  </w:style>
  <w:style w:type="character" w:customStyle="1" w:styleId="41">
    <w:name w:val="DecValTok"/>
    <w:uiPriority w:val="0"/>
    <w:rPr>
      <w:color w:val="40A070"/>
    </w:rPr>
  </w:style>
  <w:style w:type="character" w:customStyle="1" w:styleId="42">
    <w:name w:val="BaseNTok"/>
    <w:qFormat/>
    <w:uiPriority w:val="0"/>
    <w:rPr>
      <w:color w:val="40A070"/>
    </w:rPr>
  </w:style>
  <w:style w:type="character" w:customStyle="1" w:styleId="43">
    <w:name w:val="FloatTok"/>
    <w:uiPriority w:val="0"/>
    <w:rPr>
      <w:color w:val="40A070"/>
    </w:rPr>
  </w:style>
  <w:style w:type="character" w:customStyle="1" w:styleId="44">
    <w:name w:val="ConstantTok"/>
    <w:uiPriority w:val="0"/>
    <w:rPr>
      <w:color w:val="880000"/>
    </w:rPr>
  </w:style>
  <w:style w:type="character" w:customStyle="1" w:styleId="45">
    <w:name w:val="CharTok"/>
    <w:uiPriority w:val="0"/>
    <w:rPr>
      <w:color w:val="4070A0"/>
    </w:rPr>
  </w:style>
  <w:style w:type="character" w:customStyle="1" w:styleId="46">
    <w:name w:val="SpecialCharTok"/>
    <w:uiPriority w:val="0"/>
    <w:rPr>
      <w:color w:val="4070A0"/>
    </w:rPr>
  </w:style>
  <w:style w:type="character" w:customStyle="1" w:styleId="47">
    <w:name w:val="StringTok"/>
    <w:qFormat/>
    <w:uiPriority w:val="0"/>
    <w:rPr>
      <w:color w:val="4070A0"/>
    </w:rPr>
  </w:style>
  <w:style w:type="character" w:customStyle="1" w:styleId="48">
    <w:name w:val="VerbatimStringTok"/>
    <w:uiPriority w:val="0"/>
    <w:rPr>
      <w:color w:val="4070A0"/>
    </w:rPr>
  </w:style>
  <w:style w:type="character" w:customStyle="1" w:styleId="49">
    <w:name w:val="SpecialStringTok"/>
    <w:uiPriority w:val="0"/>
    <w:rPr>
      <w:color w:val="BB6688"/>
    </w:rPr>
  </w:style>
  <w:style w:type="character" w:customStyle="1" w:styleId="50">
    <w:name w:val="ImportTok"/>
    <w:uiPriority w:val="0"/>
    <w:rPr>
      <w:b/>
      <w:color w:val="008000"/>
    </w:rPr>
  </w:style>
  <w:style w:type="character" w:customStyle="1" w:styleId="51">
    <w:name w:val="CommentTok"/>
    <w:uiPriority w:val="0"/>
    <w:rPr>
      <w:i/>
      <w:color w:val="60A0B0"/>
    </w:rPr>
  </w:style>
  <w:style w:type="character" w:customStyle="1" w:styleId="52">
    <w:name w:val="DocumentationTok"/>
    <w:uiPriority w:val="0"/>
    <w:rPr>
      <w:i/>
      <w:color w:val="BA2121"/>
    </w:rPr>
  </w:style>
  <w:style w:type="character" w:customStyle="1" w:styleId="53">
    <w:name w:val="AnnotationTok"/>
    <w:uiPriority w:val="0"/>
    <w:rPr>
      <w:b/>
      <w:i/>
      <w:color w:val="60A0B0"/>
    </w:rPr>
  </w:style>
  <w:style w:type="character" w:customStyle="1" w:styleId="54">
    <w:name w:val="CommentVarTok"/>
    <w:uiPriority w:val="0"/>
    <w:rPr>
      <w:b/>
      <w:i/>
      <w:color w:val="60A0B0"/>
    </w:rPr>
  </w:style>
  <w:style w:type="character" w:customStyle="1" w:styleId="55">
    <w:name w:val="OtherTok"/>
    <w:uiPriority w:val="0"/>
    <w:rPr>
      <w:color w:val="007020"/>
    </w:rPr>
  </w:style>
  <w:style w:type="character" w:customStyle="1" w:styleId="56">
    <w:name w:val="FunctionTok"/>
    <w:uiPriority w:val="0"/>
    <w:rPr>
      <w:color w:val="06287E"/>
    </w:rPr>
  </w:style>
  <w:style w:type="character" w:customStyle="1" w:styleId="57">
    <w:name w:val="VariableTok"/>
    <w:uiPriority w:val="0"/>
    <w:rPr>
      <w:color w:val="19177C"/>
    </w:rPr>
  </w:style>
  <w:style w:type="character" w:customStyle="1" w:styleId="58">
    <w:name w:val="ControlFlowTok"/>
    <w:uiPriority w:val="0"/>
    <w:rPr>
      <w:b/>
      <w:color w:val="007020"/>
    </w:rPr>
  </w:style>
  <w:style w:type="character" w:customStyle="1" w:styleId="59">
    <w:name w:val="OperatorTok"/>
    <w:uiPriority w:val="0"/>
    <w:rPr>
      <w:color w:val="666666"/>
    </w:rPr>
  </w:style>
  <w:style w:type="character" w:customStyle="1" w:styleId="60">
    <w:name w:val="BuiltInTok"/>
    <w:uiPriority w:val="0"/>
    <w:rPr>
      <w:color w:val="008000"/>
    </w:rPr>
  </w:style>
  <w:style w:type="character" w:customStyle="1" w:styleId="61">
    <w:name w:val="ExtensionTok"/>
    <w:uiPriority w:val="0"/>
  </w:style>
  <w:style w:type="character" w:customStyle="1" w:styleId="62">
    <w:name w:val="PreprocessorTok"/>
    <w:uiPriority w:val="0"/>
    <w:rPr>
      <w:color w:val="BC7A00"/>
    </w:rPr>
  </w:style>
  <w:style w:type="character" w:customStyle="1" w:styleId="63">
    <w:name w:val="AttributeTok"/>
    <w:uiPriority w:val="0"/>
    <w:rPr>
      <w:color w:val="7D9029"/>
    </w:rPr>
  </w:style>
  <w:style w:type="character" w:customStyle="1" w:styleId="64">
    <w:name w:val="RegionMarkerTok"/>
    <w:uiPriority w:val="0"/>
  </w:style>
  <w:style w:type="character" w:customStyle="1" w:styleId="65">
    <w:name w:val="InformationTok"/>
    <w:uiPriority w:val="0"/>
    <w:rPr>
      <w:b/>
      <w:i/>
      <w:color w:val="60A0B0"/>
    </w:rPr>
  </w:style>
  <w:style w:type="character" w:customStyle="1" w:styleId="66">
    <w:name w:val="WarningTok"/>
    <w:uiPriority w:val="0"/>
    <w:rPr>
      <w:b/>
      <w:i/>
      <w:color w:val="60A0B0"/>
    </w:rPr>
  </w:style>
  <w:style w:type="character" w:customStyle="1" w:styleId="67">
    <w:name w:val="AlertTok"/>
    <w:uiPriority w:val="0"/>
    <w:rPr>
      <w:b/>
      <w:color w:val="FF0000"/>
    </w:rPr>
  </w:style>
  <w:style w:type="character" w:customStyle="1" w:styleId="68">
    <w:name w:val="ErrorTok"/>
    <w:uiPriority w:val="0"/>
    <w:rPr>
      <w:b/>
      <w:color w:val="FF0000"/>
    </w:rPr>
  </w:style>
  <w:style w:type="character" w:customStyle="1" w:styleId="69">
    <w:name w:val="NormalTok"/>
    <w:uiPriority w:val="0"/>
  </w:style>
  <w:style w:type="paragraph" w:customStyle="1" w:styleId="70">
    <w:name w:val="First Paragraph"/>
    <w:basedOn w:val="1"/>
    <w:uiPriority w:val="0"/>
    <w:pPr>
      <w:spacing w:line="440" w:lineRule="atLeast"/>
      <w:ind w:firstLine="420" w:firstLineChars="200"/>
    </w:pPr>
  </w:style>
  <w:style w:type="paragraph" w:customStyle="1" w:styleId="71">
    <w:name w:val="Compact"/>
    <w:basedOn w:val="1"/>
    <w:uiPriority w:val="0"/>
    <w:pPr>
      <w:spacing w:line="440" w:lineRule="atLeast"/>
    </w:pPr>
  </w:style>
  <w:style w:type="paragraph" w:customStyle="1" w:styleId="72">
    <w:name w:val="Source Code1"/>
    <w:uiPriority w:val="0"/>
    <w:pPr>
      <w:wordWrap w:val="0"/>
    </w:pPr>
    <w:rPr>
      <w:rFonts w:asciiTheme="minorHAnsi" w:hAnsiTheme="minorHAnsi" w:eastAsiaTheme="minorEastAsia" w:cstheme="minorBidi"/>
      <w:kern w:val="2"/>
      <w:sz w:val="21"/>
      <w:szCs w:val="22"/>
      <w:lang w:val="en-US" w:eastAsia="zh-CN" w:bidi="ar-SA"/>
    </w:rPr>
  </w:style>
  <w:style w:type="character" w:customStyle="1" w:styleId="73">
    <w:name w:val="KeywordTok1"/>
    <w:uiPriority w:val="0"/>
    <w:rPr>
      <w:b/>
      <w:color w:val="007020"/>
    </w:rPr>
  </w:style>
  <w:style w:type="character" w:customStyle="1" w:styleId="74">
    <w:name w:val="DataTypeTok1"/>
    <w:uiPriority w:val="0"/>
    <w:rPr>
      <w:color w:val="902000"/>
    </w:rPr>
  </w:style>
  <w:style w:type="character" w:customStyle="1" w:styleId="75">
    <w:name w:val="DecValTok1"/>
    <w:uiPriority w:val="0"/>
    <w:rPr>
      <w:color w:val="40A070"/>
    </w:rPr>
  </w:style>
  <w:style w:type="character" w:customStyle="1" w:styleId="76">
    <w:name w:val="BaseNTok1"/>
    <w:uiPriority w:val="0"/>
    <w:rPr>
      <w:color w:val="40A070"/>
    </w:rPr>
  </w:style>
  <w:style w:type="character" w:customStyle="1" w:styleId="77">
    <w:name w:val="FloatTok1"/>
    <w:uiPriority w:val="0"/>
    <w:rPr>
      <w:color w:val="40A070"/>
    </w:rPr>
  </w:style>
  <w:style w:type="character" w:customStyle="1" w:styleId="78">
    <w:name w:val="ConstantTok1"/>
    <w:uiPriority w:val="0"/>
    <w:rPr>
      <w:color w:val="880000"/>
    </w:rPr>
  </w:style>
  <w:style w:type="character" w:customStyle="1" w:styleId="79">
    <w:name w:val="CharTok1"/>
    <w:uiPriority w:val="0"/>
    <w:rPr>
      <w:color w:val="4070A0"/>
    </w:rPr>
  </w:style>
  <w:style w:type="character" w:customStyle="1" w:styleId="80">
    <w:name w:val="SpecialCharTok1"/>
    <w:uiPriority w:val="0"/>
    <w:rPr>
      <w:color w:val="4070A0"/>
    </w:rPr>
  </w:style>
  <w:style w:type="character" w:customStyle="1" w:styleId="81">
    <w:name w:val="StringTok1"/>
    <w:uiPriority w:val="0"/>
    <w:rPr>
      <w:color w:val="4070A0"/>
    </w:rPr>
  </w:style>
  <w:style w:type="character" w:customStyle="1" w:styleId="82">
    <w:name w:val="VerbatimStringTok1"/>
    <w:uiPriority w:val="0"/>
    <w:rPr>
      <w:color w:val="4070A0"/>
    </w:rPr>
  </w:style>
  <w:style w:type="character" w:customStyle="1" w:styleId="83">
    <w:name w:val="SpecialStringTok1"/>
    <w:uiPriority w:val="0"/>
    <w:rPr>
      <w:color w:val="BB6688"/>
    </w:rPr>
  </w:style>
  <w:style w:type="character" w:customStyle="1" w:styleId="84">
    <w:name w:val="ImportTok1"/>
    <w:uiPriority w:val="0"/>
    <w:rPr>
      <w:b/>
      <w:color w:val="008000"/>
    </w:rPr>
  </w:style>
  <w:style w:type="character" w:customStyle="1" w:styleId="85">
    <w:name w:val="CommentTok1"/>
    <w:uiPriority w:val="0"/>
    <w:rPr>
      <w:i/>
      <w:color w:val="60A0B0"/>
    </w:rPr>
  </w:style>
  <w:style w:type="character" w:customStyle="1" w:styleId="86">
    <w:name w:val="DocumentationTok1"/>
    <w:qFormat/>
    <w:uiPriority w:val="0"/>
    <w:rPr>
      <w:i/>
      <w:color w:val="BA2121"/>
    </w:rPr>
  </w:style>
  <w:style w:type="character" w:customStyle="1" w:styleId="87">
    <w:name w:val="AnnotationTok1"/>
    <w:uiPriority w:val="0"/>
    <w:rPr>
      <w:b/>
      <w:i/>
      <w:color w:val="60A0B0"/>
    </w:rPr>
  </w:style>
  <w:style w:type="character" w:customStyle="1" w:styleId="88">
    <w:name w:val="CommentVarTok1"/>
    <w:uiPriority w:val="0"/>
    <w:rPr>
      <w:b/>
      <w:i/>
      <w:color w:val="60A0B0"/>
    </w:rPr>
  </w:style>
  <w:style w:type="character" w:customStyle="1" w:styleId="89">
    <w:name w:val="OtherTok1"/>
    <w:uiPriority w:val="0"/>
    <w:rPr>
      <w:color w:val="007020"/>
    </w:rPr>
  </w:style>
  <w:style w:type="character" w:customStyle="1" w:styleId="90">
    <w:name w:val="FunctionTok1"/>
    <w:uiPriority w:val="0"/>
    <w:rPr>
      <w:color w:val="06287E"/>
    </w:rPr>
  </w:style>
  <w:style w:type="character" w:customStyle="1" w:styleId="91">
    <w:name w:val="VariableTok1"/>
    <w:uiPriority w:val="0"/>
    <w:rPr>
      <w:color w:val="19177C"/>
    </w:rPr>
  </w:style>
  <w:style w:type="character" w:customStyle="1" w:styleId="92">
    <w:name w:val="ControlFlowTok1"/>
    <w:uiPriority w:val="0"/>
    <w:rPr>
      <w:b/>
      <w:color w:val="007020"/>
    </w:rPr>
  </w:style>
  <w:style w:type="character" w:customStyle="1" w:styleId="93">
    <w:name w:val="OperatorTok1"/>
    <w:uiPriority w:val="0"/>
    <w:rPr>
      <w:color w:val="666666"/>
    </w:rPr>
  </w:style>
  <w:style w:type="character" w:customStyle="1" w:styleId="94">
    <w:name w:val="BuiltInTok1"/>
    <w:uiPriority w:val="0"/>
    <w:rPr>
      <w:color w:val="008000"/>
    </w:rPr>
  </w:style>
  <w:style w:type="character" w:customStyle="1" w:styleId="95">
    <w:name w:val="ExtensionTok1"/>
    <w:uiPriority w:val="0"/>
  </w:style>
  <w:style w:type="character" w:customStyle="1" w:styleId="96">
    <w:name w:val="PreprocessorTok1"/>
    <w:uiPriority w:val="0"/>
    <w:rPr>
      <w:color w:val="BC7A00"/>
    </w:rPr>
  </w:style>
  <w:style w:type="character" w:customStyle="1" w:styleId="97">
    <w:name w:val="AttributeTok1"/>
    <w:uiPriority w:val="0"/>
    <w:rPr>
      <w:color w:val="7D9029"/>
    </w:rPr>
  </w:style>
  <w:style w:type="character" w:customStyle="1" w:styleId="98">
    <w:name w:val="RegionMarkerTok1"/>
    <w:uiPriority w:val="0"/>
  </w:style>
  <w:style w:type="character" w:customStyle="1" w:styleId="99">
    <w:name w:val="InformationTok1"/>
    <w:uiPriority w:val="0"/>
    <w:rPr>
      <w:b/>
      <w:i/>
      <w:color w:val="60A0B0"/>
    </w:rPr>
  </w:style>
  <w:style w:type="character" w:customStyle="1" w:styleId="100">
    <w:name w:val="WarningTok1"/>
    <w:uiPriority w:val="0"/>
    <w:rPr>
      <w:b/>
      <w:i/>
      <w:color w:val="60A0B0"/>
    </w:rPr>
  </w:style>
  <w:style w:type="character" w:customStyle="1" w:styleId="101">
    <w:name w:val="AlertTok1"/>
    <w:uiPriority w:val="0"/>
    <w:rPr>
      <w:b/>
      <w:color w:val="FF0000"/>
    </w:rPr>
  </w:style>
  <w:style w:type="character" w:customStyle="1" w:styleId="102">
    <w:name w:val="ErrorTok1"/>
    <w:uiPriority w:val="0"/>
    <w:rPr>
      <w:b/>
      <w:color w:val="FF0000"/>
    </w:rPr>
  </w:style>
  <w:style w:type="character" w:customStyle="1" w:styleId="103">
    <w:name w:val="NormalTok1"/>
    <w:uiPriority w:val="0"/>
  </w:style>
  <w:style w:type="paragraph" w:customStyle="1" w:styleId="104">
    <w:name w:val="Source Code2"/>
    <w:uiPriority w:val="0"/>
    <w:pPr>
      <w:wordWrap w:val="0"/>
    </w:pPr>
    <w:rPr>
      <w:rFonts w:asciiTheme="minorHAnsi" w:hAnsiTheme="minorHAnsi" w:eastAsiaTheme="minorEastAsia" w:cstheme="minorBidi"/>
      <w:kern w:val="2"/>
      <w:sz w:val="21"/>
      <w:szCs w:val="22"/>
      <w:lang w:val="en-US" w:eastAsia="zh-CN" w:bidi="ar-SA"/>
    </w:rPr>
  </w:style>
  <w:style w:type="character" w:customStyle="1" w:styleId="105">
    <w:name w:val="KeywordTok2"/>
    <w:uiPriority w:val="0"/>
    <w:rPr>
      <w:b/>
      <w:color w:val="007020"/>
    </w:rPr>
  </w:style>
  <w:style w:type="character" w:customStyle="1" w:styleId="106">
    <w:name w:val="DataTypeTok2"/>
    <w:uiPriority w:val="0"/>
    <w:rPr>
      <w:color w:val="902000"/>
    </w:rPr>
  </w:style>
  <w:style w:type="character" w:customStyle="1" w:styleId="107">
    <w:name w:val="DecValTok2"/>
    <w:uiPriority w:val="0"/>
    <w:rPr>
      <w:color w:val="40A070"/>
    </w:rPr>
  </w:style>
  <w:style w:type="character" w:customStyle="1" w:styleId="108">
    <w:name w:val="BaseNTok2"/>
    <w:uiPriority w:val="0"/>
    <w:rPr>
      <w:color w:val="40A070"/>
    </w:rPr>
  </w:style>
  <w:style w:type="character" w:customStyle="1" w:styleId="109">
    <w:name w:val="FloatTok2"/>
    <w:uiPriority w:val="0"/>
    <w:rPr>
      <w:color w:val="40A070"/>
    </w:rPr>
  </w:style>
  <w:style w:type="character" w:customStyle="1" w:styleId="110">
    <w:name w:val="ConstantTok2"/>
    <w:uiPriority w:val="0"/>
    <w:rPr>
      <w:color w:val="880000"/>
    </w:rPr>
  </w:style>
  <w:style w:type="character" w:customStyle="1" w:styleId="111">
    <w:name w:val="CharTok2"/>
    <w:uiPriority w:val="0"/>
    <w:rPr>
      <w:color w:val="4070A0"/>
    </w:rPr>
  </w:style>
  <w:style w:type="character" w:customStyle="1" w:styleId="112">
    <w:name w:val="SpecialCharTok2"/>
    <w:uiPriority w:val="0"/>
    <w:rPr>
      <w:color w:val="4070A0"/>
    </w:rPr>
  </w:style>
  <w:style w:type="character" w:customStyle="1" w:styleId="113">
    <w:name w:val="StringTok2"/>
    <w:uiPriority w:val="0"/>
    <w:rPr>
      <w:color w:val="4070A0"/>
    </w:rPr>
  </w:style>
  <w:style w:type="character" w:customStyle="1" w:styleId="114">
    <w:name w:val="VerbatimStringTok2"/>
    <w:uiPriority w:val="0"/>
    <w:rPr>
      <w:color w:val="4070A0"/>
    </w:rPr>
  </w:style>
  <w:style w:type="character" w:customStyle="1" w:styleId="115">
    <w:name w:val="SpecialStringTok2"/>
    <w:uiPriority w:val="0"/>
    <w:rPr>
      <w:color w:val="BB6688"/>
    </w:rPr>
  </w:style>
  <w:style w:type="character" w:customStyle="1" w:styleId="116">
    <w:name w:val="ImportTok2"/>
    <w:uiPriority w:val="0"/>
    <w:rPr>
      <w:b/>
      <w:color w:val="008000"/>
    </w:rPr>
  </w:style>
  <w:style w:type="character" w:customStyle="1" w:styleId="117">
    <w:name w:val="CommentTok2"/>
    <w:uiPriority w:val="0"/>
    <w:rPr>
      <w:i/>
      <w:color w:val="60A0B0"/>
    </w:rPr>
  </w:style>
  <w:style w:type="character" w:customStyle="1" w:styleId="118">
    <w:name w:val="DocumentationTok2"/>
    <w:uiPriority w:val="0"/>
    <w:rPr>
      <w:i/>
      <w:color w:val="BA2121"/>
    </w:rPr>
  </w:style>
  <w:style w:type="character" w:customStyle="1" w:styleId="119">
    <w:name w:val="AnnotationTok2"/>
    <w:uiPriority w:val="0"/>
    <w:rPr>
      <w:b/>
      <w:i/>
      <w:color w:val="60A0B0"/>
    </w:rPr>
  </w:style>
  <w:style w:type="character" w:customStyle="1" w:styleId="120">
    <w:name w:val="CommentVarTok2"/>
    <w:uiPriority w:val="0"/>
    <w:rPr>
      <w:b/>
      <w:i/>
      <w:color w:val="60A0B0"/>
    </w:rPr>
  </w:style>
  <w:style w:type="character" w:customStyle="1" w:styleId="121">
    <w:name w:val="OtherTok2"/>
    <w:uiPriority w:val="0"/>
    <w:rPr>
      <w:color w:val="007020"/>
    </w:rPr>
  </w:style>
  <w:style w:type="character" w:customStyle="1" w:styleId="122">
    <w:name w:val="FunctionTok2"/>
    <w:qFormat/>
    <w:uiPriority w:val="0"/>
    <w:rPr>
      <w:color w:val="06287E"/>
    </w:rPr>
  </w:style>
  <w:style w:type="character" w:customStyle="1" w:styleId="123">
    <w:name w:val="VariableTok2"/>
    <w:qFormat/>
    <w:uiPriority w:val="0"/>
    <w:rPr>
      <w:color w:val="19177C"/>
    </w:rPr>
  </w:style>
  <w:style w:type="character" w:customStyle="1" w:styleId="124">
    <w:name w:val="ControlFlowTok2"/>
    <w:qFormat/>
    <w:uiPriority w:val="0"/>
    <w:rPr>
      <w:b/>
      <w:color w:val="007020"/>
    </w:rPr>
  </w:style>
  <w:style w:type="character" w:customStyle="1" w:styleId="125">
    <w:name w:val="OperatorTok2"/>
    <w:qFormat/>
    <w:uiPriority w:val="0"/>
    <w:rPr>
      <w:color w:val="666666"/>
    </w:rPr>
  </w:style>
  <w:style w:type="character" w:customStyle="1" w:styleId="126">
    <w:name w:val="BuiltInTok2"/>
    <w:qFormat/>
    <w:uiPriority w:val="0"/>
    <w:rPr>
      <w:color w:val="008000"/>
    </w:rPr>
  </w:style>
  <w:style w:type="character" w:customStyle="1" w:styleId="127">
    <w:name w:val="ExtensionTok2"/>
    <w:qFormat/>
    <w:uiPriority w:val="0"/>
  </w:style>
  <w:style w:type="character" w:customStyle="1" w:styleId="128">
    <w:name w:val="PreprocessorTok2"/>
    <w:qFormat/>
    <w:uiPriority w:val="0"/>
    <w:rPr>
      <w:color w:val="BC7A00"/>
    </w:rPr>
  </w:style>
  <w:style w:type="character" w:customStyle="1" w:styleId="129">
    <w:name w:val="AttributeTok2"/>
    <w:qFormat/>
    <w:uiPriority w:val="0"/>
    <w:rPr>
      <w:color w:val="7D9029"/>
    </w:rPr>
  </w:style>
  <w:style w:type="character" w:customStyle="1" w:styleId="130">
    <w:name w:val="RegionMarkerTok2"/>
    <w:qFormat/>
    <w:uiPriority w:val="0"/>
  </w:style>
  <w:style w:type="character" w:customStyle="1" w:styleId="131">
    <w:name w:val="InformationTok2"/>
    <w:qFormat/>
    <w:uiPriority w:val="0"/>
    <w:rPr>
      <w:b/>
      <w:i/>
      <w:color w:val="60A0B0"/>
    </w:rPr>
  </w:style>
  <w:style w:type="character" w:customStyle="1" w:styleId="132">
    <w:name w:val="WarningTok2"/>
    <w:qFormat/>
    <w:uiPriority w:val="0"/>
    <w:rPr>
      <w:b/>
      <w:i/>
      <w:color w:val="60A0B0"/>
    </w:rPr>
  </w:style>
  <w:style w:type="character" w:customStyle="1" w:styleId="133">
    <w:name w:val="AlertTok2"/>
    <w:qFormat/>
    <w:uiPriority w:val="0"/>
    <w:rPr>
      <w:b/>
      <w:color w:val="FF0000"/>
    </w:rPr>
  </w:style>
  <w:style w:type="character" w:customStyle="1" w:styleId="134">
    <w:name w:val="ErrorTok2"/>
    <w:qFormat/>
    <w:uiPriority w:val="0"/>
    <w:rPr>
      <w:b/>
      <w:color w:val="FF0000"/>
    </w:rPr>
  </w:style>
  <w:style w:type="character" w:customStyle="1" w:styleId="135">
    <w:name w:val="NormalTok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10719</Words>
  <Characters>10983</Characters>
  <Lines>3</Lines>
  <Paragraphs>3</Paragraphs>
  <TotalTime>5</TotalTime>
  <ScaleCrop>false</ScaleCrop>
  <LinksUpToDate>false</LinksUpToDate>
  <CharactersWithSpaces>11371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2026-06-18T07:59:00Z</dcterms:created>
  <dc:creator>万物理论</dc:creator>
  <cp:lastModifiedBy>万物理论</cp:lastModifiedBy>
  <dcterms:modified xsi:type="dcterms:W3CDTF">2026-06-18T08:27:37Z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eyJoZGlkIjoiMzg1YWIzNzRjOGFiZDFlZGY2ZTEwMWIwOGU5NzY1MjciLCJ1c2VySWQiOiIyNDc5OTc3NjYifQ==</vt:lpwstr>
  </property>
  <property fmtid="{D5CDD505-2E9C-101B-9397-08002B2CF9AE}" pid="3" name="KSOProductBuildVer">
    <vt:lpwstr>2052-12.1.0.26895</vt:lpwstr>
  </property>
  <property fmtid="{D5CDD505-2E9C-101B-9397-08002B2CF9AE}" pid="4" name="ICV">
    <vt:lpwstr>239B0453ABED4241BEA5EEDC7C5A8183_12</vt:lpwstr>
  </property>
</Properties>
</file>