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200" w:before="400"/>
        <w:jc w:val="center"/>
      </w:pPr>
      <w:r>
        <w:rPr>
          <w:rFonts w:ascii="Arial" w:cs="Arial" w:eastAsia="Arial" w:hAnsi="Arial"/>
          <w:b/>
          <w:bCs/>
          <w:color w:val="1A3A5C"/>
          <w:sz w:val="56"/>
          <w:szCs w:val="56"/>
        </w:rPr>
        <w:t xml:space="preserve">FRAUDGUARD POC</w:t>
      </w:r>
    </w:p>
    <w:p>
      <w:pPr>
        <w:spacing w:after="100" w:before="100"/>
        <w:jc w:val="center"/>
      </w:pPr>
      <w:r>
        <w:rPr>
          <w:rFonts w:ascii="Arial" w:cs="Arial" w:eastAsia="Arial" w:hAnsi="Arial"/>
          <w:color w:val="2E75B6"/>
          <w:sz w:val="36"/>
          <w:szCs w:val="36"/>
        </w:rPr>
        <w:t xml:space="preserve">Credit Card Fraud Detection System</w:t>
      </w:r>
    </w:p>
    <w:p>
      <w:pPr>
        <w:spacing w:after="400" w:before="100"/>
        <w:jc w:val="center"/>
      </w:pPr>
      <w:r>
        <w:rPr>
          <w:rFonts w:ascii="Arial" w:cs="Arial" w:eastAsia="Arial" w:hAnsi="Arial"/>
          <w:b/>
          <w:bCs/>
          <w:color w:val="333333"/>
          <w:sz w:val="32"/>
          <w:szCs w:val="32"/>
        </w:rPr>
        <w:t xml:space="preserve">Technical Code Explanation Report</w:t>
      </w:r>
    </w:p>
    <w:p>
      <w:pPr>
        <w:pBdr>
          <w:bottom w:val="single" w:color="2E75B6" w:sz="6" w:space="1"/>
        </w:pBdr>
        <w:spacing w:after="200" w:before="200"/>
      </w:pPr>
    </w:p>
    <w:p>
      <w:pPr>
        <w:spacing w:after="80" w:before="80"/>
      </w:pPr>
    </w:p>
    <w:p>
      <w:pPr>
        <w:spacing w:after="100" w:before="200"/>
        <w:jc w:val="center"/>
      </w:pPr>
      <w:r>
        <w:rPr>
          <w:rFonts w:ascii="Arial" w:cs="Arial" w:eastAsia="Arial" w:hAnsi="Arial"/>
          <w:color w:val="333333"/>
          <w:sz w:val="22"/>
          <w:szCs w:val="22"/>
        </w:rPr>
        <w:t xml:space="preserve">Prepared by: Data Science Team  |  June 2026  |  Confidential</w:t>
      </w:r>
    </w:p>
    <w:p>
      <w:r>
        <w:br w:type="page"/>
      </w:r>
    </w:p>
    <w:p>
      <w:pPr>
        <w:pStyle w:val="Heading1"/>
        <w:spacing w:after="200" w:before="400"/>
      </w:pPr>
      <w:r>
        <w:rPr>
          <w:rFonts w:ascii="Arial" w:cs="Arial" w:eastAsia="Arial" w:hAnsi="Arial"/>
          <w:b/>
          <w:bCs/>
          <w:color w:val="1A3A5C"/>
          <w:sz w:val="36"/>
          <w:szCs w:val="36"/>
        </w:rPr>
        <w:t xml:space="preserve">Technical Overview</w:t>
      </w:r>
    </w:p>
    <w:p>
      <w:pPr>
        <w:pBdr>
          <w:bottom w:val="single" w:color="2E75B6" w:sz="6" w:space="1"/>
        </w:pBdr>
        <w:spacing w:after="200" w:before="200"/>
      </w:pPr>
    </w:p>
    <w:p>
      <w:pPr>
        <w:spacing w:after="100" w:before="100"/>
      </w:pPr>
      <w:r>
        <w:rPr>
          <w:rFonts w:ascii="Arial" w:cs="Arial" w:eastAsia="Arial" w:hAnsi="Arial"/>
          <w:sz w:val="22"/>
          <w:szCs w:val="22"/>
        </w:rPr>
        <w:t xml:space="preserve">This report provides a detailed, line-by-line explanation of all code written during the FraudGuard POC lab. Each of the 10 tasks is covered in full, explaining what every line of code does, why it was written that way, and what the output means in the context of fraud detection.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1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Library</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Load CSV into Pandas DataFrame</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Pandas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Statistical properties &amp; NaN check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Average spend by fraud status</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Pandas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card fraud analysis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Data cleaning &amp; feature engineering</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Pandas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Correlation heatmap visualization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Seaborn / Matplotlib</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7</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Label encode categorical features</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Scikit-Learn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Train-test split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Scikit-Learn</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9</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Train Random Forest Classifier</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Scikit-Learn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Evaluate model — accuracy &amp; confusion matrix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Scikit-Learn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EBF3FB" w:val="clear"/>
            <w:tcMar>
              <w:top w:type="dxa" w:w="120"/>
              <w:left w:type="dxa" w:w="180"/>
              <w:bottom w:type="dxa" w:w="120"/>
              <w:right w:type="dxa" w:w="180"/>
            </w:tcMar>
          </w:tcPr>
          <w:p>
            <w:r>
              <w:rPr>
                <w:rFonts w:ascii="Arial" w:cs="Arial" w:eastAsia="Arial" w:hAnsi="Arial"/>
                <w:b/>
                <w:bCs/>
                <w:color w:val="2E75B6"/>
                <w:sz w:val="24"/>
                <w:szCs w:val="24"/>
              </w:rPr>
              <w:t xml:space="preserve">TASK 1:  </w:t>
            </w:r>
            <w:r>
              <w:rPr>
                <w:rFonts w:ascii="Arial" w:cs="Arial" w:eastAsia="Arial" w:hAnsi="Arial"/>
                <w:b/>
                <w:bCs/>
                <w:color w:val="1A3A5C"/>
                <w:sz w:val="24"/>
                <w:szCs w:val="24"/>
              </w:rPr>
              <w:t xml:space="preserve">Load the CSV Data File into a Pandas DataFrame</w:t>
            </w:r>
          </w:p>
        </w:tc>
      </w:tr>
    </w:tbl>
    <w:p>
      <w:pPr>
        <w:spacing w:after="80" w:before="80"/>
      </w:pPr>
    </w:p>
    <w:p>
      <w:pPr>
        <w:pBdr>
          <w:left w:val="single" w:color="2E75B6" w:sz="16" w:space="8"/>
        </w:pBdr>
        <w:shd w:fill="F0F4F8" w:val="clear"/>
        <w:spacing w:after="120" w:before="120"/>
      </w:pPr>
      <w:r>
        <w:rPr>
          <w:rFonts w:ascii="Courier New" w:cs="Courier New" w:eastAsia="Courier New" w:hAnsi="Courier New"/>
          <w:color w:val="1A3A5C"/>
          <w:sz w:val="18"/>
          <w:szCs w:val="18"/>
        </w:rPr>
        <w:t xml:space="preserve">import pandas as pd</w:t>
      </w:r>
    </w:p>
    <w:p>
      <w:pPr>
        <w:spacing w:after="100" w:before="100"/>
      </w:pPr>
      <w:r>
        <w:rPr>
          <w:rFonts w:ascii="Arial" w:cs="Arial" w:eastAsia="Arial" w:hAnsi="Arial"/>
          <w:sz w:val="22"/>
          <w:szCs w:val="22"/>
        </w:rPr>
        <w:t xml:space="preserve">Imports the Pandas library and assigns it the alias 'pd'. Pandas is the foundational Python library for data manipulation, providing the DataFrame structure — a 2D labeled table similar to a spreadsheet — used throughout the entire project.</w:t>
      </w:r>
    </w:p>
    <w:p>
      <w:pPr>
        <w:spacing w:after="80" w:before="80"/>
      </w:pPr>
    </w:p>
    <w:p>
      <w:pPr>
        <w:pBdr>
          <w:left w:val="single" w:color="2E75B6" w:sz="16" w:space="8"/>
        </w:pBdr>
        <w:shd w:fill="F0F4F8" w:val="clear"/>
        <w:spacing w:after="120" w:before="120"/>
      </w:pPr>
      <w:r>
        <w:rPr>
          <w:rFonts w:ascii="Courier New" w:cs="Courier New" w:eastAsia="Courier New" w:hAnsi="Courier New"/>
          <w:color w:val="1A3A5C"/>
          <w:sz w:val="18"/>
          <w:szCs w:val="18"/>
        </w:rPr>
        <w:t xml:space="preserve">data = pd.read_csv('credit_card.csv')</w:t>
      </w:r>
    </w:p>
    <w:p>
      <w:pPr>
        <w:spacing w:after="100" w:before="100"/>
      </w:pPr>
      <w:r>
        <w:rPr>
          <w:rFonts w:ascii="Arial" w:cs="Arial" w:eastAsia="Arial" w:hAnsi="Arial"/>
          <w:sz w:val="22"/>
          <w:szCs w:val="22"/>
        </w:rPr>
        <w:t xml:space="preserve">Reads the CSV file from disk into a Pandas DataFrame named 'data'. The read_csv function automatically infers column names from the first (header) row and determines data types from the values in each column. This single line loads all 59,073 rows and 22 columns into memory.</w:t>
      </w:r>
    </w:p>
    <w:p>
      <w:pPr>
        <w:spacing w:after="80" w:before="80"/>
      </w:pPr>
    </w:p>
    <w:p>
      <w:pPr>
        <w:pBdr>
          <w:left w:val="single" w:color="2E75B6" w:sz="16" w:space="8"/>
        </w:pBdr>
        <w:shd w:fill="F0F4F8" w:val="clear"/>
        <w:spacing w:after="120" w:before="120"/>
      </w:pPr>
      <w:r>
        <w:rPr>
          <w:rFonts w:ascii="Courier New" w:cs="Courier New" w:eastAsia="Courier New" w:hAnsi="Courier New"/>
          <w:color w:val="1A3A5C"/>
          <w:sz w:val="18"/>
          <w:szCs w:val="18"/>
        </w:rPr>
        <w:t xml:space="preserve">data.head(5)</w:t>
      </w:r>
    </w:p>
    <w:p>
      <w:pPr>
        <w:spacing w:after="100" w:before="100"/>
      </w:pPr>
      <w:r>
        <w:rPr>
          <w:rFonts w:ascii="Arial" w:cs="Arial" w:eastAsia="Arial" w:hAnsi="Arial"/>
          <w:sz w:val="22"/>
          <w:szCs w:val="22"/>
        </w:rPr>
        <w:t xml:space="preserve">Displays the first 5 rows of the DataFrame in a formatted table. This is the standard first step in any data science workflow — it visually confirms that the data loaded correctly, reveals column names, shows data types, and provides sample values to understand what each column contains.</w:t>
      </w:r>
    </w:p>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EBF3FB" w:val="clear"/>
            <w:tcMar>
              <w:top w:type="dxa" w:w="120"/>
              <w:left w:type="dxa" w:w="180"/>
              <w:bottom w:type="dxa" w:w="120"/>
              <w:right w:type="dxa" w:w="180"/>
            </w:tcMar>
          </w:tcPr>
          <w:p>
            <w:r>
              <w:rPr>
                <w:rFonts w:ascii="Arial" w:cs="Arial" w:eastAsia="Arial" w:hAnsi="Arial"/>
                <w:b/>
                <w:bCs/>
                <w:color w:val="2E75B6"/>
                <w:sz w:val="24"/>
                <w:szCs w:val="24"/>
              </w:rPr>
              <w:t xml:space="preserve">TASK 2:  </w:t>
            </w:r>
            <w:r>
              <w:rPr>
                <w:rFonts w:ascii="Arial" w:cs="Arial" w:eastAsia="Arial" w:hAnsi="Arial"/>
                <w:b/>
                <w:bCs/>
                <w:color w:val="1A3A5C"/>
                <w:sz w:val="24"/>
                <w:szCs w:val="24"/>
              </w:rPr>
              <w:t xml:space="preserve">Find Statistical Properties &amp; Check NaN Values</w:t>
            </w:r>
          </w:p>
        </w:tc>
      </w:tr>
    </w:tbl>
    <w:p>
      <w:pPr>
        <w:spacing w:after="80" w:before="80"/>
      </w:pPr>
    </w:p>
    <w:p>
      <w:pPr>
        <w:pBdr>
          <w:left w:val="single" w:color="2E75B6" w:sz="16" w:space="8"/>
        </w:pBdr>
        <w:shd w:fill="F0F4F8" w:val="clear"/>
        <w:spacing w:after="120" w:before="120"/>
      </w:pPr>
      <w:r>
        <w:rPr>
          <w:rFonts w:ascii="Courier New" w:cs="Courier New" w:eastAsia="Courier New" w:hAnsi="Courier New"/>
          <w:color w:val="1A3A5C"/>
          <w:sz w:val="18"/>
          <w:szCs w:val="18"/>
        </w:rPr>
        <w:t xml:space="preserve">data.describe()</w:t>
      </w:r>
    </w:p>
    <w:p>
      <w:pPr>
        <w:spacing w:after="100" w:before="100"/>
      </w:pPr>
      <w:r>
        <w:rPr>
          <w:rFonts w:ascii="Arial" w:cs="Arial" w:eastAsia="Arial" w:hAnsi="Arial"/>
          <w:sz w:val="22"/>
          <w:szCs w:val="22"/>
        </w:rPr>
        <w:t xml:space="preserve">Generates descriptive statistics for all numeric columns including: count (number of non-null values), mean (average), std (standard deviation), min, 25th percentile, 50th percentile (median), 75th percentile, and max. For this dataset it reveals the average transaction amount is $125.81 with a std of $245.65, indicating very high variability in spend amounts.</w:t>
      </w:r>
    </w:p>
    <w:p>
      <w:pPr>
        <w:spacing w:after="80" w:before="80"/>
      </w:pPr>
    </w:p>
    <w:p>
      <w:pPr>
        <w:pBdr>
          <w:left w:val="single" w:color="2E75B6" w:sz="16" w:space="8"/>
        </w:pBdr>
        <w:shd w:fill="F0F4F8" w:val="clear"/>
        <w:spacing w:after="120" w:before="120"/>
      </w:pPr>
      <w:r>
        <w:rPr>
          <w:rFonts w:ascii="Courier New" w:cs="Courier New" w:eastAsia="Courier New" w:hAnsi="Courier New"/>
          <w:color w:val="1A3A5C"/>
          <w:sz w:val="18"/>
          <w:szCs w:val="18"/>
        </w:rPr>
        <w:t xml:space="preserve">data.isnull().sum()</w:t>
      </w:r>
    </w:p>
    <w:p>
      <w:pPr>
        <w:spacing w:after="100" w:before="100"/>
      </w:pPr>
      <w:r>
        <w:rPr>
          <w:rFonts w:ascii="Arial" w:cs="Arial" w:eastAsia="Arial" w:hAnsi="Arial"/>
          <w:sz w:val="22"/>
          <w:szCs w:val="22"/>
        </w:rPr>
        <w:t xml:space="preserve">Checks for missing values across all columns. The isnull() method returns a boolean DataFrame where True indicates a missing (NaN) value. Calling sum() counts the True values per column, giving the total count of missing values in each. The result for this dataset shows zero null values in all 22 columns — the data is completely clean and no imputation is required.</w:t>
      </w:r>
    </w:p>
    <w:p>
      <w:pPr>
        <w:spacing w:after="80" w:before="80"/>
      </w:pPr>
    </w:p>
    <w:p>
      <w:pPr>
        <w:pBdr>
          <w:left w:val="single" w:color="2E75B6" w:sz="16" w:space="8"/>
        </w:pBdr>
        <w:shd w:fill="F0F4F8" w:val="clear"/>
        <w:spacing w:after="120" w:before="120"/>
      </w:pPr>
      <w:r>
        <w:rPr>
          <w:rFonts w:ascii="Courier New" w:cs="Courier New" w:eastAsia="Courier New" w:hAnsi="Courier New"/>
          <w:color w:val="1A3A5C"/>
          <w:sz w:val="18"/>
          <w:szCs w:val="18"/>
        </w:rPr>
        <w:t xml:space="preserve">data.median()</w:t>
      </w:r>
    </w:p>
    <w:p>
      <w:pPr>
        <w:spacing w:after="100" w:before="100"/>
      </w:pPr>
      <w:r>
        <w:rPr>
          <w:rFonts w:ascii="Arial" w:cs="Arial" w:eastAsia="Arial" w:hAnsi="Arial"/>
          <w:sz w:val="22"/>
          <w:szCs w:val="22"/>
        </w:rPr>
        <w:t xml:space="preserve">Calculates the median (middle value when sorted) for each numeric column. The median is more robust to outliers than the mean — in financial transaction data, a single extremely large transaction can heavily skew the mean but will not affect the median. This makes median a more reliable central tendency measure for 'amt'.</w:t>
      </w:r>
    </w:p>
    <w:p>
      <w:pPr>
        <w:spacing w:after="80" w:before="80"/>
      </w:pPr>
    </w:p>
    <w:p>
      <w:pPr>
        <w:pBdr>
          <w:left w:val="single" w:color="2E75B6" w:sz="16" w:space="8"/>
        </w:pBdr>
        <w:shd w:fill="F0F4F8" w:val="clear"/>
        <w:spacing w:after="120" w:before="120"/>
      </w:pPr>
      <w:r>
        <w:rPr>
          <w:rFonts w:ascii="Courier New" w:cs="Courier New" w:eastAsia="Courier New" w:hAnsi="Courier New"/>
          <w:color w:val="1A3A5C"/>
          <w:sz w:val="18"/>
          <w:szCs w:val="18"/>
        </w:rPr>
        <w:t xml:space="preserve">data.var()</w:t>
      </w:r>
    </w:p>
    <w:p>
      <w:pPr>
        <w:spacing w:after="100" w:before="100"/>
      </w:pPr>
      <w:r>
        <w:rPr>
          <w:rFonts w:ascii="Arial" w:cs="Arial" w:eastAsia="Arial" w:hAnsi="Arial"/>
          <w:sz w:val="22"/>
          <w:szCs w:val="22"/>
        </w:rPr>
        <w:t xml:space="preserve">Computes the variance of each numeric column — a measure of how spread out values are from the mean. High variance in the 'amt' column (approximately 60,343) confirms that transaction amounts vary enormously, which is consistent with real-world spending patterns where purchases range from a few dollars to hundreds.</w:t>
      </w:r>
    </w:p>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EBF3FB" w:val="clear"/>
            <w:tcMar>
              <w:top w:type="dxa" w:w="120"/>
              <w:left w:type="dxa" w:w="180"/>
              <w:bottom w:type="dxa" w:w="120"/>
              <w:right w:type="dxa" w:w="180"/>
            </w:tcMar>
          </w:tcPr>
          <w:p>
            <w:r>
              <w:rPr>
                <w:rFonts w:ascii="Arial" w:cs="Arial" w:eastAsia="Arial" w:hAnsi="Arial"/>
                <w:b/>
                <w:bCs/>
                <w:color w:val="2E75B6"/>
                <w:sz w:val="24"/>
                <w:szCs w:val="24"/>
              </w:rPr>
              <w:t xml:space="preserve">TASK 3:  </w:t>
            </w:r>
            <w:r>
              <w:rPr>
                <w:rFonts w:ascii="Arial" w:cs="Arial" w:eastAsia="Arial" w:hAnsi="Arial"/>
                <w:b/>
                <w:bCs/>
                <w:color w:val="1A3A5C"/>
                <w:sz w:val="24"/>
                <w:szCs w:val="24"/>
              </w:rPr>
              <w:t xml:space="preserve">Compute Average Spend Per Fraud Status</w:t>
            </w:r>
          </w:p>
        </w:tc>
      </w:tr>
    </w:tbl>
    <w:p>
      <w:pPr>
        <w:spacing w:after="80" w:before="80"/>
      </w:pPr>
    </w:p>
    <w:p>
      <w:pPr>
        <w:pBdr>
          <w:left w:val="single" w:color="2E75B6" w:sz="16" w:space="8"/>
        </w:pBdr>
        <w:shd w:fill="F0F4F8" w:val="clear"/>
        <w:spacing w:after="120" w:before="120"/>
      </w:pPr>
      <w:r>
        <w:rPr>
          <w:rFonts w:ascii="Courier New" w:cs="Courier New" w:eastAsia="Courier New" w:hAnsi="Courier New"/>
          <w:color w:val="1A3A5C"/>
          <w:sz w:val="18"/>
          <w:szCs w:val="18"/>
        </w:rPr>
        <w:t xml:space="preserve">data.groupby('is_fraud')['amt'].mean()</w:t>
      </w:r>
    </w:p>
    <w:p>
      <w:pPr>
        <w:spacing w:after="100" w:before="100"/>
      </w:pPr>
      <w:r>
        <w:rPr>
          <w:rFonts w:ascii="Arial" w:cs="Arial" w:eastAsia="Arial" w:hAnsi="Arial"/>
          <w:sz w:val="22"/>
          <w:szCs w:val="22"/>
        </w:rPr>
        <w:t xml:space="preserve">Groups the entire DataFrame by the 'is_fraud' column (values 0 or 1) then calculates the mean transaction amount for each group. The groupby operation internally splits 59,073 rows into two subsets — group 0 (legitimate, ~87.3% of rows) and group 1 (fraudulent, ~12.7%) — then applies the mean aggregation to the 'amt' column within each subset independently. The output shows two mean values: one for legitimate and one for fraudulent transactions.</w:t>
      </w:r>
    </w:p>
    <w:p>
      <w:pPr>
        <w:spacing w:after="80" w:before="80"/>
      </w:pPr>
    </w:p>
    <w:p>
      <w:pPr>
        <w:pBdr>
          <w:left w:val="single" w:color="2E75B6" w:sz="16" w:space="8"/>
        </w:pBdr>
        <w:shd w:fill="F0F4F8" w:val="clear"/>
        <w:spacing w:after="120" w:before="120"/>
      </w:pPr>
      <w:r>
        <w:rPr>
          <w:rFonts w:ascii="Courier New" w:cs="Courier New" w:eastAsia="Courier New" w:hAnsi="Courier New"/>
          <w:color w:val="1A3A5C"/>
          <w:sz w:val="18"/>
          <w:szCs w:val="18"/>
        </w:rPr>
        <w:t xml:space="preserve">data.groupby('is_fraud')['amt'].median()</w:t>
      </w:r>
    </w:p>
    <w:p>
      <w:pPr>
        <w:spacing w:after="100" w:before="100"/>
      </w:pPr>
      <w:r>
        <w:rPr>
          <w:rFonts w:ascii="Arial" w:cs="Arial" w:eastAsia="Arial" w:hAnsi="Arial"/>
          <w:sz w:val="22"/>
          <w:szCs w:val="22"/>
        </w:rPr>
        <w:t xml:space="preserve">Same groupby operation but calculates the median instead of the mean. Comparing mean vs. median for each fraud group reveals whether the difference in spending between fraud and non-fraud is driven by a few extreme outlier transactions or represents a genuine, consistent pattern across all cases. If mean &gt; median for fraud cases, the distribution is right-skewed with a few very large fraudulent charges.</w:t>
      </w:r>
    </w:p>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EBF3FB" w:val="clear"/>
            <w:tcMar>
              <w:top w:type="dxa" w:w="120"/>
              <w:left w:type="dxa" w:w="180"/>
              <w:bottom w:type="dxa" w:w="120"/>
              <w:right w:type="dxa" w:w="180"/>
            </w:tcMar>
          </w:tcPr>
          <w:p>
            <w:r>
              <w:rPr>
                <w:rFonts w:ascii="Arial" w:cs="Arial" w:eastAsia="Arial" w:hAnsi="Arial"/>
                <w:b/>
                <w:bCs/>
                <w:color w:val="2E75B6"/>
                <w:sz w:val="24"/>
                <w:szCs w:val="24"/>
              </w:rPr>
              <w:t xml:space="preserve">TASK 4:  </w:t>
            </w:r>
            <w:r>
              <w:rPr>
                <w:rFonts w:ascii="Arial" w:cs="Arial" w:eastAsia="Arial" w:hAnsi="Arial"/>
                <w:b/>
                <w:bCs/>
                <w:color w:val="1A3A5C"/>
                <w:sz w:val="24"/>
                <w:szCs w:val="24"/>
              </w:rPr>
              <w:t xml:space="preserve">Calculate Total Spend for a Specific Credit Card</w:t>
            </w:r>
          </w:p>
        </w:tc>
      </w:tr>
    </w:tbl>
    <w:p>
      <w:pPr>
        <w:spacing w:after="80" w:before="80"/>
      </w:pPr>
    </w:p>
    <w:p>
      <w:pPr>
        <w:pBdr>
          <w:left w:val="single" w:color="2E75B6" w:sz="16" w:space="8"/>
        </w:pBdr>
        <w:shd w:fill="F0F4F8" w:val="clear"/>
        <w:spacing w:after="120" w:before="120"/>
      </w:pPr>
      <w:r>
        <w:rPr>
          <w:rFonts w:ascii="Courier New" w:cs="Courier New" w:eastAsia="Courier New" w:hAnsi="Courier New"/>
          <w:color w:val="1A3A5C"/>
          <w:sz w:val="18"/>
          <w:szCs w:val="18"/>
        </w:rPr>
        <w:t xml:space="preserve">card = data[data['cc_num'] == 344709867813900]</w:t>
      </w:r>
    </w:p>
    <w:p>
      <w:pPr>
        <w:spacing w:after="100" w:before="100"/>
      </w:pPr>
      <w:r>
        <w:rPr>
          <w:rFonts w:ascii="Arial" w:cs="Arial" w:eastAsia="Arial" w:hAnsi="Arial"/>
          <w:sz w:val="22"/>
          <w:szCs w:val="22"/>
        </w:rPr>
        <w:t xml:space="preserve">Filters the DataFrame using boolean indexing. The expression data['cc_num'] == 344709867813900 produces a boolean Series (True/False for each row), and passing that into data[] selects only the rows where the condition is True — i.e., rows where the credit card number matches 344709867813900. The result is a new DataFrame 'card' containing only that specific card's transactions.</w:t>
      </w:r>
    </w:p>
    <w:p>
      <w:pPr>
        <w:spacing w:after="80" w:before="80"/>
      </w:pPr>
    </w:p>
    <w:p>
      <w:pPr>
        <w:pBdr>
          <w:left w:val="single" w:color="2E75B6" w:sz="16" w:space="8"/>
        </w:pBdr>
        <w:shd w:fill="F0F4F8" w:val="clear"/>
        <w:spacing w:after="120" w:before="120"/>
      </w:pPr>
      <w:r>
        <w:rPr>
          <w:rFonts w:ascii="Courier New" w:cs="Courier New" w:eastAsia="Courier New" w:hAnsi="Courier New"/>
          <w:color w:val="1A3A5C"/>
          <w:sz w:val="18"/>
          <w:szCs w:val="18"/>
        </w:rPr>
        <w:t xml:space="preserve">card.groupby('is_fraud')['amt'].sum()</w:t>
      </w:r>
    </w:p>
    <w:p>
      <w:pPr>
        <w:spacing w:after="100" w:before="100"/>
      </w:pPr>
      <w:r>
        <w:rPr>
          <w:rFonts w:ascii="Arial" w:cs="Arial" w:eastAsia="Arial" w:hAnsi="Arial"/>
          <w:sz w:val="22"/>
          <w:szCs w:val="22"/>
        </w:rPr>
        <w:t xml:space="preserve">Groups the filtered card's transactions by fraud status and sums the dollar amounts in each group. This produces two totals: the total amount spent fraudulently on that card and the total amount spent legitimately. This demonstrates a key capability of the FraudGuard platform — the ability to audit any individual cardholder's complete fraud exposure in a single query.</w:t>
      </w:r>
    </w:p>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EBF3FB" w:val="clear"/>
            <w:tcMar>
              <w:top w:type="dxa" w:w="120"/>
              <w:left w:type="dxa" w:w="180"/>
              <w:bottom w:type="dxa" w:w="120"/>
              <w:right w:type="dxa" w:w="180"/>
            </w:tcMar>
          </w:tcPr>
          <w:p>
            <w:r>
              <w:rPr>
                <w:rFonts w:ascii="Arial" w:cs="Arial" w:eastAsia="Arial" w:hAnsi="Arial"/>
                <w:b/>
                <w:bCs/>
                <w:color w:val="2E75B6"/>
                <w:sz w:val="24"/>
                <w:szCs w:val="24"/>
              </w:rPr>
              <w:t xml:space="preserve">TASK 5:  </w:t>
            </w:r>
            <w:r>
              <w:rPr>
                <w:rFonts w:ascii="Arial" w:cs="Arial" w:eastAsia="Arial" w:hAnsi="Arial"/>
                <w:b/>
                <w:bCs/>
                <w:color w:val="1A3A5C"/>
                <w:sz w:val="24"/>
                <w:szCs w:val="24"/>
              </w:rPr>
              <w:t xml:space="preserve">Clean Data Columns &amp; Engineer Time Features</w:t>
            </w:r>
          </w:p>
        </w:tc>
      </w:tr>
    </w:tbl>
    <w:p>
      <w:pPr>
        <w:spacing w:after="80" w:before="80"/>
      </w:pPr>
    </w:p>
    <w:p>
      <w:pPr>
        <w:pBdr>
          <w:left w:val="single" w:color="2E75B6" w:sz="16" w:space="8"/>
        </w:pBdr>
        <w:shd w:fill="F0F4F8" w:val="clear"/>
        <w:spacing w:after="120" w:before="120"/>
      </w:pPr>
      <w:r>
        <w:rPr>
          <w:rFonts w:ascii="Courier New" w:cs="Courier New" w:eastAsia="Courier New" w:hAnsi="Courier New"/>
          <w:color w:val="1A3A5C"/>
          <w:sz w:val="18"/>
          <w:szCs w:val="18"/>
        </w:rPr>
        <w:t xml:space="preserve">data.drop(['unix_time', 'trans_num'], axis=1, inplace=True)</w:t>
      </w:r>
    </w:p>
    <w:p>
      <w:pPr>
        <w:spacing w:after="100" w:before="100"/>
      </w:pPr>
      <w:r>
        <w:rPr>
          <w:rFonts w:ascii="Arial" w:cs="Arial" w:eastAsia="Arial" w:hAnsi="Arial"/>
          <w:sz w:val="22"/>
          <w:szCs w:val="22"/>
        </w:rPr>
        <w:t xml:space="preserve">Removes two irrelevant columns. 'unix_time' is a Unix epoch timestamp (seconds since January 1, 1970) that duplicates information already present in 'trans_date_trans_time'. 'trans_num' is a unique transaction hash identifier that has no predictive value for fraud. The axis=1 parameter specifies column removal (axis=0 removes rows). The inplace=True modifies the DataFrame directly without creating a copy, reducing memory usage.</w:t>
      </w:r>
    </w:p>
    <w:p>
      <w:pPr>
        <w:spacing w:after="80" w:before="80"/>
      </w:pPr>
    </w:p>
    <w:p>
      <w:pPr>
        <w:pBdr>
          <w:left w:val="single" w:color="2E75B6" w:sz="16" w:space="8"/>
        </w:pBdr>
        <w:shd w:fill="F0F4F8" w:val="clear"/>
        <w:spacing w:after="120" w:before="120"/>
      </w:pPr>
      <w:r>
        <w:rPr>
          <w:rFonts w:ascii="Courier New" w:cs="Courier New" w:eastAsia="Courier New" w:hAnsi="Courier New"/>
          <w:color w:val="1A3A5C"/>
          <w:sz w:val="18"/>
          <w:szCs w:val="18"/>
        </w:rPr>
        <w:t xml:space="preserve">data['trans_date_trans_time'] = pd.to_datetime(data['trans_date_trans_time'])</w:t>
      </w:r>
    </w:p>
    <w:p>
      <w:pPr>
        <w:spacing w:after="100" w:before="100"/>
      </w:pPr>
      <w:r>
        <w:rPr>
          <w:rFonts w:ascii="Arial" w:cs="Arial" w:eastAsia="Arial" w:hAnsi="Arial"/>
          <w:sz w:val="22"/>
          <w:szCs w:val="22"/>
        </w:rPr>
        <w:t xml:space="preserve">Converts the transaction timestamp column from a plain string (e.g. '2019-01-01 00:00:18') to a proper Pandas datetime object. Without this conversion, Pandas treats the column as text and cannot perform time-based operations like extracting the hour, day of week, or month. This conversion is a prerequisite for all subsequent time-based feature engineering.</w:t>
      </w:r>
    </w:p>
    <w:p>
      <w:pPr>
        <w:spacing w:after="80" w:before="80"/>
      </w:pPr>
    </w:p>
    <w:p>
      <w:pPr>
        <w:pBdr>
          <w:left w:val="single" w:color="2E75B6" w:sz="16" w:space="8"/>
        </w:pBdr>
        <w:shd w:fill="F0F4F8" w:val="clear"/>
        <w:spacing w:after="120" w:before="120"/>
      </w:pPr>
      <w:r>
        <w:rPr>
          <w:rFonts w:ascii="Courier New" w:cs="Courier New" w:eastAsia="Courier New" w:hAnsi="Courier New"/>
          <w:color w:val="1A3A5C"/>
          <w:sz w:val="18"/>
          <w:szCs w:val="18"/>
        </w:rPr>
        <w:t xml:space="preserve">data['trans_date_trans_time'] = data['trans_date_trans_time'].dt.hour</w:t>
      </w:r>
    </w:p>
    <w:p>
      <w:pPr>
        <w:spacing w:after="100" w:before="100"/>
      </w:pPr>
      <w:r>
        <w:rPr>
          <w:rFonts w:ascii="Arial" w:cs="Arial" w:eastAsia="Arial" w:hAnsi="Arial"/>
          <w:sz w:val="22"/>
          <w:szCs w:val="22"/>
        </w:rPr>
        <w:t xml:space="preserve">Extracts the hour component (integer 0-23) from each datetime value using Pandas' .dt accessor property. This reduces the full timestamp down to a single integer representing the time of day the transaction occurred. The date portion is discarded because the specific calendar date is less predictive than the time pattern — fraudsters tend to operate at specific times of day regardless of the date.</w:t>
      </w:r>
    </w:p>
    <w:p>
      <w:pPr>
        <w:spacing w:after="80" w:before="80"/>
      </w:pPr>
    </w:p>
    <w:p>
      <w:pPr>
        <w:pBdr>
          <w:left w:val="single" w:color="2E75B6" w:sz="16" w:space="8"/>
        </w:pBdr>
        <w:shd w:fill="F0F4F8" w:val="clear"/>
        <w:spacing w:after="120" w:before="120"/>
      </w:pPr>
      <w:r>
        <w:rPr>
          <w:rFonts w:ascii="Courier New" w:cs="Courier New" w:eastAsia="Courier New" w:hAnsi="Courier New"/>
          <w:color w:val="1A3A5C"/>
          <w:sz w:val="18"/>
          <w:szCs w:val="18"/>
        </w:rPr>
        <w:t xml:space="preserve">bins = [0, 6, 12, 18, 24]
labels = [1, 2, 3, 4]
data['trans_date_trans_time'] = pd.cut(data['trans_date_trans_time'], bins=bins, labels=labels, right=False)</w:t>
      </w:r>
    </w:p>
    <w:p>
      <w:pPr>
        <w:spacing w:after="100" w:before="100"/>
      </w:pPr>
      <w:r>
        <w:rPr>
          <w:rFonts w:ascii="Arial" w:cs="Arial" w:eastAsia="Arial" w:hAnsi="Arial"/>
          <w:sz w:val="22"/>
          <w:szCs w:val="22"/>
        </w:rPr>
        <w:t xml:space="preserve">Bins the 0-23 hour values into 4 categorical time-of-day buckets using pd.cut(). The bins parameter [0,6,12,18,24] creates four intervals: [0-6), [6-12), [12-18), [18-24). The labels [1,2,3,4] assign integer category numbers to each bin. The right=False parameter makes each interval left-inclusive and right-exclusive (so hour 6 goes into category 2, not category 1). This transforms a continuous hour value into a discrete categorical feature that captures daily transaction patterns more effectively.</w:t>
      </w:r>
    </w:p>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EBF3FB" w:val="clear"/>
            <w:tcMar>
              <w:top w:type="dxa" w:w="120"/>
              <w:left w:type="dxa" w:w="180"/>
              <w:bottom w:type="dxa" w:w="120"/>
              <w:right w:type="dxa" w:w="180"/>
            </w:tcMar>
          </w:tcPr>
          <w:p>
            <w:r>
              <w:rPr>
                <w:rFonts w:ascii="Arial" w:cs="Arial" w:eastAsia="Arial" w:hAnsi="Arial"/>
                <w:b/>
                <w:bCs/>
                <w:color w:val="2E75B6"/>
                <w:sz w:val="24"/>
                <w:szCs w:val="24"/>
              </w:rPr>
              <w:t xml:space="preserve">TASK 6:  </w:t>
            </w:r>
            <w:r>
              <w:rPr>
                <w:rFonts w:ascii="Arial" w:cs="Arial" w:eastAsia="Arial" w:hAnsi="Arial"/>
                <w:b/>
                <w:bCs/>
                <w:color w:val="1A3A5C"/>
                <w:sz w:val="24"/>
                <w:szCs w:val="24"/>
              </w:rPr>
              <w:t xml:space="preserve">Create a Visual Correlation Heatmap</w:t>
            </w:r>
          </w:p>
        </w:tc>
      </w:tr>
    </w:tbl>
    <w:p>
      <w:pPr>
        <w:spacing w:after="80" w:before="80"/>
      </w:pPr>
    </w:p>
    <w:p>
      <w:pPr>
        <w:pBdr>
          <w:left w:val="single" w:color="2E75B6" w:sz="16" w:space="8"/>
        </w:pBdr>
        <w:shd w:fill="F0F4F8" w:val="clear"/>
        <w:spacing w:after="120" w:before="120"/>
      </w:pPr>
      <w:r>
        <w:rPr>
          <w:rFonts w:ascii="Courier New" w:cs="Courier New" w:eastAsia="Courier New" w:hAnsi="Courier New"/>
          <w:color w:val="1A3A5C"/>
          <w:sz w:val="18"/>
          <w:szCs w:val="18"/>
        </w:rPr>
        <w:t xml:space="preserve">import matplotlib
matplotlib.use('Agg')
import matplotlib.pyplot as plt
import seaborn as sns</w:t>
      </w:r>
    </w:p>
    <w:p>
      <w:pPr>
        <w:spacing w:after="100" w:before="100"/>
      </w:pPr>
      <w:r>
        <w:rPr>
          <w:rFonts w:ascii="Arial" w:cs="Arial" w:eastAsia="Arial" w:hAnsi="Arial"/>
          <w:sz w:val="22"/>
          <w:szCs w:val="22"/>
        </w:rPr>
        <w:t xml:space="preserve">Imports visualization libraries. The matplotlib.use('Agg') call switches the rendering backend from the default interactive GUI (which requires a display window) to the Agg (Anti-Grain Geometry) backend, which renders plots to memory buffers. This is required in certain Jupyter/server environments where no GUI display is available. Seaborn is a statistical visualization library built on top of Matplotlib that provides cleaner, higher-level chart functions.</w:t>
      </w:r>
    </w:p>
    <w:p>
      <w:pPr>
        <w:spacing w:after="80" w:before="80"/>
      </w:pPr>
    </w:p>
    <w:p>
      <w:pPr>
        <w:pBdr>
          <w:left w:val="single" w:color="2E75B6" w:sz="16" w:space="8"/>
        </w:pBdr>
        <w:shd w:fill="F0F4F8" w:val="clear"/>
        <w:spacing w:after="120" w:before="120"/>
      </w:pPr>
      <w:r>
        <w:rPr>
          <w:rFonts w:ascii="Courier New" w:cs="Courier New" w:eastAsia="Courier New" w:hAnsi="Courier New"/>
          <w:color w:val="1A3A5C"/>
          <w:sz w:val="18"/>
          <w:szCs w:val="18"/>
        </w:rPr>
        <w:t xml:space="preserve">sns.heatmap(data.select_dtypes(include='number').corr(), vmin=0, vmax=1, cmap='viridis')
plt.show()</w:t>
      </w:r>
    </w:p>
    <w:p>
      <w:pPr>
        <w:spacing w:after="100" w:before="100"/>
      </w:pPr>
      <w:r>
        <w:rPr>
          <w:rFonts w:ascii="Arial" w:cs="Arial" w:eastAsia="Arial" w:hAnsi="Arial"/>
          <w:sz w:val="22"/>
          <w:szCs w:val="22"/>
        </w:rPr>
        <w:t xml:space="preserve">Creates a correlation heatmap in three steps. First, select_dtypes(include='number') filters the DataFrame to only numeric columns — this prevents the ValueError that occurs when trying to compute correlations on string columns like merchant names. Second, .corr() computes the Pearson correlation coefficient between every pair of numeric columns, producing a symmetric n×n matrix where values range from -1 (perfect negative correlation) to 1 (perfect positive correlation). Third, sns.heatmap renders this matrix as a color grid where the 'viridis' colormap visually encodes correlation strength. Setting vmin=0 and vmax=1 fixes the color scale range, making it easier to identify which features are most positively correlated with 'is_fraud'.</w:t>
      </w:r>
    </w:p>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EBF3FB" w:val="clear"/>
            <w:tcMar>
              <w:top w:type="dxa" w:w="120"/>
              <w:left w:type="dxa" w:w="180"/>
              <w:bottom w:type="dxa" w:w="120"/>
              <w:right w:type="dxa" w:w="180"/>
            </w:tcMar>
          </w:tcPr>
          <w:p>
            <w:r>
              <w:rPr>
                <w:rFonts w:ascii="Arial" w:cs="Arial" w:eastAsia="Arial" w:hAnsi="Arial"/>
                <w:b/>
                <w:bCs/>
                <w:color w:val="2E75B6"/>
                <w:sz w:val="24"/>
                <w:szCs w:val="24"/>
              </w:rPr>
              <w:t xml:space="preserve">TASK 7:  </w:t>
            </w:r>
            <w:r>
              <w:rPr>
                <w:rFonts w:ascii="Arial" w:cs="Arial" w:eastAsia="Arial" w:hAnsi="Arial"/>
                <w:b/>
                <w:bCs/>
                <w:color w:val="1A3A5C"/>
                <w:sz w:val="24"/>
                <w:szCs w:val="24"/>
              </w:rPr>
              <w:t xml:space="preserve">Encode Categorical Data Features</w:t>
            </w:r>
          </w:p>
        </w:tc>
      </w:tr>
    </w:tbl>
    <w:p>
      <w:pPr>
        <w:spacing w:after="80" w:before="80"/>
      </w:pPr>
    </w:p>
    <w:p>
      <w:pPr>
        <w:pBdr>
          <w:left w:val="single" w:color="2E75B6" w:sz="16" w:space="8"/>
        </w:pBdr>
        <w:shd w:fill="F0F4F8" w:val="clear"/>
        <w:spacing w:after="120" w:before="120"/>
      </w:pPr>
      <w:r>
        <w:rPr>
          <w:rFonts w:ascii="Courier New" w:cs="Courier New" w:eastAsia="Courier New" w:hAnsi="Courier New"/>
          <w:color w:val="1A3A5C"/>
          <w:sz w:val="18"/>
          <w:szCs w:val="18"/>
        </w:rPr>
        <w:t xml:space="preserve">from sklearn.preprocessing import LabelEncoder
encoder = LabelEncoder()</w:t>
      </w:r>
    </w:p>
    <w:p>
      <w:pPr>
        <w:spacing w:after="100" w:before="100"/>
      </w:pPr>
      <w:r>
        <w:rPr>
          <w:rFonts w:ascii="Arial" w:cs="Arial" w:eastAsia="Arial" w:hAnsi="Arial"/>
          <w:sz w:val="22"/>
          <w:szCs w:val="22"/>
        </w:rPr>
        <w:t xml:space="preserve">Imports and instantiates Scikit-Learn's LabelEncoder class. LabelEncoder converts categorical string values into integer codes. For example, the 'gender' column with values 'M' and 'F' would be encoded as 0 and 1. Machine learning algorithms are mathematical functions — they require numeric input and cannot process raw text strings.</w:t>
      </w:r>
    </w:p>
    <w:p>
      <w:pPr>
        <w:spacing w:after="80" w:before="80"/>
      </w:pPr>
    </w:p>
    <w:p>
      <w:pPr>
        <w:pBdr>
          <w:left w:val="single" w:color="2E75B6" w:sz="16" w:space="8"/>
        </w:pBdr>
        <w:shd w:fill="F0F4F8" w:val="clear"/>
        <w:spacing w:after="120" w:before="120"/>
      </w:pPr>
      <w:r>
        <w:rPr>
          <w:rFonts w:ascii="Courier New" w:cs="Courier New" w:eastAsia="Courier New" w:hAnsi="Courier New"/>
          <w:color w:val="1A3A5C"/>
          <w:sz w:val="18"/>
          <w:szCs w:val="18"/>
        </w:rPr>
        <w:t xml:space="preserve">categorical_features = data.select_dtypes(include=['string', 'object']).columns</w:t>
      </w:r>
    </w:p>
    <w:p>
      <w:pPr>
        <w:spacing w:after="100" w:before="100"/>
      </w:pPr>
      <w:r>
        <w:rPr>
          <w:rFonts w:ascii="Arial" w:cs="Arial" w:eastAsia="Arial" w:hAnsi="Arial"/>
          <w:sz w:val="22"/>
          <w:szCs w:val="22"/>
        </w:rPr>
        <w:t xml:space="preserve">Identifies all columns with string or object data types. In this dataset these are 10 columns: merchant, category, first, last, gender, street, city, state, job, and dob. Including both 'string' and 'object' ensures compatibility across Pandas versions — older versions use 'object' for text columns while newer versions (2.x) use 'str'. This line returns a Pandas Index containing the column names that need encoding.</w:t>
      </w:r>
    </w:p>
    <w:p>
      <w:pPr>
        <w:spacing w:after="80" w:before="80"/>
      </w:pPr>
    </w:p>
    <w:p>
      <w:pPr>
        <w:pBdr>
          <w:left w:val="single" w:color="2E75B6" w:sz="16" w:space="8"/>
        </w:pBdr>
        <w:shd w:fill="F0F4F8" w:val="clear"/>
        <w:spacing w:after="120" w:before="120"/>
      </w:pPr>
      <w:r>
        <w:rPr>
          <w:rFonts w:ascii="Courier New" w:cs="Courier New" w:eastAsia="Courier New" w:hAnsi="Courier New"/>
          <w:color w:val="1A3A5C"/>
          <w:sz w:val="18"/>
          <w:szCs w:val="18"/>
        </w:rPr>
        <w:t xml:space="preserve">data_encoded = data.copy()
data_encoded[categorical_features] = data_encoded[categorical_features].apply(encoder.fit_transform)</w:t>
      </w:r>
    </w:p>
    <w:p>
      <w:pPr>
        <w:spacing w:after="100" w:before="100"/>
      </w:pPr>
      <w:r>
        <w:rPr>
          <w:rFonts w:ascii="Arial" w:cs="Arial" w:eastAsia="Arial" w:hAnsi="Arial"/>
          <w:sz w:val="22"/>
          <w:szCs w:val="22"/>
        </w:rPr>
        <w:t xml:space="preserve">Creates a copy of the DataFrame first (data.copy()) to preserve the original data unmodified — this is defensive coding that allows reverting to the original if needed. Then applies the LabelEncoder to every categorical column simultaneously using .apply(). The fit_transform method combines two steps: fit() learns the unique values in a column and assigns each a number, then transform() replaces each string value with its assigned integer. The result is a fully numeric DataFrame where every column contains integers or floats, ready for machine learning input.</w:t>
      </w:r>
    </w:p>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EBF3FB" w:val="clear"/>
            <w:tcMar>
              <w:top w:type="dxa" w:w="120"/>
              <w:left w:type="dxa" w:w="180"/>
              <w:bottom w:type="dxa" w:w="120"/>
              <w:right w:type="dxa" w:w="180"/>
            </w:tcMar>
          </w:tcPr>
          <w:p>
            <w:r>
              <w:rPr>
                <w:rFonts w:ascii="Arial" w:cs="Arial" w:eastAsia="Arial" w:hAnsi="Arial"/>
                <w:b/>
                <w:bCs/>
                <w:color w:val="2E75B6"/>
                <w:sz w:val="24"/>
                <w:szCs w:val="24"/>
              </w:rPr>
              <w:t xml:space="preserve">TASK 8:  </w:t>
            </w:r>
            <w:r>
              <w:rPr>
                <w:rFonts w:ascii="Arial" w:cs="Arial" w:eastAsia="Arial" w:hAnsi="Arial"/>
                <w:b/>
                <w:bCs/>
                <w:color w:val="1A3A5C"/>
                <w:sz w:val="24"/>
                <w:szCs w:val="24"/>
              </w:rPr>
              <w:t xml:space="preserve">Perform a Train-Test Split</w:t>
            </w:r>
          </w:p>
        </w:tc>
      </w:tr>
    </w:tbl>
    <w:p>
      <w:pPr>
        <w:spacing w:after="80" w:before="80"/>
      </w:pPr>
    </w:p>
    <w:p>
      <w:pPr>
        <w:pBdr>
          <w:left w:val="single" w:color="2E75B6" w:sz="16" w:space="8"/>
        </w:pBdr>
        <w:shd w:fill="F0F4F8" w:val="clear"/>
        <w:spacing w:after="120" w:before="120"/>
      </w:pPr>
      <w:r>
        <w:rPr>
          <w:rFonts w:ascii="Courier New" w:cs="Courier New" w:eastAsia="Courier New" w:hAnsi="Courier New"/>
          <w:color w:val="1A3A5C"/>
          <w:sz w:val="18"/>
          <w:szCs w:val="18"/>
        </w:rPr>
        <w:t xml:space="preserve">from sklearn.model_selection import train_test_split
X = data_encoded.drop('is_fraud', axis=1)
y = data_encoded['is_fraud']</w:t>
      </w:r>
    </w:p>
    <w:p>
      <w:pPr>
        <w:spacing w:after="100" w:before="100"/>
      </w:pPr>
      <w:r>
        <w:rPr>
          <w:rFonts w:ascii="Arial" w:cs="Arial" w:eastAsia="Arial" w:hAnsi="Arial"/>
          <w:sz w:val="22"/>
          <w:szCs w:val="22"/>
        </w:rPr>
        <w:t xml:space="preserve">Separates the dataset into features (X) and target label (y). X is the feature matrix containing all 19 input columns the model will learn patterns from — transaction amount, location, time of day, card number, etc. y is the target vector containing only the 'is_fraud' binary label (0 or 1) that the model must predict. This X/y separation is a fundamental pattern in all supervised machine learning.</w:t>
      </w:r>
    </w:p>
    <w:p>
      <w:pPr>
        <w:spacing w:after="80" w:before="80"/>
      </w:pPr>
    </w:p>
    <w:p>
      <w:pPr>
        <w:pBdr>
          <w:left w:val="single" w:color="2E75B6" w:sz="16" w:space="8"/>
        </w:pBdr>
        <w:shd w:fill="F0F4F8" w:val="clear"/>
        <w:spacing w:after="120" w:before="120"/>
      </w:pPr>
      <w:r>
        <w:rPr>
          <w:rFonts w:ascii="Courier New" w:cs="Courier New" w:eastAsia="Courier New" w:hAnsi="Courier New"/>
          <w:color w:val="1A3A5C"/>
          <w:sz w:val="18"/>
          <w:szCs w:val="18"/>
        </w:rPr>
        <w:t xml:space="preserve">X_train, X_test, y_train, y_test = train_test_split(X, y, test_size=0.1, random_state=42)</w:t>
      </w:r>
    </w:p>
    <w:p>
      <w:pPr>
        <w:spacing w:after="100" w:before="100"/>
      </w:pPr>
      <w:r>
        <w:rPr>
          <w:rFonts w:ascii="Arial" w:cs="Arial" w:eastAsia="Arial" w:hAnsi="Arial"/>
          <w:sz w:val="22"/>
          <w:szCs w:val="22"/>
        </w:rPr>
        <w:t xml:space="preserve">Randomly splits the dataset into training and test sets. test_size=0.1 reserves 10% of rows (5,908 transactions) for testing, while 90% (53,165 transactions) are used for training. The split is random to ensure both sets have similar statistical properties. random_state=42 seeds the random number generator for reproducibility — the exact same split is produced every time this code runs, enabling consistent comparisons. The function returns four arrays: X_train (training features), X_test (test features), y_train (training labels), y_test (test labels).</w:t>
      </w:r>
    </w:p>
    <w:p>
      <w:pPr>
        <w:spacing w:after="80" w:before="80"/>
      </w:pPr>
    </w:p>
    <w:p>
      <w:pPr>
        <w:spacing w:after="100" w:before="100"/>
      </w:pPr>
      <w:r>
        <w:rPr>
          <w:rFonts w:ascii="Arial" w:cs="Arial" w:eastAsia="Arial" w:hAnsi="Arial"/>
          <w:sz w:val="22"/>
          <w:szCs w:val="22"/>
        </w:rPr>
        <w:t xml:space="preserve">Result: Training set — 53,165 rows × 19 columns. Test set — 5,908 rows × 19 columns.</w:t>
      </w:r>
    </w:p>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EBF3FB" w:val="clear"/>
            <w:tcMar>
              <w:top w:type="dxa" w:w="120"/>
              <w:left w:type="dxa" w:w="180"/>
              <w:bottom w:type="dxa" w:w="120"/>
              <w:right w:type="dxa" w:w="180"/>
            </w:tcMar>
          </w:tcPr>
          <w:p>
            <w:r>
              <w:rPr>
                <w:rFonts w:ascii="Arial" w:cs="Arial" w:eastAsia="Arial" w:hAnsi="Arial"/>
                <w:b/>
                <w:bCs/>
                <w:color w:val="2E75B6"/>
                <w:sz w:val="24"/>
                <w:szCs w:val="24"/>
              </w:rPr>
              <w:t xml:space="preserve">TASK 9:  </w:t>
            </w:r>
            <w:r>
              <w:rPr>
                <w:rFonts w:ascii="Arial" w:cs="Arial" w:eastAsia="Arial" w:hAnsi="Arial"/>
                <w:b/>
                <w:bCs/>
                <w:color w:val="1A3A5C"/>
                <w:sz w:val="24"/>
                <w:szCs w:val="24"/>
              </w:rPr>
              <w:t xml:space="preserve">Train a Random Forest Classifier</w:t>
            </w:r>
          </w:p>
        </w:tc>
      </w:tr>
    </w:tbl>
    <w:p>
      <w:pPr>
        <w:spacing w:after="80" w:before="80"/>
      </w:pPr>
    </w:p>
    <w:p>
      <w:pPr>
        <w:pBdr>
          <w:left w:val="single" w:color="2E75B6" w:sz="16" w:space="8"/>
        </w:pBdr>
        <w:shd w:fill="F0F4F8" w:val="clear"/>
        <w:spacing w:after="120" w:before="120"/>
      </w:pPr>
      <w:r>
        <w:rPr>
          <w:rFonts w:ascii="Courier New" w:cs="Courier New" w:eastAsia="Courier New" w:hAnsi="Courier New"/>
          <w:color w:val="1A3A5C"/>
          <w:sz w:val="18"/>
          <w:szCs w:val="18"/>
        </w:rPr>
        <w:t xml:space="preserve">from sklearn.ensemble import RandomForestClassifier
classifier = RandomForestClassifier(class_weight='balanced')
classifier.fit(X_train, y_train)</w:t>
      </w:r>
    </w:p>
    <w:p>
      <w:pPr>
        <w:spacing w:after="100" w:before="100"/>
      </w:pPr>
      <w:r>
        <w:rPr>
          <w:rFonts w:ascii="Arial" w:cs="Arial" w:eastAsia="Arial" w:hAnsi="Arial"/>
          <w:sz w:val="22"/>
          <w:szCs w:val="22"/>
        </w:rPr>
        <w:t xml:space="preserve">Creates and trains a Random Forest Classifier. A Random Forest is an ensemble learning method that builds many decision trees during training and merges their outputs for the final prediction. Each tree is trained on a random bootstrap sample of the training data, and at each split within a tree, only a random subset of features is considered. This randomness prevents overfitting and makes the model more generalizable.</w:t>
      </w:r>
    </w:p>
    <w:p>
      <w:pPr>
        <w:spacing w:after="80" w:before="80"/>
      </w:pPr>
    </w:p>
    <w:p>
      <w:pPr>
        <w:spacing w:after="100" w:before="100"/>
      </w:pPr>
      <w:r>
        <w:rPr>
          <w:rFonts w:ascii="Arial" w:cs="Arial" w:eastAsia="Arial" w:hAnsi="Arial"/>
          <w:sz w:val="22"/>
          <w:szCs w:val="22"/>
        </w:rPr>
        <w:t xml:space="preserve">The class_weight='balanced' parameter is critical for this fraud detection use case. Since legitimate transactions (~87.3%) far outnumber fraudulent ones (~12.7%), a naive model could achieve ~87% accuracy by simply predicting 'not fraud' for every transaction. The balanced class weight automatically adjusts the importance of each class inversely proportional to its frequency, ensuring the model pays equal attention to both fraud and non-fraud patterns during training.</w:t>
      </w:r>
    </w:p>
    <w:p>
      <w:pPr>
        <w:spacing w:after="80" w:before="80"/>
      </w:pPr>
    </w:p>
    <w:p>
      <w:pPr>
        <w:spacing w:after="100" w:before="100"/>
      </w:pPr>
      <w:r>
        <w:rPr>
          <w:rFonts w:ascii="Arial" w:cs="Arial" w:eastAsia="Arial" w:hAnsi="Arial"/>
          <w:sz w:val="22"/>
          <w:szCs w:val="22"/>
        </w:rPr>
        <w:t xml:space="preserve">The .fit(X_train, y_train) method trains the model by passing the training features and labels. Internally, Scikit-Learn builds 100 decision trees (the default n_estimators), each learning different patterns from random subsets of the 53,165 training transactions.</w:t>
      </w:r>
    </w:p>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EBF3FB" w:val="clear"/>
            <w:tcMar>
              <w:top w:type="dxa" w:w="120"/>
              <w:left w:type="dxa" w:w="180"/>
              <w:bottom w:type="dxa" w:w="120"/>
              <w:right w:type="dxa" w:w="180"/>
            </w:tcMar>
          </w:tcPr>
          <w:p>
            <w:r>
              <w:rPr>
                <w:rFonts w:ascii="Arial" w:cs="Arial" w:eastAsia="Arial" w:hAnsi="Arial"/>
                <w:b/>
                <w:bCs/>
                <w:color w:val="2E75B6"/>
                <w:sz w:val="24"/>
                <w:szCs w:val="24"/>
              </w:rPr>
              <w:t xml:space="preserve">TASK 10:  </w:t>
            </w:r>
            <w:r>
              <w:rPr>
                <w:rFonts w:ascii="Arial" w:cs="Arial" w:eastAsia="Arial" w:hAnsi="Arial"/>
                <w:b/>
                <w:bCs/>
                <w:color w:val="1A3A5C"/>
                <w:sz w:val="24"/>
                <w:szCs w:val="24"/>
              </w:rPr>
              <w:t xml:space="preserve">Evaluate the Model on the Test Set</w:t>
            </w:r>
          </w:p>
        </w:tc>
      </w:tr>
    </w:tbl>
    <w:p>
      <w:pPr>
        <w:spacing w:after="80" w:before="80"/>
      </w:pPr>
    </w:p>
    <w:p>
      <w:pPr>
        <w:pBdr>
          <w:left w:val="single" w:color="2E75B6" w:sz="16" w:space="8"/>
        </w:pBdr>
        <w:shd w:fill="F0F4F8" w:val="clear"/>
        <w:spacing w:after="120" w:before="120"/>
      </w:pPr>
      <w:r>
        <w:rPr>
          <w:rFonts w:ascii="Courier New" w:cs="Courier New" w:eastAsia="Courier New" w:hAnsi="Courier New"/>
          <w:color w:val="1A3A5C"/>
          <w:sz w:val="18"/>
          <w:szCs w:val="18"/>
        </w:rPr>
        <w:t xml:space="preserve">from sklearn.metrics import accuracy_score, confusion_matrix
preds = classifier.predict(X_test)</w:t>
      </w:r>
    </w:p>
    <w:p>
      <w:pPr>
        <w:spacing w:after="100" w:before="100"/>
      </w:pPr>
      <w:r>
        <w:rPr>
          <w:rFonts w:ascii="Arial" w:cs="Arial" w:eastAsia="Arial" w:hAnsi="Arial"/>
          <w:sz w:val="22"/>
          <w:szCs w:val="22"/>
        </w:rPr>
        <w:t xml:space="preserve">Imports evaluation metrics then generates predictions. The .predict() method runs each of the 5,908 test transactions through all 100 trained decision trees. Each tree votes — 0 (legitimate) or 1 (fraudulent) — and the majority vote determines the final prediction. The result 'preds' is an array of 5,908 predicted labels (0s and 1s).</w:t>
      </w:r>
    </w:p>
    <w:p>
      <w:pPr>
        <w:spacing w:after="80" w:before="80"/>
      </w:pPr>
    </w:p>
    <w:p>
      <w:pPr>
        <w:pBdr>
          <w:left w:val="single" w:color="2E75B6" w:sz="16" w:space="8"/>
        </w:pBdr>
        <w:shd w:fill="F0F4F8" w:val="clear"/>
        <w:spacing w:after="120" w:before="120"/>
      </w:pPr>
      <w:r>
        <w:rPr>
          <w:rFonts w:ascii="Courier New" w:cs="Courier New" w:eastAsia="Courier New" w:hAnsi="Courier New"/>
          <w:color w:val="1A3A5C"/>
          <w:sz w:val="18"/>
          <w:szCs w:val="18"/>
        </w:rPr>
        <w:t xml:space="preserve">accuracy_score(preds, y_test)</w:t>
      </w:r>
    </w:p>
    <w:p>
      <w:pPr>
        <w:spacing w:after="100" w:before="100"/>
      </w:pPr>
      <w:r>
        <w:rPr>
          <w:rFonts w:ascii="Arial" w:cs="Arial" w:eastAsia="Arial" w:hAnsi="Arial"/>
          <w:sz w:val="22"/>
          <w:szCs w:val="22"/>
        </w:rPr>
        <w:t xml:space="preserve">Computes the overall accuracy — the proportion of test transactions correctly classified. The result is 0.9817 (98.17%), meaning 5,800 of the 5,908 test transactions were predicted correctly. Note that accuracy alone can be misleading for imbalanced datasets (predicting all non-fraud would give ~87% accuracy), which is why the confusion matrix below provides a more complete picture.</w:t>
      </w:r>
    </w:p>
    <w:p>
      <w:pPr>
        <w:spacing w:after="80" w:before="80"/>
      </w:pPr>
    </w:p>
    <w:p>
      <w:pPr>
        <w:pBdr>
          <w:left w:val="single" w:color="2E75B6" w:sz="16" w:space="8"/>
        </w:pBdr>
        <w:shd w:fill="F0F4F8" w:val="clear"/>
        <w:spacing w:after="120" w:before="120"/>
      </w:pPr>
      <w:r>
        <w:rPr>
          <w:rFonts w:ascii="Courier New" w:cs="Courier New" w:eastAsia="Courier New" w:hAnsi="Courier New"/>
          <w:color w:val="1A3A5C"/>
          <w:sz w:val="18"/>
          <w:szCs w:val="18"/>
        </w:rPr>
        <w:t xml:space="preserve">confusion_matrix(y_test, preds)</w:t>
      </w:r>
    </w:p>
    <w:p>
      <w:pPr>
        <w:spacing w:after="100" w:before="100"/>
      </w:pPr>
      <w:r>
        <w:rPr>
          <w:rFonts w:ascii="Arial" w:cs="Arial" w:eastAsia="Arial" w:hAnsi="Arial"/>
          <w:sz w:val="22"/>
          <w:szCs w:val="22"/>
        </w:rPr>
        <w:t xml:space="preserve">Produces a 2×2 matrix breaking down the 5,908 predictions into four categories: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31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True Negatives (top-left)</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5,083</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Legitimate transactions correctly predicted as legitimate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 Positives (top-right)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Legitimate transactions incorrectly flagged as fraud — customers may be inconvenienced</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False Negatives (bottom-left)</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60</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Fraudulent transactions the model missed — financial loss risk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Positives (bottom-right)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Fraudulent transactions correctly caught — primary goal of the system</w:t>
            </w:r>
          </w:p>
        </w:tc>
      </w:tr>
    </w:tbl>
    <w:p>
      <w:pPr>
        <w:spacing w:after="80" w:before="80"/>
      </w:pPr>
    </w:p>
    <w:p>
      <w:pPr>
        <w:spacing w:after="100" w:before="100"/>
      </w:pPr>
      <w:r>
        <w:rPr>
          <w:rFonts w:ascii="Arial" w:cs="Arial" w:eastAsia="Arial" w:hAnsi="Arial"/>
          <w:sz w:val="22"/>
          <w:szCs w:val="22"/>
        </w:rPr>
        <w:t xml:space="preserve">The model caught 717 out of 777 total fraud cases in the test set, achieving a fraud recall of 92.3%. This is strong performance for a proof of concept and demonstrates the system's readiness for further development toward production deployment.</w:t>
      </w:r>
    </w:p>
    <w:p>
      <w:pPr>
        <w:spacing w:after="80" w:before="80"/>
      </w:pPr>
    </w:p>
    <w:p>
      <w:r>
        <w:br w:type="page"/>
      </w:r>
    </w:p>
    <w:p>
      <w:pPr>
        <w:pStyle w:val="Heading1"/>
        <w:spacing w:after="200" w:before="400"/>
      </w:pPr>
      <w:r>
        <w:rPr>
          <w:rFonts w:ascii="Arial" w:cs="Arial" w:eastAsia="Arial" w:hAnsi="Arial"/>
          <w:b/>
          <w:bCs/>
          <w:color w:val="1A3A5C"/>
          <w:sz w:val="36"/>
          <w:szCs w:val="36"/>
        </w:rPr>
        <w:t xml:space="preserve">Appendix: Dataset Column Reference</w:t>
      </w:r>
    </w:p>
    <w:p>
      <w:pPr>
        <w:pBdr>
          <w:bottom w:val="single" w:color="2E75B6"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3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Original Type</w:t>
            </w:r>
          </w:p>
        </w:tc>
        <w:tc>
          <w:tcPr>
            <w:tcW w:type="dxa" w:w="23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After Processing</w:t>
            </w:r>
          </w:p>
        </w:tc>
        <w:tc>
          <w:tcPr>
            <w:tcW w:type="dxa" w:w="23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Used in Model</w:t>
            </w:r>
          </w:p>
        </w:tc>
      </w:tr>
      <w:tr>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trans_date_trans_time</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Datetime string</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Integer category (1-4)</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cc_num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merchant</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Integer (label encoded)</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(label encoded)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amt</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Float</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Float</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(label encoded)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last</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Integer (label encoded)</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(label encoded)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street</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Integer (label encoded)</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(label encoded)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state</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Integer (label encoded)</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zip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lat</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Float</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Float</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city_pop</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Numeric</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Numeric</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(label encoded)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dob</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Integer (label encoded)</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merch_lat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merch_long</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Float</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Float</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trans_num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hash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DROPPED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unix_time</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Numeric</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DROPPED</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is_fraud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Label</w:t>
            </w:r>
          </w:p>
        </w:tc>
      </w:tr>
    </w:tbl>
    <w:p>
      <w:pPr>
        <w:spacing w:after="80" w:before="80"/>
      </w:pPr>
    </w:p>
    <w:p>
      <w:pPr>
        <w:spacing w:after="100" w:before="400"/>
        <w:jc w:val="center"/>
      </w:pPr>
      <w:r>
        <w:rPr>
          <w:rFonts w:ascii="Arial" w:cs="Arial" w:eastAsia="Arial" w:hAnsi="Arial"/>
          <w:i/>
          <w:iCs/>
          <w:color w:val="666666"/>
          <w:sz w:val="22"/>
          <w:szCs w:val="22"/>
        </w:rPr>
        <w:t xml:space="preserve">— End of Technical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pPr>
    <w:r>
      <w:rPr>
        <w:rFonts w:ascii="Arial" w:cs="Arial" w:eastAsia="Arial" w:hAnsi="Arial"/>
        <w:color w:val="666666"/>
        <w:sz w:val="18"/>
        <w:szCs w:val="18"/>
      </w:rPr>
      <w:t xml:space="preserve">FraudGuard POC  |  June 2026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666666"/>
        <w:sz w:val="18"/>
        <w:szCs w:val="18"/>
      </w:rPr>
      <w:t xml:space="preserve">FraudGuard POC  |  Technical Code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2026-06-21T20:51:10.606Z</dcterms:created>
  <dcterms:modified xsi:type="dcterms:W3CDTF">2026-06-21T20:51:10.606Z</dcterms:modified>
</cp:coreProperties>
</file>

<file path=docProps/custom.xml><?xml version="1.0" encoding="utf-8"?>
<Properties xmlns="http://schemas.openxmlformats.org/officeDocument/2006/custom-properties" xmlns:vt="http://schemas.openxmlformats.org/officeDocument/2006/docPropsVTypes"/>
</file>