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8834B">
      <w:pPr>
        <w:jc w:val="center"/>
      </w:pPr>
      <w:r>
        <w:rPr>
          <w:b/>
          <w:color w:val="1F4E79"/>
          <w:sz w:val="36"/>
        </w:rPr>
        <w:t>Investment Portfolio Creation Report</w:t>
      </w:r>
    </w:p>
    <w:p w14:paraId="4F5A0F5B">
      <w:pPr>
        <w:jc w:val="center"/>
      </w:pPr>
      <w:r>
        <w:rPr>
          <w:i/>
          <w:sz w:val="24"/>
        </w:rPr>
        <w:t>A Diversified Investment Portfolio Architecture Worth ₹100,000</w:t>
      </w:r>
    </w:p>
    <w:p w14:paraId="7B05C376">
      <w:pPr>
        <w:spacing w:before="240" w:after="360"/>
      </w:pPr>
      <w:r>
        <w:rPr>
          <w:b/>
        </w:rPr>
        <w:t xml:space="preserve">Prepared by: </w:t>
      </w:r>
      <w:r>
        <w:t>Bright Lungu</w:t>
      </w:r>
      <w:r>
        <w:br w:type="textWrapping"/>
      </w:r>
      <w:r>
        <w:rPr>
          <w:b/>
        </w:rPr>
        <w:t xml:space="preserve">Academic Specialization: </w:t>
      </w:r>
      <w:r>
        <w:t>Financial Engineering &amp; Actuarial Science</w:t>
      </w:r>
      <w:r>
        <w:br w:type="textWrapping"/>
      </w:r>
      <w:r>
        <w:rPr>
          <w:b/>
        </w:rPr>
        <w:t xml:space="preserve">Internship Track: </w:t>
      </w:r>
      <w:r>
        <w:t>CodeAlpha Internship – Finance &amp; Investment Analysis</w:t>
      </w:r>
      <w:r>
        <w:br w:type="textWrapping"/>
      </w:r>
      <w:r>
        <w:rPr>
          <w:b/>
        </w:rPr>
        <w:t xml:space="preserve">Evaluation Window: </w:t>
      </w:r>
      <w:r>
        <w:t>July 2026 Baseline</w:t>
      </w:r>
      <w:r>
        <w:br w:type="textWrapping"/>
      </w:r>
      <w:r>
        <w:rPr>
          <w:rFonts w:hint="eastAsia"/>
          <w:b/>
          <w:bCs/>
        </w:rPr>
        <w:t>Tools Used:</w:t>
      </w:r>
      <w:r>
        <w:rPr>
          <w:rFonts w:hint="eastAsia"/>
        </w:rPr>
        <w:t xml:space="preserve"> Python (Pandas, NumPy, Matplotlib)</w:t>
      </w:r>
    </w:p>
    <w:p w14:paraId="50E85D51">
      <w:pPr>
        <w:jc w:val="center"/>
        <w:rPr>
          <w:rFonts w:hint="default"/>
          <w:b/>
          <w:bCs/>
          <w:lang w:val="en-US"/>
        </w:rPr>
      </w:pPr>
      <w:r>
        <w:rPr>
          <w:b/>
          <w:bCs/>
        </w:rPr>
        <w:t>======================================================================</w:t>
      </w:r>
      <w:r>
        <w:rPr>
          <w:rFonts w:hint="default"/>
          <w:b/>
          <w:bCs/>
          <w:lang w:val="en-US"/>
        </w:rPr>
        <w:t>===============</w:t>
      </w:r>
    </w:p>
    <w:p w14:paraId="5311616C">
      <w:pPr>
        <w:pStyle w:val="2"/>
      </w:pPr>
      <w:r>
        <w:t>Summary</w:t>
      </w:r>
    </w:p>
    <w:p w14:paraId="7CACECD6">
      <w:r>
        <w:t>This report presents a hypothetical investment portfolio worth ₹100,000 designed to achieve long-term capital growth while maintaining diversification across stocks, exchange-traded funds (ETFs), and cryptocurrencies. The allocation was developed using quantitative investment principles and informed by previous stock and cryptocurrency analyses performed in Python.</w:t>
      </w:r>
    </w:p>
    <w:p w14:paraId="404903A1">
      <w:pPr>
        <w:pStyle w:val="2"/>
      </w:pPr>
      <w:r>
        <w:t>Portfolio Allocation Matrices</w:t>
      </w:r>
    </w:p>
    <w:p w14:paraId="5421FF5D">
      <w:r>
        <w:t>The multi-asset allocation structure breaks down capital distribution into individual targets. This distribution ensures no individual security can introduce unmitigated single-point risk to the total fund pool:</w:t>
      </w:r>
    </w:p>
    <w:tbl>
      <w:tblPr>
        <w:tblStyle w:val="40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489836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C43E79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Asset Description</w:t>
            </w:r>
          </w:p>
        </w:tc>
        <w:tc>
          <w:tcPr>
            <w:tcW w:w="2340" w:type="dxa"/>
          </w:tcPr>
          <w:p w14:paraId="08CD9B3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Asset Type</w:t>
            </w:r>
          </w:p>
        </w:tc>
        <w:tc>
          <w:tcPr>
            <w:tcW w:w="2340" w:type="dxa"/>
          </w:tcPr>
          <w:p w14:paraId="03CD2B4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Target Weight (%)</w:t>
            </w:r>
          </w:p>
        </w:tc>
        <w:tc>
          <w:tcPr>
            <w:tcW w:w="2340" w:type="dxa"/>
          </w:tcPr>
          <w:p w14:paraId="154EFFA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Capital Allocation (₹)</w:t>
            </w:r>
          </w:p>
        </w:tc>
      </w:tr>
      <w:tr w14:paraId="48E549E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3745B1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Microsoft (MSFT)</w:t>
            </w:r>
          </w:p>
        </w:tc>
        <w:tc>
          <w:tcPr>
            <w:tcW w:w="2340" w:type="dxa"/>
          </w:tcPr>
          <w:p w14:paraId="1C6A2F3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Stock</w:t>
            </w:r>
          </w:p>
        </w:tc>
        <w:tc>
          <w:tcPr>
            <w:tcW w:w="2340" w:type="dxa"/>
          </w:tcPr>
          <w:p w14:paraId="56E0C6B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25%</w:t>
            </w:r>
          </w:p>
        </w:tc>
        <w:tc>
          <w:tcPr>
            <w:tcW w:w="2340" w:type="dxa"/>
          </w:tcPr>
          <w:p w14:paraId="2DFBB61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₹25,000</w:t>
            </w:r>
          </w:p>
        </w:tc>
      </w:tr>
      <w:tr w14:paraId="2C82F93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7EA6C6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Apple (AAPL)</w:t>
            </w:r>
          </w:p>
        </w:tc>
        <w:tc>
          <w:tcPr>
            <w:tcW w:w="2340" w:type="dxa"/>
          </w:tcPr>
          <w:p w14:paraId="6F4EA26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Stock</w:t>
            </w:r>
          </w:p>
        </w:tc>
        <w:tc>
          <w:tcPr>
            <w:tcW w:w="2340" w:type="dxa"/>
          </w:tcPr>
          <w:p w14:paraId="1534464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20%</w:t>
            </w:r>
          </w:p>
        </w:tc>
        <w:tc>
          <w:tcPr>
            <w:tcW w:w="2340" w:type="dxa"/>
          </w:tcPr>
          <w:p w14:paraId="3FA8766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₹20,000</w:t>
            </w:r>
          </w:p>
        </w:tc>
      </w:tr>
      <w:tr w14:paraId="491A444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A8095D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NVIDIA (NVDA)</w:t>
            </w:r>
          </w:p>
        </w:tc>
        <w:tc>
          <w:tcPr>
            <w:tcW w:w="2340" w:type="dxa"/>
          </w:tcPr>
          <w:p w14:paraId="2A8A05E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Stock</w:t>
            </w:r>
          </w:p>
        </w:tc>
        <w:tc>
          <w:tcPr>
            <w:tcW w:w="2340" w:type="dxa"/>
          </w:tcPr>
          <w:p w14:paraId="1A439E6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15%</w:t>
            </w:r>
          </w:p>
        </w:tc>
        <w:tc>
          <w:tcPr>
            <w:tcW w:w="2340" w:type="dxa"/>
          </w:tcPr>
          <w:p w14:paraId="21BD5CA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₹15,000</w:t>
            </w:r>
          </w:p>
        </w:tc>
      </w:tr>
      <w:tr w14:paraId="60B05EA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446660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Vanguard S&amp;P 500 ETF (VOO)</w:t>
            </w:r>
          </w:p>
        </w:tc>
        <w:tc>
          <w:tcPr>
            <w:tcW w:w="2340" w:type="dxa"/>
          </w:tcPr>
          <w:p w14:paraId="1E17386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ETF</w:t>
            </w:r>
          </w:p>
        </w:tc>
        <w:tc>
          <w:tcPr>
            <w:tcW w:w="2340" w:type="dxa"/>
          </w:tcPr>
          <w:p w14:paraId="321C5CA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15%</w:t>
            </w:r>
          </w:p>
        </w:tc>
        <w:tc>
          <w:tcPr>
            <w:tcW w:w="2340" w:type="dxa"/>
          </w:tcPr>
          <w:p w14:paraId="79D1316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₹15,000</w:t>
            </w:r>
          </w:p>
        </w:tc>
      </w:tr>
      <w:tr w14:paraId="19B191E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565E6B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Invesco QQQ ETF (QQQ)</w:t>
            </w:r>
          </w:p>
        </w:tc>
        <w:tc>
          <w:tcPr>
            <w:tcW w:w="2340" w:type="dxa"/>
          </w:tcPr>
          <w:p w14:paraId="3F7B071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ETF</w:t>
            </w:r>
          </w:p>
        </w:tc>
        <w:tc>
          <w:tcPr>
            <w:tcW w:w="2340" w:type="dxa"/>
          </w:tcPr>
          <w:p w14:paraId="28F6CE1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10%</w:t>
            </w:r>
          </w:p>
        </w:tc>
        <w:tc>
          <w:tcPr>
            <w:tcW w:w="2340" w:type="dxa"/>
          </w:tcPr>
          <w:p w14:paraId="49DCFBC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₹10,000</w:t>
            </w:r>
          </w:p>
        </w:tc>
      </w:tr>
      <w:tr w14:paraId="2A870A3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E3D337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Bitcoin (BTC)</w:t>
            </w:r>
          </w:p>
        </w:tc>
        <w:tc>
          <w:tcPr>
            <w:tcW w:w="2340" w:type="dxa"/>
          </w:tcPr>
          <w:p w14:paraId="3336E14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Cryptocurrency</w:t>
            </w:r>
          </w:p>
        </w:tc>
        <w:tc>
          <w:tcPr>
            <w:tcW w:w="2340" w:type="dxa"/>
          </w:tcPr>
          <w:p w14:paraId="5356E86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8%</w:t>
            </w:r>
          </w:p>
        </w:tc>
        <w:tc>
          <w:tcPr>
            <w:tcW w:w="2340" w:type="dxa"/>
          </w:tcPr>
          <w:p w14:paraId="6B72949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₹8,000</w:t>
            </w:r>
          </w:p>
        </w:tc>
      </w:tr>
      <w:tr w14:paraId="4EF4320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6646E2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Ethereum (ETH)</w:t>
            </w:r>
          </w:p>
        </w:tc>
        <w:tc>
          <w:tcPr>
            <w:tcW w:w="2340" w:type="dxa"/>
          </w:tcPr>
          <w:p w14:paraId="5D2C9D1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Cryptocurrency</w:t>
            </w:r>
          </w:p>
        </w:tc>
        <w:tc>
          <w:tcPr>
            <w:tcW w:w="2340" w:type="dxa"/>
          </w:tcPr>
          <w:p w14:paraId="1843FDB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5%</w:t>
            </w:r>
          </w:p>
        </w:tc>
        <w:tc>
          <w:tcPr>
            <w:tcW w:w="2340" w:type="dxa"/>
          </w:tcPr>
          <w:p w14:paraId="6753A37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₹5,000</w:t>
            </w:r>
          </w:p>
        </w:tc>
      </w:tr>
      <w:tr w14:paraId="13DBA0F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9480F0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Solana (SOL)</w:t>
            </w:r>
          </w:p>
        </w:tc>
        <w:tc>
          <w:tcPr>
            <w:tcW w:w="2340" w:type="dxa"/>
          </w:tcPr>
          <w:p w14:paraId="5BCB3F7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Cryptocurrency</w:t>
            </w:r>
          </w:p>
        </w:tc>
        <w:tc>
          <w:tcPr>
            <w:tcW w:w="2340" w:type="dxa"/>
          </w:tcPr>
          <w:p w14:paraId="3E85DC4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2%</w:t>
            </w:r>
          </w:p>
        </w:tc>
        <w:tc>
          <w:tcPr>
            <w:tcW w:w="2340" w:type="dxa"/>
          </w:tcPr>
          <w:p w14:paraId="1EB814E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₹2,000</w:t>
            </w:r>
          </w:p>
        </w:tc>
      </w:tr>
      <w:tr w14:paraId="49C72F9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CB073C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Total Portfolio</w:t>
            </w:r>
          </w:p>
        </w:tc>
        <w:tc>
          <w:tcPr>
            <w:tcW w:w="2340" w:type="dxa"/>
          </w:tcPr>
          <w:p w14:paraId="7ED46EC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Combined</w:t>
            </w:r>
          </w:p>
        </w:tc>
        <w:tc>
          <w:tcPr>
            <w:tcW w:w="2340" w:type="dxa"/>
          </w:tcPr>
          <w:p w14:paraId="324A8D9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100%</w:t>
            </w:r>
          </w:p>
        </w:tc>
        <w:tc>
          <w:tcPr>
            <w:tcW w:w="2340" w:type="dxa"/>
          </w:tcPr>
          <w:p w14:paraId="2CA1DB9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₹100,000</w:t>
            </w:r>
          </w:p>
        </w:tc>
      </w:tr>
    </w:tbl>
    <w:p w14:paraId="3D679C2C">
      <w:r>
        <w:br w:type="textWrapping"/>
      </w:r>
      <w:r>
        <w:t>Portfolio Allocation by Broad Asset Class Layer:</w:t>
      </w:r>
    </w:p>
    <w:tbl>
      <w:tblPr>
        <w:tblStyle w:val="40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C334DA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AF1012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Broad Asset Class</w:t>
            </w:r>
          </w:p>
        </w:tc>
        <w:tc>
          <w:tcPr>
            <w:tcW w:w="4680" w:type="dxa"/>
          </w:tcPr>
          <w:p w14:paraId="0A8288B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Macro Allocation Percentage (%)</w:t>
            </w:r>
          </w:p>
        </w:tc>
      </w:tr>
      <w:tr w14:paraId="7AA09E9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542AA7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Equities / Corporate Stocks</w:t>
            </w:r>
          </w:p>
        </w:tc>
        <w:tc>
          <w:tcPr>
            <w:tcW w:w="4680" w:type="dxa"/>
          </w:tcPr>
          <w:p w14:paraId="30FFBA6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60%</w:t>
            </w:r>
          </w:p>
        </w:tc>
      </w:tr>
      <w:tr w14:paraId="332019B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6C3553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Exchange-Traded Funds (ETFs)</w:t>
            </w:r>
          </w:p>
        </w:tc>
        <w:tc>
          <w:tcPr>
            <w:tcW w:w="4680" w:type="dxa"/>
          </w:tcPr>
          <w:p w14:paraId="3D41C2F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25%</w:t>
            </w:r>
          </w:p>
        </w:tc>
      </w:tr>
      <w:tr w14:paraId="6E3F255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8D69D7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Cryptocurrencies / Digital Assets</w:t>
            </w:r>
          </w:p>
        </w:tc>
        <w:tc>
          <w:tcPr>
            <w:tcW w:w="4680" w:type="dxa"/>
          </w:tcPr>
          <w:p w14:paraId="1A09ED0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15%</w:t>
            </w:r>
          </w:p>
        </w:tc>
      </w:tr>
    </w:tbl>
    <w:p w14:paraId="77056C24">
      <w:pPr>
        <w:pStyle w:val="2"/>
      </w:pP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1538605</wp:posOffset>
            </wp:positionH>
            <wp:positionV relativeFrom="paragraph">
              <wp:posOffset>-601345</wp:posOffset>
            </wp:positionV>
            <wp:extent cx="3104515" cy="2835910"/>
            <wp:effectExtent l="0" t="0" r="6985" b="8890"/>
            <wp:wrapTopAndBottom/>
            <wp:docPr id="1" name="Picture 1" descr="asset_class_al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sset_class_allocation"/>
                    <pic:cNvPicPr>
                      <a:picLocks noChangeAspect="1"/>
                    </pic:cNvPicPr>
                  </pic:nvPicPr>
                  <pic:blipFill>
                    <a:blip r:embed="rId7"/>
                    <a:srcRect r="105" b="8762"/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Investment Rationale &amp; Sector Properties</w:t>
      </w:r>
    </w:p>
    <w:p w14:paraId="4553A13D">
      <w:pPr>
        <w:pStyle w:val="3"/>
      </w:pPr>
      <w:r>
        <w:t>1. Equities / Corporate Stocks (60% Total Weight)</w:t>
      </w:r>
    </w:p>
    <w:p w14:paraId="5231D881">
      <w:r>
        <w:t>Individual common stocks form the primary engine for capital growth within the model. Allocations are weighted toward established market leaders with proven secular trends:</w:t>
      </w:r>
    </w:p>
    <w:p w14:paraId="1FFCA533">
      <w:pPr>
        <w:pStyle w:val="24"/>
      </w:pPr>
      <w:r>
        <w:rPr>
          <w:b/>
        </w:rPr>
        <w:t xml:space="preserve">Microsoft Corporation (MSFT): </w:t>
      </w:r>
      <w:r>
        <w:t xml:space="preserve">Serves as the portfolio's core </w:t>
      </w:r>
      <w:r>
        <w:rPr>
          <w:rFonts w:hint="default"/>
          <w:lang w:val="en-US"/>
        </w:rPr>
        <w:t>holding</w:t>
      </w:r>
      <w:r>
        <w:t xml:space="preserve"> due to its highly consistent corporate earnings, leading enterprise cloud computing infrastructure, and resilient financial buffers.</w:t>
      </w:r>
    </w:p>
    <w:p w14:paraId="371D24BC">
      <w:pPr>
        <w:pStyle w:val="24"/>
      </w:pPr>
      <w:r>
        <w:rPr>
          <w:b/>
        </w:rPr>
        <w:t xml:space="preserve">Apple Inc. (AAPL): </w:t>
      </w:r>
      <w:r>
        <w:t>Provides balanced downside protection through its deeply integrated hardware consumer ecosystem, immense liquidity reserves, strong financial position and diversified product ecosystem.</w:t>
      </w:r>
    </w:p>
    <w:p w14:paraId="2B8BA3B9">
      <w:pPr>
        <w:pStyle w:val="24"/>
      </w:pPr>
      <w:r>
        <w:rPr>
          <w:b/>
        </w:rPr>
        <w:t xml:space="preserve">NVIDIA Corporation (NVDA): </w:t>
      </w:r>
      <w:r>
        <w:t>Acts as the high</w:t>
      </w:r>
      <w:r>
        <w:rPr>
          <w:rFonts w:hint="default"/>
          <w:lang w:val="en-US"/>
        </w:rPr>
        <w:t>er-growth investment</w:t>
      </w:r>
      <w:r>
        <w:t>, providing direct exposure to structural hardware acceleration and enterprise artificial intelligence trends. Due to its heightened daily fluctuations, its position is bounded at 15%.</w:t>
      </w:r>
    </w:p>
    <w:p w14:paraId="647F3DA5">
      <w:pPr>
        <w:pStyle w:val="3"/>
      </w:pPr>
      <w:r>
        <w:t>2. Exchange-Traded Funds (25% Total Weight)</w:t>
      </w:r>
    </w:p>
    <w:p w14:paraId="197A8989">
      <w:r>
        <w:t>ETFs are deployed to minimize single-stock vulnerabilities and provide broad</w:t>
      </w:r>
      <w:r>
        <w:rPr>
          <w:rFonts w:hint="default"/>
          <w:lang w:val="en-US"/>
        </w:rPr>
        <w:t xml:space="preserve"> </w:t>
      </w:r>
      <w:r>
        <w:t>market diversification:</w:t>
      </w:r>
    </w:p>
    <w:p w14:paraId="68E8BFF9">
      <w:pPr>
        <w:pStyle w:val="24"/>
      </w:pPr>
      <w:r>
        <w:rPr>
          <w:b/>
        </w:rPr>
        <w:t xml:space="preserve">Vanguard S&amp;P 500 ETF (VOO): </w:t>
      </w:r>
      <w:r>
        <w:t>Tracks the broader S&amp;P 500 Index, distributing tracking risk across 500 large-cap U.S. enterprises across all core industries.</w:t>
      </w:r>
    </w:p>
    <w:p w14:paraId="12E02400">
      <w:pPr>
        <w:pStyle w:val="24"/>
      </w:pPr>
      <w:r>
        <w:rPr>
          <w:b/>
        </w:rPr>
        <w:t xml:space="preserve">Invesco QQQ ETF (QQQ): </w:t>
      </w:r>
      <w:r>
        <w:t>Focuses heavily on the NASDAQ-100 index, capturing top-tier tech innovation without exposing capital to individual company-specific risk.</w:t>
      </w:r>
    </w:p>
    <w:p w14:paraId="7241375D">
      <w:pPr>
        <w:pStyle w:val="3"/>
      </w:pPr>
      <w:r>
        <w:t>3. Cryptocurrencies &amp; Digital Assets (15% Total Weight)</w:t>
      </w:r>
    </w:p>
    <w:p w14:paraId="70B6E350">
      <w:r>
        <w:t>Digital currencies provide asymmetric upside options but are strictly contained to preserve structural safety boundaries:</w:t>
      </w:r>
    </w:p>
    <w:p w14:paraId="5BFE5250">
      <w:pPr>
        <w:pStyle w:val="24"/>
      </w:pPr>
      <w:r>
        <w:rPr>
          <w:b/>
        </w:rPr>
        <w:t xml:space="preserve">Bitcoin (BTC): </w:t>
      </w:r>
      <w:r>
        <w:t>Acts as the primary crypto component due to its status as a digital store of value, largest cryptocurrency by market capitalization, and relatively lower volatility profile compared to alternative tokens.</w:t>
      </w:r>
    </w:p>
    <w:p w14:paraId="2A72BE32">
      <w:pPr>
        <w:pStyle w:val="24"/>
      </w:pPr>
      <w:r>
        <w:rPr>
          <w:b/>
        </w:rPr>
        <w:t xml:space="preserve">Ethereum (ETH): </w:t>
      </w:r>
      <w:r>
        <w:t>Strengthens decentralized computing exposure through its deeply entrenched smart contract platform, developer ecosystems, and layer-2 solutions.</w:t>
      </w:r>
    </w:p>
    <w:p w14:paraId="71A29DD4">
      <w:pPr>
        <w:pStyle w:val="24"/>
      </w:pPr>
      <w:r>
        <w:rPr>
          <w:b/>
        </w:rPr>
        <w:t xml:space="preserve">Solana (SOL): </w:t>
      </w:r>
      <w:r>
        <w:t xml:space="preserve"> A higher-risk, higher-growth cryptocurrency included to increase return potential. Because of its historically higher volatility, its allocation is limited to 2% of the total portfolio.</w:t>
      </w:r>
    </w:p>
    <w:p w14:paraId="4C7791C3">
      <w:pPr>
        <w:pStyle w:val="2"/>
      </w:pPr>
      <w:r>
        <w:t>Portfolio Risk Management Characteristics</w:t>
      </w:r>
    </w:p>
    <w:p w14:paraId="34869BF7">
      <w:r>
        <w:t>The proposed architecture demonstrates adherence to disciplined, quantitative fund management principles:</w:t>
      </w:r>
    </w:p>
    <w:p w14:paraId="4BD0C294">
      <w:pPr>
        <w:pStyle w:val="24"/>
      </w:pPr>
      <w:r>
        <w:rPr>
          <w:b/>
        </w:rPr>
        <w:t xml:space="preserve">Diversification: </w:t>
      </w:r>
      <w:r>
        <w:t>Establishes distinct return boundaries across blue-chip stocks, passive indices, and alternative digital assets.</w:t>
      </w:r>
    </w:p>
    <w:p w14:paraId="7914565B">
      <w:pPr>
        <w:pStyle w:val="24"/>
      </w:pPr>
      <w:r>
        <w:rPr>
          <w:b/>
        </w:rPr>
        <w:t xml:space="preserve">Risk Reduction: </w:t>
      </w:r>
      <w:r>
        <w:t>The higher volatility of cryptocurrencies is balanced by diversified holdings in large-cap stocks and broad-market ETFs, reducing the portfolio's overall exposure to extreme price fluctuations.</w:t>
      </w:r>
    </w:p>
    <w:p w14:paraId="3BD5B698">
      <w:pPr>
        <w:pStyle w:val="24"/>
      </w:pPr>
      <w:r>
        <w:rPr>
          <w:b/>
        </w:rPr>
        <w:t xml:space="preserve">Concentration Control: </w:t>
      </w:r>
      <w:r>
        <w:t>No single corporate holding exceeds 25% of the capital pool, protecting the investor from sudden specific-issuer corrections.</w:t>
      </w:r>
    </w:p>
    <w:p w14:paraId="111EBC4A">
      <w:pPr>
        <w:pStyle w:val="2"/>
      </w:pPr>
      <w:r>
        <w:t>Conclusion</w:t>
      </w:r>
    </w:p>
    <w:p w14:paraId="62F91023">
      <w:r>
        <w:rPr>
          <w:b/>
          <w:bCs/>
          <w:color w:val="376092" w:themeColor="accent1" w:themeShade="BF"/>
          <w:sz w:val="28"/>
          <w:szCs w:val="28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568960</wp:posOffset>
                </wp:positionH>
                <wp:positionV relativeFrom="paragraph">
                  <wp:posOffset>917575</wp:posOffset>
                </wp:positionV>
                <wp:extent cx="6567170" cy="521335"/>
                <wp:effectExtent l="0" t="0" r="11430" b="12065"/>
                <wp:wrapTopAndBottom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7170" cy="521374"/>
                          <a:chOff x="0" y="0"/>
                          <a:chExt cx="6488723" cy="863459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8017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22960">
                                <a:moveTo>
                                  <a:pt x="6480000" y="822919"/>
                                </a:moveTo>
                                <a:lnTo>
                                  <a:pt x="0" y="82291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822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8100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22960">
                                <a:moveTo>
                                  <a:pt x="38100" y="822919"/>
                                </a:moveTo>
                                <a:lnTo>
                                  <a:pt x="0" y="822919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22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03523" y="97810"/>
                            <a:ext cx="6385200" cy="76564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CB3112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sz w:val="20"/>
                                </w:rPr>
                                <w:t>Analyst Validation Note: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 xml:space="preserve"> Portfolio allocations, calculations, and visualizations were generated using Python. The total investment equals ₹100,000, and all allocations satisfy the requirements of the CodeAlpha Investment Portfolio Creation task.</w:t>
                              </w:r>
                            </w:p>
                            <w:p w14:paraId="5B55B1C0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23FFDB93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1F2DD216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451DFF83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470BD81C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55555778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3FD16419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383A5274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7492A7DF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 w14:paraId="4C4BC6C9">
                              <w:pPr>
                                <w:rPr>
                                  <w:rFonts w:ascii="Arial"/>
                                  <w:i/>
                                  <w:color w:val="2A6BAF"/>
                                  <w:sz w:val="19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8pt;margin-top:72.25pt;height:41.05pt;width:517.1pt;mso-position-horizontal-relative:page;mso-wrap-distance-bottom:0pt;mso-wrap-distance-top:0pt;z-index:-251656192;mso-width-relative:page;mso-height-relative:page;" coordsize="6488723,863459" o:gfxdata="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">
                <o:lock v:ext="edit" aspectratio="f"/>
                <v:shape id="Graphic 26" o:spid="_x0000_s1026" o:spt="100" style="position:absolute;left:0;top:0;height:822960;width:6480175;" fillcolor="#EBF7FF" filled="t" stroked="f" coordsize="6480175,822960" o:gfxdata="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/o4WvQAA&#10;ANsAAAAPAAAAAAAAAAEAIAAAACIAAABkcnMvZG93bnJldi54bWxQSwECFAAUAAAACACHTuJAMy8F&#10;njsAAAA5AAAAEAAAAAAAAAABACAAAAAMAQAAZHJzL3NoYXBleG1sLnhtbFBLBQYAAAAABgAGAFsB&#10;AAC2AwAAAAA=&#10;" path="m6480000,822919l0,822919,0,0,6480000,0,6480000,82291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0;top:0;height:822960;width:38100;" fillcolor="#3182CD" filled="t" stroked="f" coordsize="38100,822960" o:gfxdata="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0gLq/&#10;AAAA2wAAAA8AAAAAAAAAAQAgAAAAIgAAAGRycy9kb3ducmV2LnhtbFBLAQIUABQAAAAIAIdO4kAz&#10;LwWeOwAAADkAAAAQAAAAAAAAAAEAIAAAAA4BAABkcnMvc2hhcGV4bWwueG1sUEsFBgAAAAAGAAYA&#10;WwEAALgDAAAAAA==&#10;" path="m38100,822919l0,822919,0,0,38100,0,38100,82291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8" o:spid="_x0000_s1026" o:spt="202" type="#_x0000_t202" style="position:absolute;left:103523;top:97810;height:765649;width:6385200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CB3112">
                        <w:pPr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bCs/>
                            <w:i/>
                            <w:sz w:val="20"/>
                          </w:rPr>
                          <w:t>Analyst Validation Note:</w:t>
                        </w:r>
                        <w:r>
                          <w:rPr>
                            <w:i/>
                            <w:sz w:val="20"/>
                          </w:rPr>
                          <w:t xml:space="preserve"> Portfolio allocations, calculations, and visualizations were generated using Python. The total investment equals ₹100,000, and all allocations satisfy the requirements of the CodeAlpha Investment Portfolio Creation task.</w:t>
                        </w:r>
                      </w:p>
                      <w:p w14:paraId="5B55B1C0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23FFDB93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1F2DD216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451DFF83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470BD81C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55555778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3FD16419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383A5274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7492A7DF">
                        <w:pPr>
                          <w:rPr>
                            <w:i/>
                            <w:sz w:val="20"/>
                          </w:rPr>
                        </w:pPr>
                      </w:p>
                      <w:p w14:paraId="4C4BC6C9">
                        <w:pPr>
                          <w:rPr>
                            <w:rFonts w:ascii="Arial"/>
                            <w:i/>
                            <w:color w:val="2A6BAF"/>
                            <w:sz w:val="19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t>The proposed ₹100,000</w:t>
      </w:r>
      <w:r>
        <w:rPr>
          <w:rFonts w:hint="default"/>
          <w:lang w:val="en-US"/>
        </w:rPr>
        <w:t xml:space="preserve"> </w:t>
      </w:r>
      <w:r>
        <w:t>portfolio combines high-quality technology stocks, diversified ETFs, and selected cryptocurrencies to balance long-term capital growth with effective risk management through diversification across multiple asset classes. By diversifying across multiple asset classes, the portfolio aims to achieve long-term capital appreciation while limiting overall portfolio risk.</w:t>
      </w:r>
    </w:p>
    <w:p w14:paraId="5A5D4B1F">
      <w:pPr>
        <w:rPr>
          <w:b/>
          <w:bCs/>
          <w:color w:val="376092" w:themeColor="accent1" w:themeShade="BF"/>
          <w:sz w:val="28"/>
          <w:szCs w:val="28"/>
        </w:rPr>
      </w:pPr>
      <w:bookmarkStart w:id="0" w:name="_GoBack"/>
      <w:bookmarkEnd w:id="0"/>
    </w:p>
    <w:p w14:paraId="79A7B183">
      <w:pPr>
        <w:rPr>
          <w:b/>
          <w:bCs/>
          <w:color w:val="376092" w:themeColor="accent1" w:themeShade="BF"/>
          <w:sz w:val="28"/>
          <w:szCs w:val="28"/>
        </w:rPr>
      </w:pPr>
      <w:r>
        <w:rPr>
          <w:b/>
          <w:bCs/>
          <w:color w:val="376092" w:themeColor="accent1" w:themeShade="BF"/>
          <w:sz w:val="28"/>
          <w:szCs w:val="28"/>
        </w:rPr>
        <w:t>References</w:t>
      </w:r>
    </w:p>
    <w:p w14:paraId="2DD2BF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Bodie, Z., Kane, A., &amp; Marcus, A. J. (2021). </w:t>
      </w:r>
      <w:r>
        <w:rPr>
          <w:rStyle w:val="17"/>
        </w:rPr>
        <w:t>Investments</w:t>
      </w:r>
      <w:r>
        <w:t xml:space="preserve"> (12th ed.). McGraw-Hill Education. </w:t>
      </w:r>
    </w:p>
    <w:p w14:paraId="4AFD01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Jorion, P. (2007). </w:t>
      </w:r>
      <w:r>
        <w:rPr>
          <w:rStyle w:val="17"/>
        </w:rPr>
        <w:t>Value at Risk: The New Benchmark for Managing Financial Risk</w:t>
      </w:r>
      <w:r>
        <w:t xml:space="preserve"> (3rd ed.). McGraw-Hill. </w:t>
      </w:r>
    </w:p>
    <w:p w14:paraId="6BBDB3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Markowitz, H. (1952). Portfolio Selection. </w:t>
      </w:r>
      <w:r>
        <w:rPr>
          <w:rStyle w:val="17"/>
        </w:rPr>
        <w:t>The Journal of Finance, 7</w:t>
      </w:r>
      <w:r>
        <w:t xml:space="preserve">(1), 77–91. </w:t>
      </w:r>
    </w:p>
    <w:p w14:paraId="37B6BA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Yahoo Finance. (2026). </w:t>
      </w:r>
      <w:r>
        <w:rPr>
          <w:rStyle w:val="17"/>
        </w:rPr>
        <w:t>Historical Market Data for Microsoft (MSFT), Apple (AAPL), NVIDIA (NVDA), Bitcoin (BTC-USD), Ethereum (ETH-USD), Solana (SOL-USD), Vanguard S&amp;P 500 ETF (VOO), and Invesco QQQ ETF (QQQ).</w:t>
      </w:r>
      <w:r>
        <w:t xml:space="preserve"> Retrieved July 2026 from </w:t>
      </w:r>
      <w:r>
        <w:fldChar w:fldCharType="begin"/>
      </w:r>
      <w:r>
        <w:instrText xml:space="preserve"> HYPERLINK "https://finance.yahoo.com/" \t "_new" </w:instrText>
      </w:r>
      <w:r>
        <w:fldChar w:fldCharType="separate"/>
      </w:r>
      <w:r>
        <w:rPr>
          <w:rStyle w:val="20"/>
        </w:rPr>
        <w:t>https://finance.yahoo.com/</w:t>
      </w:r>
      <w:r>
        <w:fldChar w:fldCharType="end"/>
      </w:r>
      <w:r>
        <w:t xml:space="preserve"> </w:t>
      </w:r>
    </w:p>
    <w:p w14:paraId="66A467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Python Software Foundation. (2026). </w:t>
      </w:r>
      <w:r>
        <w:rPr>
          <w:rStyle w:val="17"/>
        </w:rPr>
        <w:t>Python 3 Documentation.</w:t>
      </w:r>
      <w:r>
        <w:t xml:space="preserve"> </w:t>
      </w:r>
      <w:r>
        <w:fldChar w:fldCharType="begin"/>
      </w:r>
      <w:r>
        <w:instrText xml:space="preserve"> HYPERLINK "https://docs.python.org/3/" \t "_new" </w:instrText>
      </w:r>
      <w:r>
        <w:fldChar w:fldCharType="separate"/>
      </w:r>
      <w:r>
        <w:rPr>
          <w:rStyle w:val="20"/>
        </w:rPr>
        <w:t>https://docs.python.org/3/</w:t>
      </w:r>
      <w:r>
        <w:fldChar w:fldCharType="end"/>
      </w:r>
      <w:r>
        <w:t xml:space="preserve"> </w:t>
      </w:r>
    </w:p>
    <w:p w14:paraId="40D925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pandas Development Team. (2026). </w:t>
      </w:r>
      <w:r>
        <w:rPr>
          <w:rStyle w:val="17"/>
        </w:rPr>
        <w:t>pandas Documentation.</w:t>
      </w:r>
      <w:r>
        <w:t xml:space="preserve"> </w:t>
      </w:r>
      <w:r>
        <w:fldChar w:fldCharType="begin"/>
      </w:r>
      <w:r>
        <w:instrText xml:space="preserve"> HYPERLINK "https://pandas.pydata.org/docs/" \t "_new" </w:instrText>
      </w:r>
      <w:r>
        <w:fldChar w:fldCharType="separate"/>
      </w:r>
      <w:r>
        <w:rPr>
          <w:rStyle w:val="20"/>
        </w:rPr>
        <w:t>https://pandas.pydata.org/docs/</w:t>
      </w:r>
      <w:r>
        <w:fldChar w:fldCharType="end"/>
      </w:r>
      <w:r>
        <w:t xml:space="preserve"> </w:t>
      </w:r>
    </w:p>
    <w:p w14:paraId="328213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NumPy Developers. (2026). </w:t>
      </w:r>
      <w:r>
        <w:rPr>
          <w:rStyle w:val="17"/>
        </w:rPr>
        <w:t>NumPy Documentation.</w:t>
      </w:r>
      <w:r>
        <w:t xml:space="preserve"> </w:t>
      </w:r>
      <w:r>
        <w:fldChar w:fldCharType="begin"/>
      </w:r>
      <w:r>
        <w:instrText xml:space="preserve"> HYPERLINK "https://numpy.org/doc/" \t "_new" </w:instrText>
      </w:r>
      <w:r>
        <w:fldChar w:fldCharType="separate"/>
      </w:r>
      <w:r>
        <w:rPr>
          <w:rStyle w:val="20"/>
        </w:rPr>
        <w:t>https://numpy.org/doc/</w:t>
      </w:r>
      <w:r>
        <w:fldChar w:fldCharType="end"/>
      </w:r>
      <w:r>
        <w:t xml:space="preserve"> </w:t>
      </w:r>
    </w:p>
    <w:p w14:paraId="15953F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Matplotlib Development Team. (2026). </w:t>
      </w:r>
      <w:r>
        <w:rPr>
          <w:rStyle w:val="17"/>
        </w:rPr>
        <w:t>Matplotlib Documentation.</w:t>
      </w:r>
      <w:r>
        <w:t xml:space="preserve"> </w:t>
      </w:r>
      <w:r>
        <w:fldChar w:fldCharType="begin"/>
      </w:r>
      <w:r>
        <w:instrText xml:space="preserve"> HYPERLINK "https://matplotlib.org/stable/" \t "_new" </w:instrText>
      </w:r>
      <w:r>
        <w:fldChar w:fldCharType="separate"/>
      </w:r>
      <w:r>
        <w:rPr>
          <w:rStyle w:val="20"/>
        </w:rPr>
        <w:t>https://matplotlib.org/stable/</w:t>
      </w:r>
      <w:r>
        <w:fldChar w:fldCharType="end"/>
      </w:r>
      <w:r>
        <w:t xml:space="preserve"> </w:t>
      </w:r>
    </w:p>
    <w:p w14:paraId="478353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Aroussi, R. (2026). </w:t>
      </w:r>
      <w:r>
        <w:rPr>
          <w:rStyle w:val="17"/>
        </w:rPr>
        <w:t>yfinance Documentation.</w:t>
      </w:r>
      <w:r>
        <w:t xml:space="preserve"> </w:t>
      </w:r>
      <w:r>
        <w:fldChar w:fldCharType="begin"/>
      </w:r>
      <w:r>
        <w:instrText xml:space="preserve"> HYPERLINK "https://ranaroussi.github.io/yfinance/" \t "_new" </w:instrText>
      </w:r>
      <w:r>
        <w:fldChar w:fldCharType="separate"/>
      </w:r>
      <w:r>
        <w:rPr>
          <w:rStyle w:val="20"/>
        </w:rPr>
        <w:t>https://ranaroussi.github.io/yfinance/</w:t>
      </w:r>
      <w:r>
        <w:fldChar w:fldCharType="end"/>
      </w:r>
    </w:p>
    <w:sectPr>
      <w:footerReference r:id="rId5" w:type="default"/>
      <w:pgSz w:w="12240" w:h="15840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0B1D2">
    <w:pPr>
      <w:pStyle w:val="18"/>
    </w:pPr>
    <w:r>
      <w:rPr>
        <w:color w:val="708095"/>
        <w:sz w:val="17"/>
      </w:rPr>
      <w:t>Bright</w:t>
    </w:r>
    <w:r>
      <w:rPr>
        <w:color w:val="708095"/>
        <w:spacing w:val="-6"/>
        <w:sz w:val="17"/>
      </w:rPr>
      <w:t xml:space="preserve"> </w:t>
    </w:r>
    <w:r>
      <w:rPr>
        <w:color w:val="708095"/>
        <w:sz w:val="17"/>
      </w:rPr>
      <w:t>Lungu</w:t>
    </w:r>
    <w:r>
      <w:rPr>
        <w:color w:val="708095"/>
        <w:spacing w:val="-5"/>
        <w:sz w:val="17"/>
      </w:rPr>
      <w:t xml:space="preserve"> </w:t>
    </w:r>
    <w:r>
      <w:rPr>
        <w:color w:val="708095"/>
        <w:sz w:val="17"/>
      </w:rPr>
      <w:t>•</w:t>
    </w:r>
    <w:r>
      <w:rPr>
        <w:color w:val="708095"/>
        <w:spacing w:val="-5"/>
        <w:sz w:val="17"/>
      </w:rPr>
      <w:t xml:space="preserve"> </w:t>
    </w:r>
    <w:r>
      <w:rPr>
        <w:color w:val="708095"/>
        <w:sz w:val="17"/>
      </w:rPr>
      <w:t>Financial</w:t>
    </w:r>
    <w:r>
      <w:rPr>
        <w:color w:val="708095"/>
        <w:spacing w:val="-5"/>
        <w:sz w:val="17"/>
      </w:rPr>
      <w:t xml:space="preserve"> </w:t>
    </w:r>
    <w:r>
      <w:rPr>
        <w:color w:val="708095"/>
        <w:sz w:val="17"/>
      </w:rPr>
      <w:t>Engineering</w:t>
    </w:r>
    <w:r>
      <w:rPr>
        <w:color w:val="708095"/>
        <w:spacing w:val="-5"/>
        <w:sz w:val="17"/>
      </w:rPr>
      <w:t xml:space="preserve"> </w:t>
    </w:r>
    <w:r>
      <w:rPr>
        <w:color w:val="708095"/>
        <w:sz w:val="17"/>
      </w:rPr>
      <w:t>&amp;</w:t>
    </w:r>
    <w:r>
      <w:rPr>
        <w:color w:val="708095"/>
        <w:spacing w:val="-6"/>
        <w:sz w:val="17"/>
      </w:rPr>
      <w:t xml:space="preserve"> </w:t>
    </w:r>
    <w:r>
      <w:rPr>
        <w:color w:val="708095"/>
        <w:sz w:val="17"/>
      </w:rPr>
      <w:t>Actuarial</w:t>
    </w:r>
    <w:r>
      <w:rPr>
        <w:color w:val="708095"/>
        <w:spacing w:val="-5"/>
        <w:sz w:val="17"/>
      </w:rPr>
      <w:t xml:space="preserve"> </w:t>
    </w:r>
    <w:r>
      <w:rPr>
        <w:color w:val="708095"/>
        <w:spacing w:val="-2"/>
        <w:sz w:val="17"/>
      </w:rPr>
      <w:t>Science</w:t>
    </w:r>
    <w:r>
      <w:rPr>
        <w:rFonts w:hint="default"/>
        <w:color w:val="708095"/>
        <w:spacing w:val="-2"/>
        <w:sz w:val="17"/>
        <w:lang w:val="en-US"/>
      </w:rPr>
      <w:tab/>
    </w:r>
    <w:r>
      <w:rPr>
        <w:rFonts w:hint="default"/>
        <w:color w:val="708095"/>
        <w:spacing w:val="-2"/>
        <w:sz w:val="17"/>
        <w:lang w:val="en-US"/>
      </w:rPr>
      <w:tab/>
    </w:r>
    <w:r>
      <w:rPr>
        <w:color w:val="708095"/>
        <w:sz w:val="17"/>
      </w:rPr>
      <w:t>Page</w:t>
    </w:r>
    <w:r>
      <w:rPr>
        <w:color w:val="708095"/>
        <w:spacing w:val="-4"/>
        <w:sz w:val="17"/>
      </w:rPr>
      <w:t xml:space="preserve"> </w:t>
    </w:r>
    <w:r>
      <w:rPr>
        <w:color w:val="708095"/>
        <w:sz w:val="17"/>
      </w:rPr>
      <w:fldChar w:fldCharType="begin"/>
    </w:r>
    <w:r>
      <w:rPr>
        <w:color w:val="708095"/>
        <w:sz w:val="17"/>
      </w:rPr>
      <w:instrText xml:space="preserve"> PAGE </w:instrText>
    </w:r>
    <w:r>
      <w:rPr>
        <w:color w:val="708095"/>
        <w:sz w:val="17"/>
      </w:rPr>
      <w:fldChar w:fldCharType="separate"/>
    </w:r>
    <w:r>
      <w:rPr>
        <w:color w:val="708095"/>
        <w:sz w:val="17"/>
      </w:rPr>
      <w:t>1</w:t>
    </w:r>
    <w:r>
      <w:rPr>
        <w:color w:val="708095"/>
        <w:sz w:val="17"/>
      </w:rPr>
      <w:fldChar w:fldCharType="end"/>
    </w:r>
    <w:r>
      <w:rPr>
        <w:color w:val="708095"/>
        <w:spacing w:val="-4"/>
        <w:sz w:val="17"/>
      </w:rPr>
      <w:t xml:space="preserve"> </w:t>
    </w:r>
    <w:r>
      <w:rPr>
        <w:color w:val="708095"/>
        <w:sz w:val="17"/>
      </w:rPr>
      <w:t>of</w:t>
    </w:r>
    <w:r>
      <w:rPr>
        <w:color w:val="708095"/>
        <w:spacing w:val="-4"/>
        <w:sz w:val="17"/>
      </w:rPr>
      <w:t xml:space="preserve"> </w:t>
    </w:r>
    <w:r>
      <w:rPr>
        <w:color w:val="708095"/>
        <w:spacing w:val="-10"/>
        <w:sz w:val="17"/>
      </w:rPr>
      <w:fldChar w:fldCharType="begin"/>
    </w:r>
    <w:r>
      <w:rPr>
        <w:color w:val="708095"/>
        <w:spacing w:val="-10"/>
        <w:sz w:val="17"/>
      </w:rPr>
      <w:instrText xml:space="preserve"> NUMPAGES </w:instrText>
    </w:r>
    <w:r>
      <w:rPr>
        <w:color w:val="708095"/>
        <w:spacing w:val="-10"/>
        <w:sz w:val="17"/>
      </w:rPr>
      <w:fldChar w:fldCharType="separate"/>
    </w:r>
    <w:r>
      <w:rPr>
        <w:color w:val="708095"/>
        <w:spacing w:val="-10"/>
        <w:sz w:val="17"/>
      </w:rPr>
      <w:t>7</w:t>
    </w:r>
    <w:r>
      <w:rPr>
        <w:color w:val="708095"/>
        <w:spacing w:val="-1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8276C8"/>
    <w:multiLevelType w:val="multilevel"/>
    <w:tmpl w:val="F38276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5E0BE8"/>
    <w:rsid w:val="35DE5975"/>
    <w:rsid w:val="37DD7DB5"/>
    <w:rsid w:val="75AA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739</Words>
  <Characters>5105</Characters>
  <Lines>0</Lines>
  <Paragraphs>0</Paragraphs>
  <TotalTime>5</TotalTime>
  <ScaleCrop>false</ScaleCrop>
  <LinksUpToDate>false</LinksUpToDate>
  <CharactersWithSpaces>5752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Bright Lungu</cp:lastModifiedBy>
  <dcterms:modified xsi:type="dcterms:W3CDTF">2026-07-07T16:07:53Z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eyJoZGlkIjoiMWMxYTBmM2ExNDA5MTI5NmEwNjA4YTk5MmRmY2Y2MzgiLCJ1c2VySWQiOiIxNTgwNTQ4MDUyMjg5OSJ9</vt:lpwstr>
  </property>
  <property fmtid="{D5CDD505-2E9C-101B-9397-08002B2CF9AE}" pid="3" name="KSOProductBuildVer">
    <vt:lpwstr>1033-12.1.0.26880</vt:lpwstr>
  </property>
  <property fmtid="{D5CDD505-2E9C-101B-9397-08002B2CF9AE}" pid="4" name="ICV">
    <vt:lpwstr>BEDD712AC77F4746A07D5425895AEE5E_13</vt:lpwstr>
  </property>
</Properties>
</file>