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7015AF">
      <w:pPr>
        <w:jc w:val="center"/>
        <w:rPr>
          <w:i/>
          <w:sz w:val="24"/>
        </w:rPr>
      </w:pPr>
      <w:r>
        <w:rPr>
          <w:b/>
          <w:color w:val="1F4E79"/>
          <w:sz w:val="36"/>
        </w:rPr>
        <w:t>Stock Analysis Report</w:t>
      </w:r>
    </w:p>
    <w:p w14:paraId="182B42A0">
      <w:pPr>
        <w:jc w:val="center"/>
      </w:pPr>
      <w:r>
        <w:rPr>
          <w:i/>
          <w:sz w:val="24"/>
        </w:rPr>
        <w:t>A 12-Month Quant Review, Diversification Mapping, and Risk Diagnostics</w:t>
      </w:r>
    </w:p>
    <w:p w14:paraId="79C9B70C">
      <w:pPr>
        <w:spacing w:before="240" w:after="360"/>
      </w:pPr>
      <w:r>
        <w:rPr>
          <w:b/>
        </w:rPr>
        <w:t xml:space="preserve">Prepared by: </w:t>
      </w:r>
      <w:r>
        <w:t xml:space="preserve">Bright </w:t>
      </w:r>
      <w:r>
        <w:rPr>
          <w:lang w:val="en-US"/>
        </w:rPr>
        <w:t>Lung</w:t>
      </w:r>
      <w:r>
        <w:rPr>
          <w:rFonts w:hint="default"/>
          <w:lang w:val="en-US"/>
        </w:rPr>
        <w:t>u</w:t>
      </w:r>
      <w:r>
        <w:br w:type="textWrapping"/>
      </w:r>
      <w:r>
        <w:rPr>
          <w:b/>
        </w:rPr>
        <w:t xml:space="preserve">Academic Specialization: </w:t>
      </w:r>
      <w:r>
        <w:t>Financial Engineering &amp; Actuarial Science</w:t>
      </w:r>
      <w:r>
        <w:br w:type="textWrapping"/>
      </w:r>
      <w:r>
        <w:rPr>
          <w:b/>
        </w:rPr>
        <w:t xml:space="preserve">Evaluation Window: </w:t>
      </w:r>
      <w:r>
        <w:t>July 2025 – July 2026 (Daily Granularity)</w:t>
      </w:r>
      <w:r>
        <w:br w:type="textWrapping"/>
      </w:r>
      <w:r>
        <w:rPr>
          <w:b/>
        </w:rPr>
        <w:t xml:space="preserve">Portfolio Framework: </w:t>
      </w:r>
      <w:r>
        <w:t>Blue-Chip Large-Cap Growth / Core Equities</w:t>
      </w:r>
      <w:r>
        <w:br w:type="textWrapping"/>
      </w:r>
      <w:r>
        <w:rPr>
          <w:b/>
        </w:rPr>
        <w:t xml:space="preserve">Submission Date: </w:t>
      </w:r>
      <w:r>
        <w:t>July 6, 2026</w:t>
      </w:r>
      <w:r>
        <w:br w:type="textWrapping"/>
      </w:r>
      <w:r>
        <w:rPr>
          <w:rFonts w:hint="eastAsia"/>
          <w:b/>
          <w:bCs/>
        </w:rPr>
        <w:t>Tools Used:</w:t>
      </w:r>
      <w:r>
        <w:rPr>
          <w:rFonts w:hint="eastAsia"/>
        </w:rPr>
        <w:t xml:space="preserve"> Python (Pandas, NumPy, Matplotlib)</w:t>
      </w:r>
    </w:p>
    <w:p w14:paraId="4ED816A8">
      <w:pPr>
        <w:jc w:val="center"/>
        <w:rPr>
          <w:rFonts w:hint="default"/>
          <w:b/>
          <w:bCs/>
          <w:lang w:val="en-US"/>
        </w:rPr>
      </w:pPr>
      <w:r>
        <w:rPr>
          <w:b/>
          <w:bCs/>
        </w:rPr>
        <w:t>======================================================================</w:t>
      </w:r>
      <w:r>
        <w:rPr>
          <w:rFonts w:hint="default"/>
          <w:b/>
          <w:bCs/>
          <w:lang w:val="en-US"/>
        </w:rPr>
        <w:t>============</w:t>
      </w:r>
    </w:p>
    <w:p w14:paraId="65A99DEE">
      <w:pPr>
        <w:pStyle w:val="2"/>
      </w:pPr>
      <w:r>
        <w:t>Summary</w:t>
      </w:r>
    </w:p>
    <w:p w14:paraId="45DB233F">
      <w:r>
        <w:t>This report presents a data-driven analysis of a portfolio composed of three leading U.S. s</w:t>
      </w:r>
      <w:r>
        <w:rPr>
          <w:rFonts w:hint="default"/>
          <w:lang w:val="en-US"/>
        </w:rPr>
        <w:t>tocks</w:t>
      </w:r>
      <w:r>
        <w:t>: Microsoft Corporation (MSFT), Apple Inc. (AAPL), and NVIDIA Corporation (NVDA). Using one year of daily historical market data (July 2025–July 2026), Python was used to analyze price trends, portfolio diversification, and key risk and return metrics to support investment decision-making.</w:t>
      </w:r>
    </w:p>
    <w:p w14:paraId="33C4902D">
      <w:r>
        <w:t>In contrast to high-volatility digital asset portfolios, the large-cap equity sector demonstrated robust capitalization growth and strong risk-adjusted returns during the evaluated window, led by persistent secular trends in enterprise AI integration. Rather than analyzing these assets through purely static valuation ratios, this report examines empirical price behaviors, historical draw</w:t>
      </w:r>
      <w:r>
        <w:rPr>
          <w:rFonts w:hint="default"/>
          <w:lang w:val="en-US"/>
        </w:rPr>
        <w:t xml:space="preserve"> </w:t>
      </w:r>
      <w:r>
        <w:t>downs from peak values, daily fluctuation boundaries, and correlation structures. The objective of this analysis is to evaluate historical performance using quantitative financial metrics and to demonstrate how data-driven techniques can support portfolio construction and risk management.</w:t>
      </w:r>
    </w:p>
    <w:p w14:paraId="2A8AC16E">
      <w:pPr>
        <w:pStyle w:val="2"/>
      </w:pPr>
      <w:r>
        <w:t>1. Asset Profiles &amp; Market Footprint</w:t>
      </w:r>
    </w:p>
    <w:p w14:paraId="4A824145">
      <w:r>
        <w:t>To establish a baseline for our portfolio review, we compiled a current market summary of the three selected equities. This snapshot highlights the deep liquidity, immense market presence, and structural size across our core and growth holdings:</w:t>
      </w:r>
    </w:p>
    <w:tbl>
      <w:tblPr>
        <w:tblStyle w:val="41"/>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72"/>
        <w:gridCol w:w="1872"/>
        <w:gridCol w:w="1872"/>
        <w:gridCol w:w="1997"/>
        <w:gridCol w:w="1872"/>
      </w:tblGrid>
      <w:tr w14:paraId="78E596D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2" w:type="dxa"/>
          </w:tcPr>
          <w:p w14:paraId="41AB2F1E">
            <w:pPr>
              <w:spacing w:after="0" w:line="240" w:lineRule="auto"/>
              <w:rPr>
                <w:color w:val="376092" w:themeColor="accent1" w:themeShade="BF"/>
              </w:rPr>
            </w:pPr>
            <w:r>
              <w:rPr>
                <w:color w:val="376092" w:themeColor="accent1" w:themeShade="BF"/>
              </w:rPr>
              <w:t>Company Name</w:t>
            </w:r>
          </w:p>
        </w:tc>
        <w:tc>
          <w:tcPr>
            <w:tcW w:w="1872" w:type="dxa"/>
          </w:tcPr>
          <w:p w14:paraId="15A596ED">
            <w:pPr>
              <w:spacing w:after="0" w:line="240" w:lineRule="auto"/>
              <w:rPr>
                <w:color w:val="376092" w:themeColor="accent1" w:themeShade="BF"/>
              </w:rPr>
            </w:pPr>
            <w:r>
              <w:rPr>
                <w:color w:val="376092" w:themeColor="accent1" w:themeShade="BF"/>
              </w:rPr>
              <w:t>Ticker Symbol</w:t>
            </w:r>
          </w:p>
        </w:tc>
        <w:tc>
          <w:tcPr>
            <w:tcW w:w="1872" w:type="dxa"/>
          </w:tcPr>
          <w:p w14:paraId="2A8B3F3A">
            <w:pPr>
              <w:spacing w:after="0" w:line="240" w:lineRule="auto"/>
              <w:rPr>
                <w:color w:val="376092" w:themeColor="accent1" w:themeShade="BF"/>
              </w:rPr>
            </w:pPr>
            <w:r>
              <w:rPr>
                <w:color w:val="376092" w:themeColor="accent1" w:themeShade="BF"/>
              </w:rPr>
              <w:t>Current Price (USD)</w:t>
            </w:r>
          </w:p>
        </w:tc>
        <w:tc>
          <w:tcPr>
            <w:tcW w:w="1872" w:type="dxa"/>
          </w:tcPr>
          <w:p w14:paraId="3CEBDFF2">
            <w:pPr>
              <w:spacing w:after="0" w:line="240" w:lineRule="auto"/>
              <w:rPr>
                <w:color w:val="376092" w:themeColor="accent1" w:themeShade="BF"/>
              </w:rPr>
            </w:pPr>
            <w:r>
              <w:rPr>
                <w:color w:val="376092" w:themeColor="accent1" w:themeShade="BF"/>
              </w:rPr>
              <w:t>Market Cap (USD)</w:t>
            </w:r>
          </w:p>
        </w:tc>
        <w:tc>
          <w:tcPr>
            <w:tcW w:w="1872" w:type="dxa"/>
          </w:tcPr>
          <w:p w14:paraId="238F25C2">
            <w:pPr>
              <w:spacing w:after="0" w:line="240" w:lineRule="auto"/>
              <w:rPr>
                <w:color w:val="376092" w:themeColor="accent1" w:themeShade="BF"/>
              </w:rPr>
            </w:pPr>
            <w:r>
              <w:rPr>
                <w:color w:val="376092" w:themeColor="accent1" w:themeShade="BF"/>
              </w:rPr>
              <w:t>Trailing P/E Ratio</w:t>
            </w:r>
          </w:p>
        </w:tc>
      </w:tr>
      <w:tr w14:paraId="0344607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2" w:type="dxa"/>
          </w:tcPr>
          <w:p w14:paraId="537E4E2A">
            <w:pPr>
              <w:spacing w:after="0" w:line="240" w:lineRule="auto"/>
              <w:rPr>
                <w:color w:val="376092" w:themeColor="accent1" w:themeShade="BF"/>
              </w:rPr>
            </w:pPr>
            <w:r>
              <w:rPr>
                <w:color w:val="376092" w:themeColor="accent1" w:themeShade="BF"/>
              </w:rPr>
              <w:t>Microsoft Corp.</w:t>
            </w:r>
          </w:p>
        </w:tc>
        <w:tc>
          <w:tcPr>
            <w:tcW w:w="1872" w:type="dxa"/>
          </w:tcPr>
          <w:p w14:paraId="74577B16">
            <w:pPr>
              <w:spacing w:after="0" w:line="240" w:lineRule="auto"/>
              <w:rPr>
                <w:color w:val="376092" w:themeColor="accent1" w:themeShade="BF"/>
              </w:rPr>
            </w:pPr>
            <w:r>
              <w:rPr>
                <w:color w:val="376092" w:themeColor="accent1" w:themeShade="BF"/>
              </w:rPr>
              <w:t>MSFT</w:t>
            </w:r>
          </w:p>
        </w:tc>
        <w:tc>
          <w:tcPr>
            <w:tcW w:w="1872" w:type="dxa"/>
          </w:tcPr>
          <w:p w14:paraId="6D8B1FAA">
            <w:pPr>
              <w:spacing w:after="0" w:line="240" w:lineRule="auto"/>
              <w:rPr>
                <w:color w:val="376092" w:themeColor="accent1" w:themeShade="BF"/>
              </w:rPr>
            </w:pPr>
            <w:r>
              <w:rPr>
                <w:color w:val="376092" w:themeColor="accent1" w:themeShade="BF"/>
              </w:rPr>
              <w:t>$442.15</w:t>
            </w:r>
          </w:p>
        </w:tc>
        <w:tc>
          <w:tcPr>
            <w:tcW w:w="1872" w:type="dxa"/>
          </w:tcPr>
          <w:p w14:paraId="13CEA7FC">
            <w:pPr>
              <w:spacing w:after="0" w:line="240" w:lineRule="auto"/>
              <w:rPr>
                <w:color w:val="376092" w:themeColor="accent1" w:themeShade="BF"/>
              </w:rPr>
            </w:pPr>
            <w:r>
              <w:rPr>
                <w:color w:val="376092" w:themeColor="accent1" w:themeShade="BF"/>
              </w:rPr>
              <w:t>$3,288,540,000,000</w:t>
            </w:r>
          </w:p>
        </w:tc>
        <w:tc>
          <w:tcPr>
            <w:tcW w:w="1872" w:type="dxa"/>
          </w:tcPr>
          <w:p w14:paraId="6F21C699">
            <w:pPr>
              <w:spacing w:after="0" w:line="240" w:lineRule="auto"/>
              <w:rPr>
                <w:color w:val="376092" w:themeColor="accent1" w:themeShade="BF"/>
              </w:rPr>
            </w:pPr>
            <w:r>
              <w:rPr>
                <w:color w:val="376092" w:themeColor="accent1" w:themeShade="BF"/>
              </w:rPr>
              <w:t>35.2</w:t>
            </w:r>
          </w:p>
        </w:tc>
      </w:tr>
      <w:tr w14:paraId="36D96F7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2" w:type="dxa"/>
          </w:tcPr>
          <w:p w14:paraId="1DF0913E">
            <w:pPr>
              <w:spacing w:after="0" w:line="240" w:lineRule="auto"/>
              <w:rPr>
                <w:color w:val="376092" w:themeColor="accent1" w:themeShade="BF"/>
              </w:rPr>
            </w:pPr>
            <w:r>
              <w:rPr>
                <w:color w:val="376092" w:themeColor="accent1" w:themeShade="BF"/>
              </w:rPr>
              <w:t>Apple Inc.</w:t>
            </w:r>
          </w:p>
        </w:tc>
        <w:tc>
          <w:tcPr>
            <w:tcW w:w="1872" w:type="dxa"/>
          </w:tcPr>
          <w:p w14:paraId="53437D53">
            <w:pPr>
              <w:spacing w:after="0" w:line="240" w:lineRule="auto"/>
              <w:rPr>
                <w:color w:val="376092" w:themeColor="accent1" w:themeShade="BF"/>
              </w:rPr>
            </w:pPr>
            <w:r>
              <w:rPr>
                <w:color w:val="376092" w:themeColor="accent1" w:themeShade="BF"/>
              </w:rPr>
              <w:t>AAPL</w:t>
            </w:r>
          </w:p>
        </w:tc>
        <w:tc>
          <w:tcPr>
            <w:tcW w:w="1872" w:type="dxa"/>
          </w:tcPr>
          <w:p w14:paraId="30C2280D">
            <w:pPr>
              <w:spacing w:after="0" w:line="240" w:lineRule="auto"/>
              <w:rPr>
                <w:color w:val="376092" w:themeColor="accent1" w:themeShade="BF"/>
              </w:rPr>
            </w:pPr>
            <w:r>
              <w:rPr>
                <w:color w:val="376092" w:themeColor="accent1" w:themeShade="BF"/>
              </w:rPr>
              <w:t>$210.60</w:t>
            </w:r>
          </w:p>
        </w:tc>
        <w:tc>
          <w:tcPr>
            <w:tcW w:w="1872" w:type="dxa"/>
          </w:tcPr>
          <w:p w14:paraId="59F32297">
            <w:pPr>
              <w:spacing w:after="0" w:line="240" w:lineRule="auto"/>
              <w:rPr>
                <w:color w:val="376092" w:themeColor="accent1" w:themeShade="BF"/>
              </w:rPr>
            </w:pPr>
            <w:r>
              <w:rPr>
                <w:color w:val="376092" w:themeColor="accent1" w:themeShade="BF"/>
              </w:rPr>
              <w:t>$3,228,910,000,000</w:t>
            </w:r>
          </w:p>
        </w:tc>
        <w:tc>
          <w:tcPr>
            <w:tcW w:w="1872" w:type="dxa"/>
          </w:tcPr>
          <w:p w14:paraId="5E1EB427">
            <w:pPr>
              <w:spacing w:after="0" w:line="240" w:lineRule="auto"/>
              <w:rPr>
                <w:color w:val="376092" w:themeColor="accent1" w:themeShade="BF"/>
              </w:rPr>
            </w:pPr>
            <w:r>
              <w:rPr>
                <w:color w:val="376092" w:themeColor="accent1" w:themeShade="BF"/>
              </w:rPr>
              <w:t>31.8</w:t>
            </w:r>
          </w:p>
        </w:tc>
      </w:tr>
      <w:tr w14:paraId="6E3DA20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2" w:type="dxa"/>
          </w:tcPr>
          <w:p w14:paraId="4B6750C3">
            <w:pPr>
              <w:spacing w:after="0" w:line="240" w:lineRule="auto"/>
              <w:rPr>
                <w:color w:val="376092" w:themeColor="accent1" w:themeShade="BF"/>
              </w:rPr>
            </w:pPr>
            <w:r>
              <w:rPr>
                <w:color w:val="376092" w:themeColor="accent1" w:themeShade="BF"/>
              </w:rPr>
              <w:t>NVIDIA Corp.</w:t>
            </w:r>
          </w:p>
        </w:tc>
        <w:tc>
          <w:tcPr>
            <w:tcW w:w="1872" w:type="dxa"/>
          </w:tcPr>
          <w:p w14:paraId="7A8B073B">
            <w:pPr>
              <w:spacing w:after="0" w:line="240" w:lineRule="auto"/>
              <w:rPr>
                <w:color w:val="376092" w:themeColor="accent1" w:themeShade="BF"/>
              </w:rPr>
            </w:pPr>
            <w:r>
              <w:rPr>
                <w:color w:val="376092" w:themeColor="accent1" w:themeShade="BF"/>
              </w:rPr>
              <w:t>NVDA</w:t>
            </w:r>
          </w:p>
        </w:tc>
        <w:tc>
          <w:tcPr>
            <w:tcW w:w="1872" w:type="dxa"/>
          </w:tcPr>
          <w:p w14:paraId="1CF4CA08">
            <w:pPr>
              <w:spacing w:after="0" w:line="240" w:lineRule="auto"/>
              <w:rPr>
                <w:color w:val="376092" w:themeColor="accent1" w:themeShade="BF"/>
              </w:rPr>
            </w:pPr>
            <w:r>
              <w:rPr>
                <w:color w:val="376092" w:themeColor="accent1" w:themeShade="BF"/>
              </w:rPr>
              <w:t>$128.45</w:t>
            </w:r>
          </w:p>
        </w:tc>
        <w:tc>
          <w:tcPr>
            <w:tcW w:w="1872" w:type="dxa"/>
          </w:tcPr>
          <w:p w14:paraId="77360750">
            <w:pPr>
              <w:spacing w:after="0" w:line="240" w:lineRule="auto"/>
              <w:rPr>
                <w:color w:val="376092" w:themeColor="accent1" w:themeShade="BF"/>
              </w:rPr>
            </w:pPr>
            <w:r>
              <w:rPr>
                <w:color w:val="376092" w:themeColor="accent1" w:themeShade="BF"/>
              </w:rPr>
              <w:t>$3,159,870,000,000</w:t>
            </w:r>
          </w:p>
        </w:tc>
        <w:tc>
          <w:tcPr>
            <w:tcW w:w="1872" w:type="dxa"/>
          </w:tcPr>
          <w:p w14:paraId="130C64D9">
            <w:pPr>
              <w:spacing w:after="0" w:line="240" w:lineRule="auto"/>
              <w:rPr>
                <w:color w:val="376092" w:themeColor="accent1" w:themeShade="BF"/>
              </w:rPr>
            </w:pPr>
            <w:r>
              <w:rPr>
                <w:color w:val="376092" w:themeColor="accent1" w:themeShade="BF"/>
              </w:rPr>
              <w:t>68.4</w:t>
            </w:r>
          </w:p>
        </w:tc>
      </w:tr>
    </w:tbl>
    <w:p w14:paraId="54413042">
      <w:r>
        <w:br w:type="textWrapping"/>
      </w:r>
      <w:r>
        <w:t>The selected companies are among the largest publicly traded firms in the world, each with a market capitalization exceeding $3 trillion. Microsoft and Apple trade at relatively moderate trailing P/E ratios, while NVIDIA commands a higher valuation that reflects stronger market expectations for future earnings growth.</w:t>
      </w:r>
    </w:p>
    <w:p w14:paraId="42689E66">
      <w:r>
        <w:br w:type="textWrapping"/>
      </w:r>
      <w:r>
        <w:t>Figure 1.1: Absolute Historical Price Trajectories (USD)</w:t>
      </w:r>
    </w:p>
    <w:p w14:paraId="02196692">
      <w:pPr>
        <w:spacing w:before="120" w:after="240"/>
        <w:jc w:val="center"/>
      </w:pPr>
      <w:r>
        <w:drawing>
          <wp:inline distT="0" distB="0" distL="114300" distR="114300">
            <wp:extent cx="5029200" cy="27533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029200" cy="2753808"/>
                    </a:xfrm>
                    <a:prstGeom prst="rect">
                      <a:avLst/>
                    </a:prstGeom>
                  </pic:spPr>
                </pic:pic>
              </a:graphicData>
            </a:graphic>
          </wp:inline>
        </w:drawing>
      </w:r>
    </w:p>
    <w:p w14:paraId="59FC7C57">
      <w:pPr>
        <w:pStyle w:val="2"/>
      </w:pPr>
      <w:r>
        <w:t>2. Asset Interdependence &amp; Co-Movement Analysis</w:t>
      </w:r>
    </w:p>
    <w:p w14:paraId="3537B1C0">
      <w:r>
        <w:t>A key objective of this analysis was to determine how closely these assets move together. Understanding asset co-movements is essential for building a diversified portfolio and protecting capital during sector-specific stress. The historical relationship was calculated using clean correlation matrices across the full 12-month sequence:</w:t>
      </w:r>
    </w:p>
    <w:tbl>
      <w:tblPr>
        <w:tblStyle w:val="41"/>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40"/>
        <w:gridCol w:w="2340"/>
        <w:gridCol w:w="2340"/>
        <w:gridCol w:w="2340"/>
      </w:tblGrid>
      <w:tr w14:paraId="3921C00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tcPr>
          <w:p w14:paraId="19F753C6">
            <w:pPr>
              <w:spacing w:after="0" w:line="240" w:lineRule="auto"/>
              <w:rPr>
                <w:color w:val="376092" w:themeColor="accent1" w:themeShade="BF"/>
              </w:rPr>
            </w:pPr>
            <w:r>
              <w:rPr>
                <w:color w:val="376092" w:themeColor="accent1" w:themeShade="BF"/>
              </w:rPr>
              <w:t>Asset Name</w:t>
            </w:r>
          </w:p>
        </w:tc>
        <w:tc>
          <w:tcPr>
            <w:tcW w:w="2340" w:type="dxa"/>
          </w:tcPr>
          <w:p w14:paraId="790C112A">
            <w:pPr>
              <w:spacing w:after="0" w:line="240" w:lineRule="auto"/>
              <w:rPr>
                <w:color w:val="376092" w:themeColor="accent1" w:themeShade="BF"/>
              </w:rPr>
            </w:pPr>
            <w:r>
              <w:rPr>
                <w:color w:val="376092" w:themeColor="accent1" w:themeShade="BF"/>
              </w:rPr>
              <w:t>Microsoft (MSFT)</w:t>
            </w:r>
          </w:p>
        </w:tc>
        <w:tc>
          <w:tcPr>
            <w:tcW w:w="2340" w:type="dxa"/>
          </w:tcPr>
          <w:p w14:paraId="68E0F6A1">
            <w:pPr>
              <w:spacing w:after="0" w:line="240" w:lineRule="auto"/>
              <w:rPr>
                <w:color w:val="376092" w:themeColor="accent1" w:themeShade="BF"/>
              </w:rPr>
            </w:pPr>
            <w:r>
              <w:rPr>
                <w:color w:val="376092" w:themeColor="accent1" w:themeShade="BF"/>
              </w:rPr>
              <w:t>Apple (AAPL)</w:t>
            </w:r>
          </w:p>
        </w:tc>
        <w:tc>
          <w:tcPr>
            <w:tcW w:w="2340" w:type="dxa"/>
          </w:tcPr>
          <w:p w14:paraId="5ED17096">
            <w:pPr>
              <w:spacing w:after="0" w:line="240" w:lineRule="auto"/>
              <w:rPr>
                <w:color w:val="376092" w:themeColor="accent1" w:themeShade="BF"/>
              </w:rPr>
            </w:pPr>
            <w:r>
              <w:rPr>
                <w:color w:val="376092" w:themeColor="accent1" w:themeShade="BF"/>
              </w:rPr>
              <w:t>NVIDIA (NVDA)</w:t>
            </w:r>
          </w:p>
        </w:tc>
      </w:tr>
      <w:tr w14:paraId="609D625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tcPr>
          <w:p w14:paraId="78A6713A">
            <w:pPr>
              <w:spacing w:after="0" w:line="240" w:lineRule="auto"/>
              <w:rPr>
                <w:color w:val="376092" w:themeColor="accent1" w:themeShade="BF"/>
              </w:rPr>
            </w:pPr>
            <w:r>
              <w:rPr>
                <w:color w:val="376092" w:themeColor="accent1" w:themeShade="BF"/>
              </w:rPr>
              <w:t>Microsoft (MSFT)</w:t>
            </w:r>
          </w:p>
        </w:tc>
        <w:tc>
          <w:tcPr>
            <w:tcW w:w="2340" w:type="dxa"/>
          </w:tcPr>
          <w:p w14:paraId="711E5F96">
            <w:pPr>
              <w:spacing w:after="0" w:line="240" w:lineRule="auto"/>
              <w:rPr>
                <w:color w:val="376092" w:themeColor="accent1" w:themeShade="BF"/>
              </w:rPr>
            </w:pPr>
            <w:r>
              <w:rPr>
                <w:color w:val="376092" w:themeColor="accent1" w:themeShade="BF"/>
              </w:rPr>
              <w:t>1.000000</w:t>
            </w:r>
          </w:p>
        </w:tc>
        <w:tc>
          <w:tcPr>
            <w:tcW w:w="2340" w:type="dxa"/>
          </w:tcPr>
          <w:p w14:paraId="39226264">
            <w:pPr>
              <w:spacing w:after="0" w:line="240" w:lineRule="auto"/>
              <w:rPr>
                <w:color w:val="376092" w:themeColor="accent1" w:themeShade="BF"/>
              </w:rPr>
            </w:pPr>
            <w:r>
              <w:rPr>
                <w:color w:val="376092" w:themeColor="accent1" w:themeShade="BF"/>
              </w:rPr>
              <w:t>0.684215</w:t>
            </w:r>
          </w:p>
        </w:tc>
        <w:tc>
          <w:tcPr>
            <w:tcW w:w="2340" w:type="dxa"/>
          </w:tcPr>
          <w:p w14:paraId="354FCDB8">
            <w:pPr>
              <w:spacing w:after="0" w:line="240" w:lineRule="auto"/>
              <w:rPr>
                <w:color w:val="376092" w:themeColor="accent1" w:themeShade="BF"/>
              </w:rPr>
            </w:pPr>
            <w:r>
              <w:rPr>
                <w:color w:val="376092" w:themeColor="accent1" w:themeShade="BF"/>
              </w:rPr>
              <w:t>0.612478</w:t>
            </w:r>
          </w:p>
        </w:tc>
      </w:tr>
      <w:tr w14:paraId="122FF7A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tcPr>
          <w:p w14:paraId="4A5F9988">
            <w:pPr>
              <w:spacing w:after="0" w:line="240" w:lineRule="auto"/>
              <w:rPr>
                <w:color w:val="376092" w:themeColor="accent1" w:themeShade="BF"/>
              </w:rPr>
            </w:pPr>
            <w:r>
              <w:rPr>
                <w:color w:val="376092" w:themeColor="accent1" w:themeShade="BF"/>
              </w:rPr>
              <w:t>Apple (AAPL)</w:t>
            </w:r>
          </w:p>
        </w:tc>
        <w:tc>
          <w:tcPr>
            <w:tcW w:w="2340" w:type="dxa"/>
          </w:tcPr>
          <w:p w14:paraId="5A81C2A6">
            <w:pPr>
              <w:spacing w:after="0" w:line="240" w:lineRule="auto"/>
              <w:rPr>
                <w:color w:val="376092" w:themeColor="accent1" w:themeShade="BF"/>
              </w:rPr>
            </w:pPr>
            <w:r>
              <w:rPr>
                <w:color w:val="376092" w:themeColor="accent1" w:themeShade="BF"/>
              </w:rPr>
              <w:t>0.684215</w:t>
            </w:r>
          </w:p>
        </w:tc>
        <w:tc>
          <w:tcPr>
            <w:tcW w:w="2340" w:type="dxa"/>
          </w:tcPr>
          <w:p w14:paraId="048DF32A">
            <w:pPr>
              <w:spacing w:after="0" w:line="240" w:lineRule="auto"/>
              <w:rPr>
                <w:color w:val="376092" w:themeColor="accent1" w:themeShade="BF"/>
              </w:rPr>
            </w:pPr>
            <w:r>
              <w:rPr>
                <w:color w:val="376092" w:themeColor="accent1" w:themeShade="BF"/>
              </w:rPr>
              <w:t>1.000000</w:t>
            </w:r>
          </w:p>
        </w:tc>
        <w:tc>
          <w:tcPr>
            <w:tcW w:w="2340" w:type="dxa"/>
          </w:tcPr>
          <w:p w14:paraId="4452E3E7">
            <w:pPr>
              <w:spacing w:after="0" w:line="240" w:lineRule="auto"/>
              <w:rPr>
                <w:color w:val="376092" w:themeColor="accent1" w:themeShade="BF"/>
              </w:rPr>
            </w:pPr>
            <w:r>
              <w:rPr>
                <w:color w:val="376092" w:themeColor="accent1" w:themeShade="BF"/>
              </w:rPr>
              <w:t>0.548912</w:t>
            </w:r>
          </w:p>
        </w:tc>
      </w:tr>
      <w:tr w14:paraId="3474594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tcPr>
          <w:p w14:paraId="7A7DB9C6">
            <w:pPr>
              <w:spacing w:after="0" w:line="240" w:lineRule="auto"/>
              <w:rPr>
                <w:color w:val="376092" w:themeColor="accent1" w:themeShade="BF"/>
              </w:rPr>
            </w:pPr>
            <w:r>
              <w:rPr>
                <w:color w:val="376092" w:themeColor="accent1" w:themeShade="BF"/>
              </w:rPr>
              <w:t>NVIDIA (NVDA)</w:t>
            </w:r>
          </w:p>
        </w:tc>
        <w:tc>
          <w:tcPr>
            <w:tcW w:w="2340" w:type="dxa"/>
          </w:tcPr>
          <w:p w14:paraId="279AF09A">
            <w:pPr>
              <w:spacing w:after="0" w:line="240" w:lineRule="auto"/>
              <w:rPr>
                <w:color w:val="376092" w:themeColor="accent1" w:themeShade="BF"/>
              </w:rPr>
            </w:pPr>
            <w:r>
              <w:rPr>
                <w:color w:val="376092" w:themeColor="accent1" w:themeShade="BF"/>
              </w:rPr>
              <w:t>0.612478</w:t>
            </w:r>
          </w:p>
        </w:tc>
        <w:tc>
          <w:tcPr>
            <w:tcW w:w="2340" w:type="dxa"/>
          </w:tcPr>
          <w:p w14:paraId="6B2B679D">
            <w:pPr>
              <w:spacing w:after="0" w:line="240" w:lineRule="auto"/>
              <w:rPr>
                <w:color w:val="376092" w:themeColor="accent1" w:themeShade="BF"/>
              </w:rPr>
            </w:pPr>
            <w:r>
              <w:rPr>
                <w:color w:val="376092" w:themeColor="accent1" w:themeShade="BF"/>
              </w:rPr>
              <w:t>0.548912</w:t>
            </w:r>
          </w:p>
        </w:tc>
        <w:tc>
          <w:tcPr>
            <w:tcW w:w="2340" w:type="dxa"/>
          </w:tcPr>
          <w:p w14:paraId="6DE7444A">
            <w:pPr>
              <w:spacing w:after="0" w:line="240" w:lineRule="auto"/>
              <w:rPr>
                <w:color w:val="376092" w:themeColor="accent1" w:themeShade="BF"/>
              </w:rPr>
            </w:pPr>
            <w:r>
              <w:rPr>
                <w:color w:val="376092" w:themeColor="accent1" w:themeShade="BF"/>
              </w:rPr>
              <w:t>1.000000</w:t>
            </w:r>
          </w:p>
        </w:tc>
      </w:tr>
    </w:tbl>
    <w:p w14:paraId="2003A724">
      <w:r>
        <w:br w:type="textWrapping"/>
      </w:r>
      <w:r>
        <w:rPr>
          <w:rFonts w:hint="eastAsia"/>
        </w:rPr>
        <w:t>The results indicate moderate positive correlations among the three stocks, suggesting that diversification benefits remain available despite their shared exposure to the technology sector.</w:t>
      </w:r>
      <w:r>
        <w:rPr>
          <w:rFonts w:hint="default"/>
          <w:lang w:val="en-US"/>
        </w:rPr>
        <w:t xml:space="preserve"> </w:t>
      </w:r>
      <w:r>
        <w:t>Unlike digital asset markets where correlations routinely compress toward near-total uniformity (0.83–0.88), large-cap equities exhibit healthy decoupling. The correlation between Microsoft and Apple stands at 0.68, while Apple and NVIDIA exhibit a significantly lower correlation of 0.54.</w:t>
      </w:r>
    </w:p>
    <w:p w14:paraId="0211E03B">
      <w:r>
        <w:br w:type="textWrapping"/>
      </w:r>
      <w:r>
        <w:t>Figure 2.1: Computed Linear Dependence Mapping (Asset Correlation Heatmap)</w:t>
      </w:r>
    </w:p>
    <w:p w14:paraId="37EF2C14">
      <w:pPr>
        <w:spacing w:before="120" w:after="240"/>
        <w:jc w:val="center"/>
      </w:pPr>
      <w:r>
        <w:drawing>
          <wp:inline distT="0" distB="0" distL="114300" distR="114300">
            <wp:extent cx="4389120" cy="3884295"/>
            <wp:effectExtent l="0" t="0" r="508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389120" cy="3884440"/>
                    </a:xfrm>
                    <a:prstGeom prst="rect">
                      <a:avLst/>
                    </a:prstGeom>
                  </pic:spPr>
                </pic:pic>
              </a:graphicData>
            </a:graphic>
          </wp:inline>
        </w:drawing>
      </w:r>
    </w:p>
    <w:p w14:paraId="31DEC70C">
      <w:pPr>
        <w:pStyle w:val="2"/>
      </w:pPr>
      <w:r>
        <w:t>3. Risk Diagnostics &amp; Performance Breakdowns</w:t>
      </w:r>
    </w:p>
    <w:p w14:paraId="0BF8F510">
      <w:r>
        <w:t>To provide a complete review of asset stability, our Python data pipeline calculated a comprehensive series of historical risk and return metrics. These results summarize the exact behavioral properties of each asset over the past year:</w:t>
      </w:r>
    </w:p>
    <w:tbl>
      <w:tblPr>
        <w:tblStyle w:val="41"/>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70"/>
        <w:gridCol w:w="1170"/>
        <w:gridCol w:w="1170"/>
        <w:gridCol w:w="1170"/>
        <w:gridCol w:w="1170"/>
        <w:gridCol w:w="1170"/>
        <w:gridCol w:w="1196"/>
        <w:gridCol w:w="1170"/>
      </w:tblGrid>
      <w:tr w14:paraId="2F0F8DB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170" w:type="dxa"/>
          </w:tcPr>
          <w:p w14:paraId="40B2D0BF">
            <w:pPr>
              <w:spacing w:after="0" w:line="240" w:lineRule="auto"/>
              <w:rPr>
                <w:color w:val="376092" w:themeColor="accent1" w:themeShade="BF"/>
              </w:rPr>
            </w:pPr>
            <w:r>
              <w:rPr>
                <w:color w:val="376092" w:themeColor="accent1" w:themeShade="BF"/>
              </w:rPr>
              <w:t>Asset</w:t>
            </w:r>
          </w:p>
        </w:tc>
        <w:tc>
          <w:tcPr>
            <w:tcW w:w="1170" w:type="dxa"/>
          </w:tcPr>
          <w:p w14:paraId="1CA5B35B">
            <w:pPr>
              <w:spacing w:after="0" w:line="240" w:lineRule="auto"/>
              <w:rPr>
                <w:color w:val="376092" w:themeColor="accent1" w:themeShade="BF"/>
              </w:rPr>
            </w:pPr>
            <w:r>
              <w:rPr>
                <w:color w:val="376092" w:themeColor="accent1" w:themeShade="BF"/>
              </w:rPr>
              <w:t>Total Return</w:t>
            </w:r>
          </w:p>
        </w:tc>
        <w:tc>
          <w:tcPr>
            <w:tcW w:w="1170" w:type="dxa"/>
          </w:tcPr>
          <w:p w14:paraId="0FAC8B7E">
            <w:pPr>
              <w:spacing w:after="0" w:line="240" w:lineRule="auto"/>
              <w:rPr>
                <w:color w:val="376092" w:themeColor="accent1" w:themeShade="BF"/>
              </w:rPr>
            </w:pPr>
            <w:r>
              <w:rPr>
                <w:color w:val="376092" w:themeColor="accent1" w:themeShade="BF"/>
              </w:rPr>
              <w:t>Annual Return</w:t>
            </w:r>
          </w:p>
        </w:tc>
        <w:tc>
          <w:tcPr>
            <w:tcW w:w="1170" w:type="dxa"/>
          </w:tcPr>
          <w:p w14:paraId="44AB5D37">
            <w:pPr>
              <w:spacing w:after="0" w:line="240" w:lineRule="auto"/>
              <w:rPr>
                <w:color w:val="376092" w:themeColor="accent1" w:themeShade="BF"/>
              </w:rPr>
            </w:pPr>
            <w:r>
              <w:rPr>
                <w:color w:val="376092" w:themeColor="accent1" w:themeShade="BF"/>
              </w:rPr>
              <w:t>Annual Volatility</w:t>
            </w:r>
          </w:p>
        </w:tc>
        <w:tc>
          <w:tcPr>
            <w:tcW w:w="1170" w:type="dxa"/>
          </w:tcPr>
          <w:p w14:paraId="3F9033F5">
            <w:pPr>
              <w:spacing w:after="0" w:line="240" w:lineRule="auto"/>
              <w:rPr>
                <w:color w:val="376092" w:themeColor="accent1" w:themeShade="BF"/>
              </w:rPr>
            </w:pPr>
            <w:r>
              <w:rPr>
                <w:color w:val="376092" w:themeColor="accent1" w:themeShade="BF"/>
              </w:rPr>
              <w:t>Sharpe Ratio</w:t>
            </w:r>
          </w:p>
        </w:tc>
        <w:tc>
          <w:tcPr>
            <w:tcW w:w="1170" w:type="dxa"/>
          </w:tcPr>
          <w:p w14:paraId="1276CE6F">
            <w:pPr>
              <w:spacing w:after="0" w:line="240" w:lineRule="auto"/>
              <w:rPr>
                <w:color w:val="376092" w:themeColor="accent1" w:themeShade="BF"/>
              </w:rPr>
            </w:pPr>
            <w:r>
              <w:rPr>
                <w:color w:val="376092" w:themeColor="accent1" w:themeShade="BF"/>
              </w:rPr>
              <w:t>Sortino Ratio</w:t>
            </w:r>
          </w:p>
        </w:tc>
        <w:tc>
          <w:tcPr>
            <w:tcW w:w="1170" w:type="dxa"/>
          </w:tcPr>
          <w:p w14:paraId="538C2806">
            <w:pPr>
              <w:spacing w:after="0" w:line="240" w:lineRule="auto"/>
              <w:rPr>
                <w:color w:val="376092" w:themeColor="accent1" w:themeShade="BF"/>
              </w:rPr>
            </w:pPr>
            <w:r>
              <w:rPr>
                <w:color w:val="376092" w:themeColor="accent1" w:themeShade="BF"/>
              </w:rPr>
              <w:t>Max Drawdown</w:t>
            </w:r>
          </w:p>
        </w:tc>
        <w:tc>
          <w:tcPr>
            <w:tcW w:w="1170" w:type="dxa"/>
          </w:tcPr>
          <w:p w14:paraId="54042499">
            <w:pPr>
              <w:spacing w:after="0" w:line="240" w:lineRule="auto"/>
              <w:rPr>
                <w:color w:val="376092" w:themeColor="accent1" w:themeShade="BF"/>
              </w:rPr>
            </w:pPr>
            <w:r>
              <w:rPr>
                <w:color w:val="376092" w:themeColor="accent1" w:themeShade="BF"/>
              </w:rPr>
              <w:t>Value at Risk (95%)</w:t>
            </w:r>
          </w:p>
        </w:tc>
      </w:tr>
      <w:tr w14:paraId="65C8673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70" w:type="dxa"/>
          </w:tcPr>
          <w:p w14:paraId="12700A95">
            <w:pPr>
              <w:spacing w:after="0" w:line="240" w:lineRule="auto"/>
              <w:rPr>
                <w:color w:val="376092" w:themeColor="accent1" w:themeShade="BF"/>
              </w:rPr>
            </w:pPr>
            <w:r>
              <w:rPr>
                <w:color w:val="376092" w:themeColor="accent1" w:themeShade="BF"/>
              </w:rPr>
              <w:t>Microsoft</w:t>
            </w:r>
          </w:p>
        </w:tc>
        <w:tc>
          <w:tcPr>
            <w:tcW w:w="1170" w:type="dxa"/>
          </w:tcPr>
          <w:p w14:paraId="711EC0EE">
            <w:pPr>
              <w:spacing w:after="0" w:line="240" w:lineRule="auto"/>
              <w:rPr>
                <w:color w:val="376092" w:themeColor="accent1" w:themeShade="BF"/>
              </w:rPr>
            </w:pPr>
            <w:r>
              <w:rPr>
                <w:color w:val="376092" w:themeColor="accent1" w:themeShade="BF"/>
              </w:rPr>
              <w:t>+18.42%</w:t>
            </w:r>
          </w:p>
        </w:tc>
        <w:tc>
          <w:tcPr>
            <w:tcW w:w="1170" w:type="dxa"/>
          </w:tcPr>
          <w:p w14:paraId="69B35AC0">
            <w:pPr>
              <w:spacing w:after="0" w:line="240" w:lineRule="auto"/>
              <w:rPr>
                <w:color w:val="376092" w:themeColor="accent1" w:themeShade="BF"/>
              </w:rPr>
            </w:pPr>
            <w:r>
              <w:rPr>
                <w:color w:val="376092" w:themeColor="accent1" w:themeShade="BF"/>
              </w:rPr>
              <w:t>+16.35%</w:t>
            </w:r>
          </w:p>
        </w:tc>
        <w:tc>
          <w:tcPr>
            <w:tcW w:w="1170" w:type="dxa"/>
          </w:tcPr>
          <w:p w14:paraId="1E1929AD">
            <w:pPr>
              <w:spacing w:after="0" w:line="240" w:lineRule="auto"/>
              <w:rPr>
                <w:color w:val="376092" w:themeColor="accent1" w:themeShade="BF"/>
              </w:rPr>
            </w:pPr>
            <w:r>
              <w:rPr>
                <w:color w:val="376092" w:themeColor="accent1" w:themeShade="BF"/>
              </w:rPr>
              <w:t>21.40%</w:t>
            </w:r>
          </w:p>
        </w:tc>
        <w:tc>
          <w:tcPr>
            <w:tcW w:w="1170" w:type="dxa"/>
          </w:tcPr>
          <w:p w14:paraId="20F52065">
            <w:pPr>
              <w:spacing w:after="0" w:line="240" w:lineRule="auto"/>
              <w:rPr>
                <w:color w:val="376092" w:themeColor="accent1" w:themeShade="BF"/>
              </w:rPr>
            </w:pPr>
            <w:r>
              <w:rPr>
                <w:color w:val="376092" w:themeColor="accent1" w:themeShade="BF"/>
              </w:rPr>
              <w:t>0.76</w:t>
            </w:r>
          </w:p>
        </w:tc>
        <w:tc>
          <w:tcPr>
            <w:tcW w:w="1170" w:type="dxa"/>
          </w:tcPr>
          <w:p w14:paraId="5BD98776">
            <w:pPr>
              <w:spacing w:after="0" w:line="240" w:lineRule="auto"/>
              <w:rPr>
                <w:color w:val="376092" w:themeColor="accent1" w:themeShade="BF"/>
              </w:rPr>
            </w:pPr>
            <w:r>
              <w:rPr>
                <w:color w:val="376092" w:themeColor="accent1" w:themeShade="BF"/>
              </w:rPr>
              <w:t>1.12</w:t>
            </w:r>
          </w:p>
        </w:tc>
        <w:tc>
          <w:tcPr>
            <w:tcW w:w="1170" w:type="dxa"/>
          </w:tcPr>
          <w:p w14:paraId="3ACA54CC">
            <w:pPr>
              <w:spacing w:after="0" w:line="240" w:lineRule="auto"/>
              <w:rPr>
                <w:color w:val="376092" w:themeColor="accent1" w:themeShade="BF"/>
              </w:rPr>
            </w:pPr>
            <w:r>
              <w:rPr>
                <w:color w:val="376092" w:themeColor="accent1" w:themeShade="BF"/>
              </w:rPr>
              <w:t>-11.85%</w:t>
            </w:r>
          </w:p>
        </w:tc>
        <w:tc>
          <w:tcPr>
            <w:tcW w:w="1170" w:type="dxa"/>
          </w:tcPr>
          <w:p w14:paraId="4DE4F590">
            <w:pPr>
              <w:spacing w:after="0" w:line="240" w:lineRule="auto"/>
              <w:rPr>
                <w:color w:val="376092" w:themeColor="accent1" w:themeShade="BF"/>
              </w:rPr>
            </w:pPr>
            <w:r>
              <w:rPr>
                <w:color w:val="376092" w:themeColor="accent1" w:themeShade="BF"/>
              </w:rPr>
              <w:t>-1.82%</w:t>
            </w:r>
          </w:p>
        </w:tc>
      </w:tr>
      <w:tr w14:paraId="6DBF976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70" w:type="dxa"/>
          </w:tcPr>
          <w:p w14:paraId="3BB74FC5">
            <w:pPr>
              <w:spacing w:after="0" w:line="240" w:lineRule="auto"/>
              <w:rPr>
                <w:color w:val="376092" w:themeColor="accent1" w:themeShade="BF"/>
              </w:rPr>
            </w:pPr>
            <w:r>
              <w:rPr>
                <w:color w:val="376092" w:themeColor="accent1" w:themeShade="BF"/>
              </w:rPr>
              <w:t>Apple</w:t>
            </w:r>
          </w:p>
        </w:tc>
        <w:tc>
          <w:tcPr>
            <w:tcW w:w="1170" w:type="dxa"/>
          </w:tcPr>
          <w:p w14:paraId="14CAF593">
            <w:pPr>
              <w:spacing w:after="0" w:line="240" w:lineRule="auto"/>
              <w:rPr>
                <w:color w:val="376092" w:themeColor="accent1" w:themeShade="BF"/>
              </w:rPr>
            </w:pPr>
            <w:r>
              <w:rPr>
                <w:color w:val="376092" w:themeColor="accent1" w:themeShade="BF"/>
              </w:rPr>
              <w:t>+12.15%</w:t>
            </w:r>
          </w:p>
        </w:tc>
        <w:tc>
          <w:tcPr>
            <w:tcW w:w="1170" w:type="dxa"/>
          </w:tcPr>
          <w:p w14:paraId="56B101F8">
            <w:pPr>
              <w:spacing w:after="0" w:line="240" w:lineRule="auto"/>
              <w:rPr>
                <w:color w:val="376092" w:themeColor="accent1" w:themeShade="BF"/>
              </w:rPr>
            </w:pPr>
            <w:r>
              <w:rPr>
                <w:color w:val="376092" w:themeColor="accent1" w:themeShade="BF"/>
              </w:rPr>
              <w:t>+11.20%</w:t>
            </w:r>
          </w:p>
        </w:tc>
        <w:tc>
          <w:tcPr>
            <w:tcW w:w="1170" w:type="dxa"/>
          </w:tcPr>
          <w:p w14:paraId="59CF4F18">
            <w:pPr>
              <w:spacing w:after="0" w:line="240" w:lineRule="auto"/>
              <w:rPr>
                <w:color w:val="376092" w:themeColor="accent1" w:themeShade="BF"/>
              </w:rPr>
            </w:pPr>
            <w:r>
              <w:rPr>
                <w:color w:val="376092" w:themeColor="accent1" w:themeShade="BF"/>
              </w:rPr>
              <w:t>18.65%</w:t>
            </w:r>
          </w:p>
        </w:tc>
        <w:tc>
          <w:tcPr>
            <w:tcW w:w="1170" w:type="dxa"/>
          </w:tcPr>
          <w:p w14:paraId="40164D0F">
            <w:pPr>
              <w:spacing w:after="0" w:line="240" w:lineRule="auto"/>
              <w:rPr>
                <w:color w:val="376092" w:themeColor="accent1" w:themeShade="BF"/>
              </w:rPr>
            </w:pPr>
            <w:r>
              <w:rPr>
                <w:color w:val="376092" w:themeColor="accent1" w:themeShade="BF"/>
              </w:rPr>
              <w:t>0.60</w:t>
            </w:r>
          </w:p>
        </w:tc>
        <w:tc>
          <w:tcPr>
            <w:tcW w:w="1170" w:type="dxa"/>
          </w:tcPr>
          <w:p w14:paraId="05D26A61">
            <w:pPr>
              <w:spacing w:after="0" w:line="240" w:lineRule="auto"/>
              <w:rPr>
                <w:color w:val="376092" w:themeColor="accent1" w:themeShade="BF"/>
              </w:rPr>
            </w:pPr>
            <w:r>
              <w:rPr>
                <w:color w:val="376092" w:themeColor="accent1" w:themeShade="BF"/>
              </w:rPr>
              <w:t>0.88</w:t>
            </w:r>
          </w:p>
        </w:tc>
        <w:tc>
          <w:tcPr>
            <w:tcW w:w="1170" w:type="dxa"/>
          </w:tcPr>
          <w:p w14:paraId="45E2AA1C">
            <w:pPr>
              <w:spacing w:after="0" w:line="240" w:lineRule="auto"/>
              <w:rPr>
                <w:color w:val="376092" w:themeColor="accent1" w:themeShade="BF"/>
              </w:rPr>
            </w:pPr>
            <w:r>
              <w:rPr>
                <w:color w:val="376092" w:themeColor="accent1" w:themeShade="BF"/>
              </w:rPr>
              <w:t>-13.40%</w:t>
            </w:r>
          </w:p>
        </w:tc>
        <w:tc>
          <w:tcPr>
            <w:tcW w:w="1170" w:type="dxa"/>
          </w:tcPr>
          <w:p w14:paraId="4D204BD1">
            <w:pPr>
              <w:spacing w:after="0" w:line="240" w:lineRule="auto"/>
              <w:rPr>
                <w:color w:val="376092" w:themeColor="accent1" w:themeShade="BF"/>
              </w:rPr>
            </w:pPr>
            <w:r>
              <w:rPr>
                <w:color w:val="376092" w:themeColor="accent1" w:themeShade="BF"/>
              </w:rPr>
              <w:t>-1.55%</w:t>
            </w:r>
          </w:p>
        </w:tc>
      </w:tr>
      <w:tr w14:paraId="43C2928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70" w:type="dxa"/>
          </w:tcPr>
          <w:p w14:paraId="27067287">
            <w:pPr>
              <w:spacing w:after="0" w:line="240" w:lineRule="auto"/>
              <w:rPr>
                <w:color w:val="376092" w:themeColor="accent1" w:themeShade="BF"/>
              </w:rPr>
            </w:pPr>
            <w:r>
              <w:rPr>
                <w:color w:val="376092" w:themeColor="accent1" w:themeShade="BF"/>
              </w:rPr>
              <w:t>NVIDIA</w:t>
            </w:r>
          </w:p>
        </w:tc>
        <w:tc>
          <w:tcPr>
            <w:tcW w:w="1170" w:type="dxa"/>
          </w:tcPr>
          <w:p w14:paraId="6A0E3B60">
            <w:pPr>
              <w:spacing w:after="0" w:line="240" w:lineRule="auto"/>
              <w:rPr>
                <w:color w:val="376092" w:themeColor="accent1" w:themeShade="BF"/>
              </w:rPr>
            </w:pPr>
            <w:r>
              <w:rPr>
                <w:color w:val="376092" w:themeColor="accent1" w:themeShade="BF"/>
              </w:rPr>
              <w:t>+48.90%</w:t>
            </w:r>
          </w:p>
        </w:tc>
        <w:tc>
          <w:tcPr>
            <w:tcW w:w="1170" w:type="dxa"/>
          </w:tcPr>
          <w:p w14:paraId="09D215B1">
            <w:pPr>
              <w:spacing w:after="0" w:line="240" w:lineRule="auto"/>
              <w:rPr>
                <w:color w:val="376092" w:themeColor="accent1" w:themeShade="BF"/>
              </w:rPr>
            </w:pPr>
            <w:r>
              <w:rPr>
                <w:color w:val="376092" w:themeColor="accent1" w:themeShade="BF"/>
              </w:rPr>
              <w:t>+44.12%</w:t>
            </w:r>
          </w:p>
        </w:tc>
        <w:tc>
          <w:tcPr>
            <w:tcW w:w="1170" w:type="dxa"/>
          </w:tcPr>
          <w:p w14:paraId="773C4DA8">
            <w:pPr>
              <w:spacing w:after="0" w:line="240" w:lineRule="auto"/>
              <w:rPr>
                <w:color w:val="376092" w:themeColor="accent1" w:themeShade="BF"/>
              </w:rPr>
            </w:pPr>
            <w:r>
              <w:rPr>
                <w:color w:val="376092" w:themeColor="accent1" w:themeShade="BF"/>
              </w:rPr>
              <w:t>41.80%</w:t>
            </w:r>
          </w:p>
        </w:tc>
        <w:tc>
          <w:tcPr>
            <w:tcW w:w="1170" w:type="dxa"/>
          </w:tcPr>
          <w:p w14:paraId="0AF684A7">
            <w:pPr>
              <w:spacing w:after="0" w:line="240" w:lineRule="auto"/>
              <w:rPr>
                <w:color w:val="376092" w:themeColor="accent1" w:themeShade="BF"/>
              </w:rPr>
            </w:pPr>
            <w:r>
              <w:rPr>
                <w:color w:val="376092" w:themeColor="accent1" w:themeShade="BF"/>
              </w:rPr>
              <w:t>1.05</w:t>
            </w:r>
          </w:p>
        </w:tc>
        <w:tc>
          <w:tcPr>
            <w:tcW w:w="1170" w:type="dxa"/>
          </w:tcPr>
          <w:p w14:paraId="57AE4619">
            <w:pPr>
              <w:spacing w:after="0" w:line="240" w:lineRule="auto"/>
              <w:rPr>
                <w:color w:val="376092" w:themeColor="accent1" w:themeShade="BF"/>
              </w:rPr>
            </w:pPr>
            <w:r>
              <w:rPr>
                <w:color w:val="376092" w:themeColor="accent1" w:themeShade="BF"/>
              </w:rPr>
              <w:t>1.64</w:t>
            </w:r>
          </w:p>
        </w:tc>
        <w:tc>
          <w:tcPr>
            <w:tcW w:w="1170" w:type="dxa"/>
          </w:tcPr>
          <w:p w14:paraId="551E4493">
            <w:pPr>
              <w:spacing w:after="0" w:line="240" w:lineRule="auto"/>
              <w:rPr>
                <w:color w:val="376092" w:themeColor="accent1" w:themeShade="BF"/>
              </w:rPr>
            </w:pPr>
            <w:r>
              <w:rPr>
                <w:color w:val="376092" w:themeColor="accent1" w:themeShade="BF"/>
              </w:rPr>
              <w:t>-24.60%</w:t>
            </w:r>
          </w:p>
        </w:tc>
        <w:tc>
          <w:tcPr>
            <w:tcW w:w="1170" w:type="dxa"/>
          </w:tcPr>
          <w:p w14:paraId="0C8DF75F">
            <w:pPr>
              <w:spacing w:after="0" w:line="240" w:lineRule="auto"/>
              <w:rPr>
                <w:color w:val="376092" w:themeColor="accent1" w:themeShade="BF"/>
              </w:rPr>
            </w:pPr>
            <w:r>
              <w:rPr>
                <w:color w:val="376092" w:themeColor="accent1" w:themeShade="BF"/>
              </w:rPr>
              <w:t>-3.12%</w:t>
            </w:r>
          </w:p>
        </w:tc>
      </w:tr>
    </w:tbl>
    <w:p w14:paraId="3178F1A6">
      <w:r>
        <w:br w:type="textWrapping"/>
      </w:r>
      <w:r>
        <w:t>Figure 3.1: Normalized Compounding Returns (Growth of a $1 Investment Baseline)</w:t>
      </w:r>
    </w:p>
    <w:p w14:paraId="6D90DA31">
      <w:pPr>
        <w:spacing w:before="120" w:after="240"/>
        <w:jc w:val="center"/>
      </w:pPr>
      <w:r>
        <w:drawing>
          <wp:inline distT="0" distB="0" distL="114300" distR="114300">
            <wp:extent cx="4754880" cy="2614295"/>
            <wp:effectExtent l="0" t="0" r="762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754880" cy="2614867"/>
                    </a:xfrm>
                    <a:prstGeom prst="rect">
                      <a:avLst/>
                    </a:prstGeom>
                  </pic:spPr>
                </pic:pic>
              </a:graphicData>
            </a:graphic>
          </wp:inline>
        </w:drawing>
      </w:r>
    </w:p>
    <w:p w14:paraId="629DC170">
      <w:r>
        <w:t>Key Analytical Insights from the Performance Dashboard:</w:t>
      </w:r>
    </w:p>
    <w:p w14:paraId="65E829EE">
      <w:pPr>
        <w:pStyle w:val="25"/>
      </w:pPr>
      <w:r>
        <w:rPr>
          <w:b/>
        </w:rPr>
        <w:t xml:space="preserve">Return Comparison: </w:t>
      </w:r>
      <w:r>
        <w:t>NVIDIA vastly outperformed the broader market with a remarkable 48.90% total return, followed by Microsoft (+18.42%) and Apple (+12.15%).</w:t>
      </w:r>
    </w:p>
    <w:p w14:paraId="1CDF437C">
      <w:pPr>
        <w:pStyle w:val="25"/>
      </w:pPr>
      <w:r>
        <w:rPr>
          <w:b/>
        </w:rPr>
        <w:t xml:space="preserve">Volatility Analysis: </w:t>
      </w:r>
      <w:r>
        <w:t>Apple displayed the strongest capital protection baseline with a modest 18.65% annualized volatility. NVIDIA exhibited an expanded profile of 41.80%.</w:t>
      </w:r>
    </w:p>
    <w:p w14:paraId="0987193A">
      <w:r>
        <w:br w:type="textWrapping"/>
      </w:r>
      <w:r>
        <w:t>Figure 3.2: Realized Efficiency Mapping (Risk vs. Return Vector)</w:t>
      </w:r>
    </w:p>
    <w:p w14:paraId="551F9D50">
      <w:pPr>
        <w:spacing w:before="120" w:after="240"/>
        <w:jc w:val="center"/>
      </w:pPr>
      <w:r>
        <w:drawing>
          <wp:inline distT="0" distB="0" distL="114300" distR="114300">
            <wp:extent cx="4389120" cy="3284220"/>
            <wp:effectExtent l="0" t="0" r="508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389120" cy="3284321"/>
                    </a:xfrm>
                    <a:prstGeom prst="rect">
                      <a:avLst/>
                    </a:prstGeom>
                  </pic:spPr>
                </pic:pic>
              </a:graphicData>
            </a:graphic>
          </wp:inline>
        </w:drawing>
      </w:r>
    </w:p>
    <w:p w14:paraId="0B62F66D">
      <w:pPr>
        <w:pStyle w:val="25"/>
      </w:pPr>
      <w:r>
        <w:rPr>
          <w:b/>
        </w:rPr>
        <w:t xml:space="preserve">Risk-Adjusted Efficiency: </w:t>
      </w:r>
      <w:r>
        <w:t>NVIDIA produced an exceptional Sharpe ratio of 1.05 and a Sortino ratio of 1.64, driven by asymmetric upside capture. MSFT and AAPL generated healthy, stable baselines.</w:t>
      </w:r>
    </w:p>
    <w:p w14:paraId="54B9F0D9">
      <w:pPr>
        <w:pStyle w:val="25"/>
      </w:pPr>
      <w:r>
        <w:rPr>
          <w:b/>
        </w:rPr>
        <w:t xml:space="preserve">Downside Protection &amp; Drawdown: </w:t>
      </w:r>
      <w:r>
        <w:t>Microsoft restricted its peak-to-trough correction to a tight -11.85%, while Apple corrected by -13.40%. NVIDIA experienced a standard consolidation pullback of -24.60%.</w:t>
      </w:r>
    </w:p>
    <w:p w14:paraId="13D5411B">
      <w:r>
        <w:br w:type="textWrapping"/>
      </w:r>
      <w:r>
        <w:t>Figure 3.3: Probability Density Functions and Outlier Spreads (Daily Return Clustering)</w:t>
      </w:r>
    </w:p>
    <w:p w14:paraId="5629B645">
      <w:pPr>
        <w:spacing w:before="120" w:after="240"/>
        <w:jc w:val="center"/>
      </w:pPr>
      <w:r>
        <w:drawing>
          <wp:inline distT="0" distB="0" distL="114300" distR="114300">
            <wp:extent cx="4754880" cy="2626995"/>
            <wp:effectExtent l="0" t="0" r="762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754880" cy="2627111"/>
                    </a:xfrm>
                    <a:prstGeom prst="rect">
                      <a:avLst/>
                    </a:prstGeom>
                  </pic:spPr>
                </pic:pic>
              </a:graphicData>
            </a:graphic>
          </wp:inline>
        </w:drawing>
      </w:r>
    </w:p>
    <w:p w14:paraId="43752F30">
      <w:pPr>
        <w:pStyle w:val="25"/>
      </w:pPr>
      <w:r>
        <w:rPr>
          <w:b/>
        </w:rPr>
        <w:t xml:space="preserve">Short-Term Risk Allocation: </w:t>
      </w:r>
      <w:r>
        <w:t>The 95% Daily Value at Risk (VaR) indicates that under typical market conditions, the expected single-day worst-case loss is bounded at -1.82% for Microsoft, -1.55% for Apple, and -3.12% for NVIDIA.</w:t>
      </w:r>
    </w:p>
    <w:p w14:paraId="1F0F29FD">
      <w:pPr>
        <w:pStyle w:val="2"/>
      </w:pPr>
      <w:r>
        <w:t>4. Strategic Allocation Framework</w:t>
      </w:r>
    </w:p>
    <w:p w14:paraId="068EC34E">
      <w:r>
        <w:t>Based on the historical risk–return characteristics and correlation structure of the selected stocks, the following Core–Satellite portfolio allocation is recommended:</w:t>
      </w:r>
    </w:p>
    <w:p w14:paraId="2EB86445">
      <w:pPr>
        <w:ind w:left="360"/>
      </w:pPr>
      <w:r>
        <w:rPr>
          <w:b/>
        </w:rPr>
        <w:t xml:space="preserve">1. Core Foundation Layer (45% Weight) — Microsoft Corporation (MSFT): </w:t>
      </w:r>
      <w:r>
        <w:rPr>
          <w:b w:val="0"/>
          <w:bCs/>
        </w:rPr>
        <w:t>Serves as the portfolio's core holding because of its consistent returns, relatively low volatility, and strong financial position.</w:t>
      </w:r>
      <w:r>
        <w:t xml:space="preserve"> Its lower annualized volatility (21.40%) and robust enterprise cash flows serve to stabilize the total portfolio equity curve.</w:t>
      </w:r>
    </w:p>
    <w:p w14:paraId="540ACFD7">
      <w:pPr>
        <w:ind w:left="360"/>
      </w:pPr>
      <w:r>
        <w:rPr>
          <w:b/>
        </w:rPr>
        <w:t>2. Core Defensive Anchor (35% Weight) — Apple Inc. (AAPL):</w:t>
      </w:r>
      <w:r>
        <w:rPr>
          <w:b w:val="0"/>
          <w:bCs/>
        </w:rPr>
        <w:t xml:space="preserve"> Provides portfolio stability through its diversified product ecosystem, strong cash flows, and comparatively lower downside risk. </w:t>
      </w:r>
      <w:r>
        <w:t>Apple's low correlation with NVIDIA (0.54) ensures that independent hardware corrections do not trigger uniform drawdowns.</w:t>
      </w:r>
    </w:p>
    <w:p w14:paraId="1787391A">
      <w:pPr>
        <w:ind w:left="360"/>
      </w:pPr>
      <w:r>
        <w:rPr>
          <w:b/>
        </w:rPr>
        <w:t xml:space="preserve">3. Tactical Growth Satellite (20% Weight) — NVIDIA Corporation (NVDA): </w:t>
      </w:r>
      <w:r>
        <w:rPr>
          <w:rFonts w:hint="eastAsia"/>
        </w:rPr>
        <w:t>Provides higher growth potential but also carries greater volatility</w:t>
      </w:r>
      <w:r>
        <w:rPr>
          <w:rFonts w:hint="default"/>
          <w:lang w:val="en-US"/>
        </w:rPr>
        <w:t xml:space="preserve"> </w:t>
      </w:r>
      <w:r>
        <w:t>(41.80%</w:t>
      </w:r>
      <w:r>
        <w:rPr>
          <w:rFonts w:hint="default"/>
          <w:lang w:val="en-US"/>
        </w:rPr>
        <w:t>)</w:t>
      </w:r>
      <w:r>
        <w:rPr>
          <w:rFonts w:hint="eastAsia"/>
        </w:rPr>
        <w:t>. Limiting its allocation to 20% allows the portfolio to benefit from NVIDIA's upside while maintaining balanced overall portfolio risk.</w:t>
      </w:r>
    </w:p>
    <w:p w14:paraId="4FDD79E6">
      <w:pPr>
        <w:spacing w:before="360"/>
        <w:rPr>
          <w:i/>
          <w:sz w:val="20"/>
        </w:rPr>
      </w:pPr>
      <w:bookmarkStart w:id="0" w:name="_GoBack"/>
      <w:bookmarkEnd w:id="0"/>
      <w:r>
        <w:rPr>
          <w:sz w:val="20"/>
        </w:rPr>
        <mc:AlternateContent>
          <mc:Choice Requires="wpg">
            <w:drawing>
              <wp:anchor distT="0" distB="0" distL="0" distR="0" simplePos="0" relativeHeight="251659264" behindDoc="1" locked="0" layoutInCell="1" allowOverlap="1">
                <wp:simplePos x="0" y="0"/>
                <wp:positionH relativeFrom="page">
                  <wp:posOffset>721360</wp:posOffset>
                </wp:positionH>
                <wp:positionV relativeFrom="paragraph">
                  <wp:posOffset>327660</wp:posOffset>
                </wp:positionV>
                <wp:extent cx="6517640" cy="1104265"/>
                <wp:effectExtent l="0" t="0" r="10160" b="0"/>
                <wp:wrapTopAndBottom/>
                <wp:docPr id="25" name="Group 25"/>
                <wp:cNvGraphicFramePr/>
                <a:graphic xmlns:a="http://schemas.openxmlformats.org/drawingml/2006/main">
                  <a:graphicData uri="http://schemas.microsoft.com/office/word/2010/wordprocessingGroup">
                    <wpg:wgp>
                      <wpg:cNvGrpSpPr/>
                      <wpg:grpSpPr>
                        <a:xfrm>
                          <a:off x="0" y="0"/>
                          <a:ext cx="6517640" cy="1104265"/>
                          <a:chOff x="0" y="-231140"/>
                          <a:chExt cx="6517640" cy="1104265"/>
                        </a:xfrm>
                      </wpg:grpSpPr>
                      <wps:wsp>
                        <wps:cNvPr id="26" name="Graphic 26"/>
                        <wps:cNvSpPr/>
                        <wps:spPr>
                          <a:xfrm>
                            <a:off x="0" y="0"/>
                            <a:ext cx="6480175" cy="822960"/>
                          </a:xfrm>
                          <a:custGeom>
                            <a:avLst/>
                            <a:gdLst/>
                            <a:ahLst/>
                            <a:cxnLst/>
                            <a:rect l="l" t="t" r="r" b="b"/>
                            <a:pathLst>
                              <a:path w="6480175" h="822960">
                                <a:moveTo>
                                  <a:pt x="6480000" y="822919"/>
                                </a:moveTo>
                                <a:lnTo>
                                  <a:pt x="0" y="822919"/>
                                </a:lnTo>
                                <a:lnTo>
                                  <a:pt x="0" y="0"/>
                                </a:lnTo>
                                <a:lnTo>
                                  <a:pt x="6480000" y="0"/>
                                </a:lnTo>
                                <a:lnTo>
                                  <a:pt x="6480000" y="822919"/>
                                </a:lnTo>
                                <a:close/>
                              </a:path>
                            </a:pathLst>
                          </a:custGeom>
                          <a:solidFill>
                            <a:srgbClr val="EBF7FF"/>
                          </a:solidFill>
                        </wps:spPr>
                        <wps:bodyPr wrap="square" lIns="0" tIns="0" rIns="0" bIns="0" rtlCol="0">
                          <a:noAutofit/>
                        </wps:bodyPr>
                      </wps:wsp>
                      <wps:wsp>
                        <wps:cNvPr id="27" name="Graphic 27"/>
                        <wps:cNvSpPr/>
                        <wps:spPr>
                          <a:xfrm>
                            <a:off x="0" y="0"/>
                            <a:ext cx="38100" cy="822960"/>
                          </a:xfrm>
                          <a:custGeom>
                            <a:avLst/>
                            <a:gdLst/>
                            <a:ahLst/>
                            <a:cxnLst/>
                            <a:rect l="l" t="t" r="r" b="b"/>
                            <a:pathLst>
                              <a:path w="38100" h="822960">
                                <a:moveTo>
                                  <a:pt x="38100" y="822919"/>
                                </a:moveTo>
                                <a:lnTo>
                                  <a:pt x="0" y="822919"/>
                                </a:lnTo>
                                <a:lnTo>
                                  <a:pt x="0" y="0"/>
                                </a:lnTo>
                                <a:lnTo>
                                  <a:pt x="38100" y="0"/>
                                </a:lnTo>
                                <a:lnTo>
                                  <a:pt x="38100" y="822919"/>
                                </a:lnTo>
                                <a:close/>
                              </a:path>
                            </a:pathLst>
                          </a:custGeom>
                          <a:solidFill>
                            <a:srgbClr val="3182CD"/>
                          </a:solidFill>
                        </wps:spPr>
                        <wps:bodyPr wrap="square" lIns="0" tIns="0" rIns="0" bIns="0" rtlCol="0">
                          <a:noAutofit/>
                        </wps:bodyPr>
                      </wps:wsp>
                      <wps:wsp>
                        <wps:cNvPr id="28" name="Textbox 28"/>
                        <wps:cNvSpPr txBox="1"/>
                        <wps:spPr>
                          <a:xfrm>
                            <a:off x="88900" y="-231140"/>
                            <a:ext cx="6428740" cy="1104265"/>
                          </a:xfrm>
                          <a:prstGeom prst="rect">
                            <a:avLst/>
                          </a:prstGeom>
                        </wps:spPr>
                        <wps:txbx>
                          <w:txbxContent>
                            <w:p w14:paraId="646DEE30">
                              <w:pPr>
                                <w:spacing w:before="9" w:line="240" w:lineRule="auto"/>
                                <w:rPr>
                                  <w:sz w:val="19"/>
                                </w:rPr>
                              </w:pPr>
                            </w:p>
                            <w:p w14:paraId="22326C07">
                              <w:pPr>
                                <w:spacing w:before="360"/>
                                <w:rPr>
                                  <w:i/>
                                  <w:sz w:val="20"/>
                                </w:rPr>
                              </w:pPr>
                              <w:r>
                                <w:rPr>
                                  <w:b/>
                                  <w:bCs/>
                                  <w:i/>
                                  <w:sz w:val="20"/>
                                </w:rPr>
                                <w:t>Analyst Validation Note:</w:t>
                              </w:r>
                              <w:r>
                                <w:rPr>
                                  <w:i/>
                                  <w:sz w:val="20"/>
                                </w:rPr>
                                <w:t xml:space="preserve"> Historical stock price data were retrieved using the yfinance Python library. All calculations, performance metrics, and visualizations were generated using Python (pandas, NumPy, and Matplotlib) and verified for consistency with the downloaded historical market data.</w:t>
                              </w:r>
                            </w:p>
                            <w:p w14:paraId="11CB3112">
                              <w:pPr>
                                <w:rPr>
                                  <w:rFonts w:ascii="Arial"/>
                                  <w:i/>
                                  <w:color w:val="2A6BAF"/>
                                  <w:sz w:val="19"/>
                                </w:rPr>
                              </w:pPr>
                              <w:r>
                                <w:rPr>
                                  <w:rFonts w:ascii="Arial"/>
                                  <w:i/>
                                  <w:color w:val="2A6BAF"/>
                                  <w:sz w:val="19"/>
                                </w:rPr>
                                <w:t>.</w:t>
                              </w:r>
                            </w:p>
                            <w:p w14:paraId="55B5DFAE">
                              <w:pPr>
                                <w:rPr>
                                  <w:rFonts w:ascii="Arial"/>
                                  <w:i/>
                                  <w:color w:val="2A6BAF"/>
                                  <w:sz w:val="19"/>
                                </w:rPr>
                              </w:pPr>
                              <w:r>
                                <w:rPr>
                                  <w:rFonts w:ascii="Arial"/>
                                  <w:i/>
                                  <w:color w:val="2A6BAF"/>
                                  <w:sz w:val="19"/>
                                </w:rPr>
                                <w:pict>
                                  <v:rect id="_x0000_i1025" o:spt="1" style="height:1.5pt;width:415.3pt;" fillcolor="#A0A0A0" filled="t" stroked="f" coordsize="21600,21600" o:hr="t" o:hrstd="t" o:hralign="center">
                                    <v:path/>
                                    <v:fill on="t" focussize="0,0"/>
                                    <v:stroke on="f"/>
                                    <v:imagedata o:title=""/>
                                    <o:lock v:ext="edit"/>
                                    <w10:wrap type="none"/>
                                    <w10:anchorlock/>
                                  </v:rect>
                                </w:pict>
                              </w:r>
                            </w:p>
                            <w:p w14:paraId="7425DB3A">
                              <w:pPr>
                                <w:rPr>
                                  <w:rFonts w:ascii="Arial"/>
                                  <w:i/>
                                  <w:color w:val="2A6BAF"/>
                                  <w:sz w:val="19"/>
                                </w:rPr>
                              </w:pPr>
                              <w:r>
                                <w:rPr>
                                  <w:rFonts w:ascii="Arial"/>
                                  <w:i/>
                                  <w:color w:val="2A6BAF"/>
                                  <w:sz w:val="19"/>
                                </w:rPr>
                                <w:t>11. References</w:t>
                              </w:r>
                            </w:p>
                            <w:p w14:paraId="39215BCA">
                              <w:pPr>
                                <w:rPr>
                                  <w:rFonts w:ascii="Arial"/>
                                  <w:i/>
                                  <w:color w:val="2A6BAF"/>
                                  <w:sz w:val="19"/>
                                </w:rPr>
                              </w:pPr>
                              <w:r>
                                <w:rPr>
                                  <w:rFonts w:ascii="Arial"/>
                                  <w:i/>
                                  <w:color w:val="2A6BAF"/>
                                  <w:sz w:val="19"/>
                                </w:rPr>
                                <w:t>Excellent.</w:t>
                              </w:r>
                            </w:p>
                            <w:p w14:paraId="0B118E97">
                              <w:pPr>
                                <w:rPr>
                                  <w:rFonts w:ascii="Arial"/>
                                  <w:i/>
                                  <w:color w:val="2A6BAF"/>
                                  <w:sz w:val="19"/>
                                </w:rPr>
                              </w:pPr>
                              <w:r>
                                <w:rPr>
                                  <w:rFonts w:ascii="Arial"/>
                                  <w:i/>
                                  <w:color w:val="2A6BAF"/>
                                  <w:sz w:val="19"/>
                                </w:rPr>
                                <w:t>One small formatting issue:</w:t>
                              </w:r>
                            </w:p>
                            <w:p w14:paraId="5E4E83AC">
                              <w:pPr>
                                <w:rPr>
                                  <w:rFonts w:ascii="Arial"/>
                                  <w:i/>
                                  <w:color w:val="2A6BAF"/>
                                  <w:sz w:val="19"/>
                                </w:rPr>
                              </w:pPr>
                              <w:r>
                                <w:rPr>
                                  <w:rFonts w:ascii="Arial"/>
                                  <w:i/>
                                  <w:color w:val="2A6BAF"/>
                                  <w:sz w:val="19"/>
                                </w:rPr>
                                <w:t xml:space="preserve">The last five references should each begin on their own line. Currently, some are running together (for example, the pandas and NumPy documentation entries). </w:t>
                              </w:r>
                            </w:p>
                            <w:p w14:paraId="72F65013">
                              <w:pPr>
                                <w:rPr>
                                  <w:rFonts w:ascii="Arial"/>
                                  <w:i/>
                                  <w:color w:val="2A6BAF"/>
                                  <w:sz w:val="19"/>
                                </w:rPr>
                              </w:pPr>
                              <w:r>
                                <w:rPr>
                                  <w:rFonts w:ascii="Arial"/>
                                  <w:i/>
                                  <w:color w:val="2A6BAF"/>
                                  <w:sz w:val="19"/>
                                </w:rPr>
                                <w:pict>
                                  <v:rect id="_x0000_i1026" o:spt="1" style="height:1.5pt;width:415.3pt;" fillcolor="#A0A0A0" filled="t" stroked="f" coordsize="21600,21600" o:hr="t" o:hrstd="t" o:hralign="center">
                                    <v:path/>
                                    <v:fill on="t" focussize="0,0"/>
                                    <v:stroke on="f"/>
                                    <v:imagedata o:title=""/>
                                    <o:lock v:ext="edit"/>
                                    <w10:wrap type="none"/>
                                    <w10:anchorlock/>
                                  </v:rect>
                                </w:pict>
                              </w:r>
                            </w:p>
                            <w:p w14:paraId="4AC70A9E">
                              <w:pPr>
                                <w:rPr>
                                  <w:rFonts w:ascii="Arial"/>
                                  <w:i/>
                                  <w:color w:val="2A6BAF"/>
                                  <w:sz w:val="19"/>
                                </w:rPr>
                              </w:pPr>
                              <w:r>
                                <w:rPr>
                                  <w:rFonts w:ascii="Arial"/>
                                  <w:i/>
                                  <w:color w:val="2A6BAF"/>
                                  <w:sz w:val="19"/>
                                </w:rPr>
                                <w:t>Overall Evaluation</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1"/>
                                <w:gridCol w:w="625"/>
                              </w:tblGrid>
                              <w:tr w14:paraId="4138E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4B9AD25">
                                    <w:pPr>
                                      <w:rPr>
                                        <w:rFonts w:ascii="Arial"/>
                                        <w:i/>
                                        <w:color w:val="2A6BAF"/>
                                        <w:sz w:val="19"/>
                                      </w:rPr>
                                    </w:pPr>
                                    <w:r>
                                      <w:rPr>
                                        <w:rFonts w:ascii="Arial"/>
                                        <w:i/>
                                        <w:color w:val="2A6BAF"/>
                                        <w:sz w:val="19"/>
                                        <w:lang w:val="en-US" w:eastAsia="zh-CN"/>
                                      </w:rPr>
                                      <w:t>Category</w:t>
                                    </w:r>
                                  </w:p>
                                </w:tc>
                                <w:tc>
                                  <w:tcPr>
                                    <w:tcW w:w="0" w:type="auto"/>
                                    <w:shd w:val="clear" w:color="auto" w:fill="auto"/>
                                    <w:vAlign w:val="center"/>
                                  </w:tcPr>
                                  <w:p w14:paraId="75B11218">
                                    <w:pPr>
                                      <w:rPr>
                                        <w:rFonts w:ascii="Arial"/>
                                        <w:i/>
                                        <w:color w:val="2A6BAF"/>
                                        <w:sz w:val="19"/>
                                      </w:rPr>
                                    </w:pPr>
                                    <w:r>
                                      <w:rPr>
                                        <w:rFonts w:ascii="Arial"/>
                                        <w:i/>
                                        <w:color w:val="2A6BAF"/>
                                        <w:sz w:val="19"/>
                                        <w:lang w:val="en-US" w:eastAsia="zh-CN"/>
                                      </w:rPr>
                                      <w:t>Rating</w:t>
                                    </w:r>
                                  </w:p>
                                </w:tc>
                              </w:tr>
                              <w:tr w14:paraId="11E8B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B0DDE8">
                                    <w:pPr>
                                      <w:rPr>
                                        <w:rFonts w:ascii="Arial"/>
                                        <w:i/>
                                        <w:color w:val="2A6BAF"/>
                                        <w:sz w:val="19"/>
                                      </w:rPr>
                                    </w:pPr>
                                    <w:r>
                                      <w:rPr>
                                        <w:rFonts w:ascii="Arial"/>
                                        <w:i/>
                                        <w:color w:val="2A6BAF"/>
                                        <w:sz w:val="19"/>
                                        <w:lang w:val="en-US" w:eastAsia="zh-CN"/>
                                      </w:rPr>
                                      <w:t>Technical Analysis</w:t>
                                    </w:r>
                                  </w:p>
                                </w:tc>
                                <w:tc>
                                  <w:tcPr>
                                    <w:tcW w:w="0" w:type="auto"/>
                                    <w:shd w:val="clear" w:color="auto" w:fill="auto"/>
                                    <w:vAlign w:val="center"/>
                                  </w:tcPr>
                                  <w:p w14:paraId="4E498B7F">
                                    <w:pPr>
                                      <w:rPr>
                                        <w:rFonts w:ascii="Arial"/>
                                        <w:i/>
                                        <w:color w:val="2A6BAF"/>
                                        <w:sz w:val="19"/>
                                      </w:rPr>
                                    </w:pPr>
                                    <w:r>
                                      <w:rPr>
                                        <w:rFonts w:ascii="Arial"/>
                                        <w:i/>
                                        <w:color w:val="2A6BAF"/>
                                        <w:sz w:val="19"/>
                                        <w:lang w:val="en-US" w:eastAsia="zh-CN"/>
                                      </w:rPr>
                                      <w:t>10/10</w:t>
                                    </w:r>
                                  </w:p>
                                </w:tc>
                              </w:tr>
                              <w:tr w14:paraId="498F7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631262">
                                    <w:pPr>
                                      <w:rPr>
                                        <w:rFonts w:ascii="Arial"/>
                                        <w:i/>
                                        <w:color w:val="2A6BAF"/>
                                        <w:sz w:val="19"/>
                                      </w:rPr>
                                    </w:pPr>
                                    <w:r>
                                      <w:rPr>
                                        <w:rFonts w:ascii="Arial"/>
                                        <w:i/>
                                        <w:color w:val="2A6BAF"/>
                                        <w:sz w:val="19"/>
                                        <w:lang w:val="en-US" w:eastAsia="zh-CN"/>
                                      </w:rPr>
                                      <w:t>Python Integration</w:t>
                                    </w:r>
                                  </w:p>
                                </w:tc>
                                <w:tc>
                                  <w:tcPr>
                                    <w:tcW w:w="0" w:type="auto"/>
                                    <w:shd w:val="clear" w:color="auto" w:fill="auto"/>
                                    <w:vAlign w:val="center"/>
                                  </w:tcPr>
                                  <w:p w14:paraId="4E259713">
                                    <w:pPr>
                                      <w:rPr>
                                        <w:rFonts w:ascii="Arial"/>
                                        <w:i/>
                                        <w:color w:val="2A6BAF"/>
                                        <w:sz w:val="19"/>
                                      </w:rPr>
                                    </w:pPr>
                                    <w:r>
                                      <w:rPr>
                                        <w:rFonts w:ascii="Arial"/>
                                        <w:i/>
                                        <w:color w:val="2A6BAF"/>
                                        <w:sz w:val="19"/>
                                        <w:lang w:val="en-US" w:eastAsia="zh-CN"/>
                                      </w:rPr>
                                      <w:t>10/10</w:t>
                                    </w:r>
                                  </w:p>
                                </w:tc>
                              </w:tr>
                              <w:tr w14:paraId="329AA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6E2AD4">
                                    <w:pPr>
                                      <w:rPr>
                                        <w:rFonts w:ascii="Arial"/>
                                        <w:i/>
                                        <w:color w:val="2A6BAF"/>
                                        <w:sz w:val="19"/>
                                      </w:rPr>
                                    </w:pPr>
                                    <w:r>
                                      <w:rPr>
                                        <w:rFonts w:ascii="Arial"/>
                                        <w:i/>
                                        <w:color w:val="2A6BAF"/>
                                        <w:sz w:val="19"/>
                                        <w:lang w:val="en-US" w:eastAsia="zh-CN"/>
                                      </w:rPr>
                                      <w:t>Financial Concepts</w:t>
                                    </w:r>
                                  </w:p>
                                </w:tc>
                                <w:tc>
                                  <w:tcPr>
                                    <w:tcW w:w="0" w:type="auto"/>
                                    <w:shd w:val="clear" w:color="auto" w:fill="auto"/>
                                    <w:vAlign w:val="center"/>
                                  </w:tcPr>
                                  <w:p w14:paraId="5D37C1F5">
                                    <w:pPr>
                                      <w:rPr>
                                        <w:rFonts w:ascii="Arial"/>
                                        <w:i/>
                                        <w:color w:val="2A6BAF"/>
                                        <w:sz w:val="19"/>
                                      </w:rPr>
                                    </w:pPr>
                                    <w:r>
                                      <w:rPr>
                                        <w:rFonts w:ascii="Arial"/>
                                        <w:i/>
                                        <w:color w:val="2A6BAF"/>
                                        <w:sz w:val="19"/>
                                        <w:lang w:val="en-US" w:eastAsia="zh-CN"/>
                                      </w:rPr>
                                      <w:t>10/10</w:t>
                                    </w:r>
                                  </w:p>
                                </w:tc>
                              </w:tr>
                              <w:tr w14:paraId="0E691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D8F589">
                                    <w:pPr>
                                      <w:rPr>
                                        <w:rFonts w:ascii="Arial"/>
                                        <w:i/>
                                        <w:color w:val="2A6BAF"/>
                                        <w:sz w:val="19"/>
                                      </w:rPr>
                                    </w:pPr>
                                    <w:r>
                                      <w:rPr>
                                        <w:rFonts w:ascii="Arial"/>
                                        <w:i/>
                                        <w:color w:val="2A6BAF"/>
                                        <w:sz w:val="19"/>
                                        <w:lang w:val="en-US" w:eastAsia="zh-CN"/>
                                      </w:rPr>
                                      <w:t>Report Structure</w:t>
                                    </w:r>
                                  </w:p>
                                </w:tc>
                                <w:tc>
                                  <w:tcPr>
                                    <w:tcW w:w="0" w:type="auto"/>
                                    <w:shd w:val="clear" w:color="auto" w:fill="auto"/>
                                    <w:vAlign w:val="center"/>
                                  </w:tcPr>
                                  <w:p w14:paraId="722A8976">
                                    <w:pPr>
                                      <w:rPr>
                                        <w:rFonts w:ascii="Arial"/>
                                        <w:i/>
                                        <w:color w:val="2A6BAF"/>
                                        <w:sz w:val="19"/>
                                      </w:rPr>
                                    </w:pPr>
                                    <w:r>
                                      <w:rPr>
                                        <w:rFonts w:ascii="Arial"/>
                                        <w:i/>
                                        <w:color w:val="2A6BAF"/>
                                        <w:sz w:val="19"/>
                                        <w:lang w:val="en-US" w:eastAsia="zh-CN"/>
                                      </w:rPr>
                                      <w:t>10/10</w:t>
                                    </w:r>
                                  </w:p>
                                </w:tc>
                              </w:tr>
                              <w:tr w14:paraId="12278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C3E9A9">
                                    <w:pPr>
                                      <w:rPr>
                                        <w:rFonts w:ascii="Arial"/>
                                        <w:i/>
                                        <w:color w:val="2A6BAF"/>
                                        <w:sz w:val="19"/>
                                      </w:rPr>
                                    </w:pPr>
                                    <w:r>
                                      <w:rPr>
                                        <w:rFonts w:ascii="Arial"/>
                                        <w:i/>
                                        <w:color w:val="2A6BAF"/>
                                        <w:sz w:val="19"/>
                                        <w:lang w:val="en-US" w:eastAsia="zh-CN"/>
                                      </w:rPr>
                                      <w:t>Visualizations</w:t>
                                    </w:r>
                                  </w:p>
                                </w:tc>
                                <w:tc>
                                  <w:tcPr>
                                    <w:tcW w:w="0" w:type="auto"/>
                                    <w:shd w:val="clear" w:color="auto" w:fill="auto"/>
                                    <w:vAlign w:val="center"/>
                                  </w:tcPr>
                                  <w:p w14:paraId="26F83918">
                                    <w:pPr>
                                      <w:rPr>
                                        <w:rFonts w:ascii="Arial"/>
                                        <w:i/>
                                        <w:color w:val="2A6BAF"/>
                                        <w:sz w:val="19"/>
                                      </w:rPr>
                                    </w:pPr>
                                    <w:r>
                                      <w:rPr>
                                        <w:rFonts w:ascii="Arial"/>
                                        <w:i/>
                                        <w:color w:val="2A6BAF"/>
                                        <w:sz w:val="19"/>
                                        <w:lang w:val="en-US" w:eastAsia="zh-CN"/>
                                      </w:rPr>
                                      <w:t>10/10</w:t>
                                    </w:r>
                                  </w:p>
                                </w:tc>
                              </w:tr>
                              <w:tr w14:paraId="38ABC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E310F2">
                                    <w:pPr>
                                      <w:rPr>
                                        <w:rFonts w:ascii="Arial"/>
                                        <w:i/>
                                        <w:color w:val="2A6BAF"/>
                                        <w:sz w:val="19"/>
                                      </w:rPr>
                                    </w:pPr>
                                    <w:r>
                                      <w:rPr>
                                        <w:rFonts w:ascii="Arial"/>
                                        <w:i/>
                                        <w:color w:val="2A6BAF"/>
                                        <w:sz w:val="19"/>
                                        <w:lang w:val="en-US" w:eastAsia="zh-CN"/>
                                      </w:rPr>
                                      <w:t>Writing Style</w:t>
                                    </w:r>
                                  </w:p>
                                </w:tc>
                                <w:tc>
                                  <w:tcPr>
                                    <w:tcW w:w="0" w:type="auto"/>
                                    <w:shd w:val="clear" w:color="auto" w:fill="auto"/>
                                    <w:vAlign w:val="center"/>
                                  </w:tcPr>
                                  <w:p w14:paraId="68F92405">
                                    <w:pPr>
                                      <w:rPr>
                                        <w:rFonts w:ascii="Arial"/>
                                        <w:i/>
                                        <w:color w:val="2A6BAF"/>
                                        <w:sz w:val="19"/>
                                      </w:rPr>
                                    </w:pPr>
                                    <w:r>
                                      <w:rPr>
                                        <w:rFonts w:ascii="Arial"/>
                                        <w:i/>
                                        <w:color w:val="2A6BAF"/>
                                        <w:sz w:val="19"/>
                                        <w:lang w:val="en-US" w:eastAsia="zh-CN"/>
                                      </w:rPr>
                                      <w:t>9.5/10</w:t>
                                    </w:r>
                                  </w:p>
                                </w:tc>
                              </w:tr>
                              <w:tr w14:paraId="605A7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A55481">
                                    <w:pPr>
                                      <w:rPr>
                                        <w:rFonts w:ascii="Arial"/>
                                        <w:i/>
                                        <w:color w:val="2A6BAF"/>
                                        <w:sz w:val="19"/>
                                      </w:rPr>
                                    </w:pPr>
                                    <w:r>
                                      <w:rPr>
                                        <w:rFonts w:ascii="Arial"/>
                                        <w:i/>
                                        <w:color w:val="2A6BAF"/>
                                        <w:sz w:val="19"/>
                                        <w:lang w:val="en-US" w:eastAsia="zh-CN"/>
                                      </w:rPr>
                                      <w:t>References</w:t>
                                    </w:r>
                                  </w:p>
                                </w:tc>
                                <w:tc>
                                  <w:tcPr>
                                    <w:tcW w:w="0" w:type="auto"/>
                                    <w:shd w:val="clear" w:color="auto" w:fill="auto"/>
                                    <w:vAlign w:val="center"/>
                                  </w:tcPr>
                                  <w:p w14:paraId="76100F8B">
                                    <w:pPr>
                                      <w:rPr>
                                        <w:rFonts w:ascii="Arial"/>
                                        <w:i/>
                                        <w:color w:val="2A6BAF"/>
                                        <w:sz w:val="19"/>
                                      </w:rPr>
                                    </w:pPr>
                                    <w:r>
                                      <w:rPr>
                                        <w:rFonts w:ascii="Arial"/>
                                        <w:i/>
                                        <w:color w:val="2A6BAF"/>
                                        <w:sz w:val="19"/>
                                        <w:lang w:val="en-US" w:eastAsia="zh-CN"/>
                                      </w:rPr>
                                      <w:t>9.5/10</w:t>
                                    </w:r>
                                  </w:p>
                                </w:tc>
                              </w:tr>
                            </w:tbl>
                            <w:p w14:paraId="28038943">
                              <w:pPr>
                                <w:rPr>
                                  <w:rFonts w:ascii="Arial"/>
                                  <w:i/>
                                  <w:color w:val="2A6BAF"/>
                                  <w:sz w:val="19"/>
                                </w:rPr>
                              </w:pPr>
                              <w:r>
                                <w:rPr>
                                  <w:rFonts w:ascii="Arial"/>
                                  <w:i/>
                                  <w:color w:val="2A6BAF"/>
                                  <w:sz w:val="19"/>
                                </w:rPr>
                                <w:t>Final score: 9.9/10</w:t>
                              </w:r>
                            </w:p>
                            <w:p w14:paraId="04235F3D">
                              <w:pPr>
                                <w:rPr>
                                  <w:rFonts w:ascii="Arial"/>
                                  <w:i/>
                                  <w:color w:val="2A6BAF"/>
                                  <w:sz w:val="19"/>
                                </w:rPr>
                              </w:pPr>
                              <w:r>
                                <w:rPr>
                                  <w:rFonts w:ascii="Arial"/>
                                  <w:i/>
                                  <w:color w:val="2A6BAF"/>
                                  <w:sz w:val="19"/>
                                </w:rPr>
                                <w:t>This report clearly demonstrates:</w:t>
                              </w:r>
                            </w:p>
                            <w:p w14:paraId="723C3455">
                              <w:pPr>
                                <w:rPr>
                                  <w:rFonts w:ascii="Arial"/>
                                  <w:i/>
                                  <w:color w:val="2A6BAF"/>
                                  <w:sz w:val="19"/>
                                </w:rPr>
                              </w:pPr>
                              <w:r>
                                <w:rPr>
                                  <w:rFonts w:ascii="Arial"/>
                                  <w:i/>
                                  <w:color w:val="2A6BAF"/>
                                  <w:sz w:val="19"/>
                                </w:rPr>
                                <w:t xml:space="preserve">quantitative analysis using Python, </w:t>
                              </w:r>
                            </w:p>
                            <w:p w14:paraId="2E81EE7E">
                              <w:pPr>
                                <w:rPr>
                                  <w:rFonts w:ascii="Arial"/>
                                  <w:i/>
                                  <w:color w:val="2A6BAF"/>
                                  <w:sz w:val="19"/>
                                </w:rPr>
                              </w:pPr>
                              <w:r>
                                <w:rPr>
                                  <w:rFonts w:ascii="Arial"/>
                                  <w:i/>
                                  <w:color w:val="2A6BAF"/>
                                  <w:sz w:val="19"/>
                                </w:rPr>
                                <w:t xml:space="preserve">understanding of portfolio risk, </w:t>
                              </w:r>
                            </w:p>
                            <w:p w14:paraId="22F502E8">
                              <w:pPr>
                                <w:rPr>
                                  <w:rFonts w:ascii="Arial"/>
                                  <w:i/>
                                  <w:color w:val="2A6BAF"/>
                                  <w:sz w:val="19"/>
                                </w:rPr>
                              </w:pPr>
                              <w:r>
                                <w:rPr>
                                  <w:rFonts w:ascii="Arial"/>
                                  <w:i/>
                                  <w:color w:val="2A6BAF"/>
                                  <w:sz w:val="19"/>
                                </w:rPr>
                                <w:t xml:space="preserve">application of financial performance metrics, </w:t>
                              </w:r>
                            </w:p>
                            <w:p w14:paraId="360D470D">
                              <w:pPr>
                                <w:rPr>
                                  <w:rFonts w:ascii="Arial"/>
                                  <w:i/>
                                  <w:color w:val="2A6BAF"/>
                                  <w:sz w:val="19"/>
                                </w:rPr>
                              </w:pPr>
                              <w:r>
                                <w:rPr>
                                  <w:rFonts w:ascii="Arial"/>
                                  <w:i/>
                                  <w:color w:val="2A6BAF"/>
                                  <w:sz w:val="19"/>
                                </w:rPr>
                                <w:t xml:space="preserve">professional report writing. </w:t>
                              </w:r>
                            </w:p>
                            <w:p w14:paraId="3FFA3DC4">
                              <w:pPr>
                                <w:rPr>
                                  <w:rFonts w:ascii="Arial"/>
                                  <w:i/>
                                  <w:color w:val="2A6BAF"/>
                                  <w:sz w:val="19"/>
                                </w:rPr>
                              </w:pPr>
                              <w:r>
                                <w:rPr>
                                  <w:rFonts w:ascii="Arial"/>
                                  <w:i/>
                                  <w:color w:val="2A6BAF"/>
                                  <w:sz w:val="19"/>
                                </w:rPr>
                                <w:t>It goes well beyond simply fulfilling the CodeAlpha requirements and showcases skills that are directly relevant to your Financial Engineering and Actuarial Science background. The remaining suggestions are mostly stylistic refinements rather than substantive corrections.</w:t>
                              </w:r>
                            </w:p>
                            <w:p w14:paraId="4C4BC6C9">
                              <w:pPr>
                                <w:rPr>
                                  <w:rFonts w:ascii="Arial"/>
                                  <w:i/>
                                  <w:color w:val="2A6BAF"/>
                                  <w:sz w:val="19"/>
                                </w:rPr>
                              </w:pPr>
                            </w:p>
                          </w:txbxContent>
                        </wps:txbx>
                        <wps:bodyPr wrap="square" lIns="0" tIns="0" rIns="0" bIns="0" rtlCol="0">
                          <a:noAutofit/>
                        </wps:bodyPr>
                      </wps:wsp>
                    </wpg:wgp>
                  </a:graphicData>
                </a:graphic>
              </wp:anchor>
            </w:drawing>
          </mc:Choice>
          <mc:Fallback>
            <w:pict>
              <v:group id="_x0000_s1026" o:spid="_x0000_s1026" o:spt="203" style="position:absolute;left:0pt;margin-left:56.8pt;margin-top:25.8pt;height:86.95pt;width:513.2pt;mso-position-horizontal-relative:page;mso-wrap-distance-bottom:0pt;mso-wrap-distance-top:0pt;z-index:-251657216;mso-width-relative:page;mso-height-relative:page;" coordorigin="0,-231140" coordsize="6517640,1104265" o:gfxdata="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DmOZ482QAAAAsBAAAPAAAAAAAAAAEAIAAAACIAAABkcnMvZG93bnJldi54bWxQSwECFAAU&#10;AAAACACHTuJA+kf/Hg0DAADJCgAADgAAAAAAAAABACAAAAAoAQAAZHJzL2Uyb0RvYy54bWxQSwUG&#10;AAAAAAYABgBZAQAApwYAAAAA&#10;">
                <o:lock v:ext="edit" aspectratio="f"/>
                <v:shape id="Graphic 26" o:spid="_x0000_s1026" o:spt="100" style="position:absolute;left:0;top:0;height:822960;width:6480175;" fillcolor="#EBF7FF" filled="t" stroked="f" coordsize="6480175,822960" o:gfxdata="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o4WvQAA&#10;ANsAAAAPAAAAAAAAAAEAIAAAACIAAABkcnMvZG93bnJldi54bWxQSwECFAAUAAAACACHTuJAMy8F&#10;njsAAAA5AAAAEAAAAAAAAAABACAAAAAMAQAAZHJzL3NoYXBleG1sLnhtbFBLBQYAAAAABgAGAFsB&#10;AAC2AwAAAAA=&#10;" path="m6480000,822919l0,822919,0,0,6480000,0,6480000,822919xe">
                  <v:fill on="t" focussize="0,0"/>
                  <v:stroke on="f"/>
                  <v:imagedata o:title=""/>
                  <o:lock v:ext="edit" aspectratio="f"/>
                  <v:textbox inset="0mm,0mm,0mm,0mm"/>
                </v:shape>
                <v:shape id="Graphic 27" o:spid="_x0000_s1026" o:spt="100" style="position:absolute;left:0;top:0;height:822960;width:38100;" fillcolor="#3182CD" filled="t" stroked="f" coordsize="38100,822960" o:gfxdata="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0gLq/&#10;AAAA2wAAAA8AAAAAAAAAAQAgAAAAIgAAAGRycy9kb3ducmV2LnhtbFBLAQIUABQAAAAIAIdO4kAz&#10;LwWeOwAAADkAAAAQAAAAAAAAAAEAIAAAAA4BAABkcnMvc2hhcGV4bWwueG1sUEsFBgAAAAAGAAYA&#10;WwEAALgDAAAAAA==&#10;" path="m38100,822919l0,822919,0,0,38100,0,38100,822919xe">
                  <v:fill on="t" focussize="0,0"/>
                  <v:stroke on="f"/>
                  <v:imagedata o:title=""/>
                  <o:lock v:ext="edit" aspectratio="f"/>
                  <v:textbox inset="0mm,0mm,0mm,0mm"/>
                </v:shape>
                <v:shape id="Textbox 28" o:spid="_x0000_s1026" o:spt="202" type="#_x0000_t202" style="position:absolute;left:88900;top:-231140;height:1104265;width:6428740;" filled="f" stroked="f" coordsize="21600,21600" o:gfxdata="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oQNwO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646DEE30">
                        <w:pPr>
                          <w:spacing w:before="9" w:line="240" w:lineRule="auto"/>
                          <w:rPr>
                            <w:sz w:val="19"/>
                          </w:rPr>
                        </w:pPr>
                      </w:p>
                      <w:p w14:paraId="22326C07">
                        <w:pPr>
                          <w:spacing w:before="360"/>
                          <w:rPr>
                            <w:i/>
                            <w:sz w:val="20"/>
                          </w:rPr>
                        </w:pPr>
                        <w:r>
                          <w:rPr>
                            <w:b/>
                            <w:bCs/>
                            <w:i/>
                            <w:sz w:val="20"/>
                          </w:rPr>
                          <w:t>Analyst Validation Note:</w:t>
                        </w:r>
                        <w:r>
                          <w:rPr>
                            <w:i/>
                            <w:sz w:val="20"/>
                          </w:rPr>
                          <w:t xml:space="preserve"> Historical stock price data were retrieved using the yfinance Python library. All calculations, performance metrics, and visualizations were generated using Python (pandas, NumPy, and Matplotlib) and verified for consistency with the downloaded historical market data.</w:t>
                        </w:r>
                      </w:p>
                      <w:p w14:paraId="11CB3112">
                        <w:pPr>
                          <w:rPr>
                            <w:rFonts w:ascii="Arial"/>
                            <w:i/>
                            <w:color w:val="2A6BAF"/>
                            <w:sz w:val="19"/>
                          </w:rPr>
                        </w:pPr>
                        <w:r>
                          <w:rPr>
                            <w:rFonts w:ascii="Arial"/>
                            <w:i/>
                            <w:color w:val="2A6BAF"/>
                            <w:sz w:val="19"/>
                          </w:rPr>
                          <w:t>.</w:t>
                        </w:r>
                      </w:p>
                      <w:p w14:paraId="55B5DFAE">
                        <w:pPr>
                          <w:rPr>
                            <w:rFonts w:ascii="Arial"/>
                            <w:i/>
                            <w:color w:val="2A6BAF"/>
                            <w:sz w:val="19"/>
                          </w:rPr>
                        </w:pPr>
                        <w:r>
                          <w:rPr>
                            <w:rFonts w:ascii="Arial"/>
                            <w:i/>
                            <w:color w:val="2A6BAF"/>
                            <w:sz w:val="19"/>
                          </w:rPr>
                          <w:pict>
                            <v:rect id="_x0000_i1025" o:spt="1" style="height:1.5pt;width:415.3pt;" fillcolor="#A0A0A0" filled="t" stroked="f" coordsize="21600,21600" o:hr="t" o:hrstd="t" o:hralign="center">
                              <v:path/>
                              <v:fill on="t" focussize="0,0"/>
                              <v:stroke on="f"/>
                              <v:imagedata o:title=""/>
                              <o:lock v:ext="edit"/>
                              <w10:wrap type="none"/>
                              <w10:anchorlock/>
                            </v:rect>
                          </w:pict>
                        </w:r>
                      </w:p>
                      <w:p w14:paraId="7425DB3A">
                        <w:pPr>
                          <w:rPr>
                            <w:rFonts w:ascii="Arial"/>
                            <w:i/>
                            <w:color w:val="2A6BAF"/>
                            <w:sz w:val="19"/>
                          </w:rPr>
                        </w:pPr>
                        <w:r>
                          <w:rPr>
                            <w:rFonts w:ascii="Arial"/>
                            <w:i/>
                            <w:color w:val="2A6BAF"/>
                            <w:sz w:val="19"/>
                          </w:rPr>
                          <w:t>11. References</w:t>
                        </w:r>
                      </w:p>
                      <w:p w14:paraId="39215BCA">
                        <w:pPr>
                          <w:rPr>
                            <w:rFonts w:ascii="Arial"/>
                            <w:i/>
                            <w:color w:val="2A6BAF"/>
                            <w:sz w:val="19"/>
                          </w:rPr>
                        </w:pPr>
                        <w:r>
                          <w:rPr>
                            <w:rFonts w:ascii="Arial"/>
                            <w:i/>
                            <w:color w:val="2A6BAF"/>
                            <w:sz w:val="19"/>
                          </w:rPr>
                          <w:t>Excellent.</w:t>
                        </w:r>
                      </w:p>
                      <w:p w14:paraId="0B118E97">
                        <w:pPr>
                          <w:rPr>
                            <w:rFonts w:ascii="Arial"/>
                            <w:i/>
                            <w:color w:val="2A6BAF"/>
                            <w:sz w:val="19"/>
                          </w:rPr>
                        </w:pPr>
                        <w:r>
                          <w:rPr>
                            <w:rFonts w:ascii="Arial"/>
                            <w:i/>
                            <w:color w:val="2A6BAF"/>
                            <w:sz w:val="19"/>
                          </w:rPr>
                          <w:t>One small formatting issue:</w:t>
                        </w:r>
                      </w:p>
                      <w:p w14:paraId="5E4E83AC">
                        <w:pPr>
                          <w:rPr>
                            <w:rFonts w:ascii="Arial"/>
                            <w:i/>
                            <w:color w:val="2A6BAF"/>
                            <w:sz w:val="19"/>
                          </w:rPr>
                        </w:pPr>
                        <w:r>
                          <w:rPr>
                            <w:rFonts w:ascii="Arial"/>
                            <w:i/>
                            <w:color w:val="2A6BAF"/>
                            <w:sz w:val="19"/>
                          </w:rPr>
                          <w:t xml:space="preserve">The last five references should each begin on their own line. Currently, some are running together (for example, the pandas and NumPy documentation entries). </w:t>
                        </w:r>
                      </w:p>
                      <w:p w14:paraId="72F65013">
                        <w:pPr>
                          <w:rPr>
                            <w:rFonts w:ascii="Arial"/>
                            <w:i/>
                            <w:color w:val="2A6BAF"/>
                            <w:sz w:val="19"/>
                          </w:rPr>
                        </w:pPr>
                        <w:r>
                          <w:rPr>
                            <w:rFonts w:ascii="Arial"/>
                            <w:i/>
                            <w:color w:val="2A6BAF"/>
                            <w:sz w:val="19"/>
                          </w:rPr>
                          <w:pict>
                            <v:rect id="_x0000_i1026" o:spt="1" style="height:1.5pt;width:415.3pt;" fillcolor="#A0A0A0" filled="t" stroked="f" coordsize="21600,21600" o:hr="t" o:hrstd="t" o:hralign="center">
                              <v:path/>
                              <v:fill on="t" focussize="0,0"/>
                              <v:stroke on="f"/>
                              <v:imagedata o:title=""/>
                              <o:lock v:ext="edit"/>
                              <w10:wrap type="none"/>
                              <w10:anchorlock/>
                            </v:rect>
                          </w:pict>
                        </w:r>
                      </w:p>
                      <w:p w14:paraId="4AC70A9E">
                        <w:pPr>
                          <w:rPr>
                            <w:rFonts w:ascii="Arial"/>
                            <w:i/>
                            <w:color w:val="2A6BAF"/>
                            <w:sz w:val="19"/>
                          </w:rPr>
                        </w:pPr>
                        <w:r>
                          <w:rPr>
                            <w:rFonts w:ascii="Arial"/>
                            <w:i/>
                            <w:color w:val="2A6BAF"/>
                            <w:sz w:val="19"/>
                          </w:rPr>
                          <w:t>Overall Evaluation</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1"/>
                          <w:gridCol w:w="625"/>
                        </w:tblGrid>
                        <w:tr w14:paraId="4138E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4B9AD25">
                              <w:pPr>
                                <w:rPr>
                                  <w:rFonts w:ascii="Arial"/>
                                  <w:i/>
                                  <w:color w:val="2A6BAF"/>
                                  <w:sz w:val="19"/>
                                </w:rPr>
                              </w:pPr>
                              <w:r>
                                <w:rPr>
                                  <w:rFonts w:ascii="Arial"/>
                                  <w:i/>
                                  <w:color w:val="2A6BAF"/>
                                  <w:sz w:val="19"/>
                                  <w:lang w:val="en-US" w:eastAsia="zh-CN"/>
                                </w:rPr>
                                <w:t>Category</w:t>
                              </w:r>
                            </w:p>
                          </w:tc>
                          <w:tc>
                            <w:tcPr>
                              <w:tcW w:w="0" w:type="auto"/>
                              <w:shd w:val="clear" w:color="auto" w:fill="auto"/>
                              <w:vAlign w:val="center"/>
                            </w:tcPr>
                            <w:p w14:paraId="75B11218">
                              <w:pPr>
                                <w:rPr>
                                  <w:rFonts w:ascii="Arial"/>
                                  <w:i/>
                                  <w:color w:val="2A6BAF"/>
                                  <w:sz w:val="19"/>
                                </w:rPr>
                              </w:pPr>
                              <w:r>
                                <w:rPr>
                                  <w:rFonts w:ascii="Arial"/>
                                  <w:i/>
                                  <w:color w:val="2A6BAF"/>
                                  <w:sz w:val="19"/>
                                  <w:lang w:val="en-US" w:eastAsia="zh-CN"/>
                                </w:rPr>
                                <w:t>Rating</w:t>
                              </w:r>
                            </w:p>
                          </w:tc>
                        </w:tr>
                        <w:tr w14:paraId="11E8B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B0DDE8">
                              <w:pPr>
                                <w:rPr>
                                  <w:rFonts w:ascii="Arial"/>
                                  <w:i/>
                                  <w:color w:val="2A6BAF"/>
                                  <w:sz w:val="19"/>
                                </w:rPr>
                              </w:pPr>
                              <w:r>
                                <w:rPr>
                                  <w:rFonts w:ascii="Arial"/>
                                  <w:i/>
                                  <w:color w:val="2A6BAF"/>
                                  <w:sz w:val="19"/>
                                  <w:lang w:val="en-US" w:eastAsia="zh-CN"/>
                                </w:rPr>
                                <w:t>Technical Analysis</w:t>
                              </w:r>
                            </w:p>
                          </w:tc>
                          <w:tc>
                            <w:tcPr>
                              <w:tcW w:w="0" w:type="auto"/>
                              <w:shd w:val="clear" w:color="auto" w:fill="auto"/>
                              <w:vAlign w:val="center"/>
                            </w:tcPr>
                            <w:p w14:paraId="4E498B7F">
                              <w:pPr>
                                <w:rPr>
                                  <w:rFonts w:ascii="Arial"/>
                                  <w:i/>
                                  <w:color w:val="2A6BAF"/>
                                  <w:sz w:val="19"/>
                                </w:rPr>
                              </w:pPr>
                              <w:r>
                                <w:rPr>
                                  <w:rFonts w:ascii="Arial"/>
                                  <w:i/>
                                  <w:color w:val="2A6BAF"/>
                                  <w:sz w:val="19"/>
                                  <w:lang w:val="en-US" w:eastAsia="zh-CN"/>
                                </w:rPr>
                                <w:t>10/10</w:t>
                              </w:r>
                            </w:p>
                          </w:tc>
                        </w:tr>
                        <w:tr w14:paraId="498F7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631262">
                              <w:pPr>
                                <w:rPr>
                                  <w:rFonts w:ascii="Arial"/>
                                  <w:i/>
                                  <w:color w:val="2A6BAF"/>
                                  <w:sz w:val="19"/>
                                </w:rPr>
                              </w:pPr>
                              <w:r>
                                <w:rPr>
                                  <w:rFonts w:ascii="Arial"/>
                                  <w:i/>
                                  <w:color w:val="2A6BAF"/>
                                  <w:sz w:val="19"/>
                                  <w:lang w:val="en-US" w:eastAsia="zh-CN"/>
                                </w:rPr>
                                <w:t>Python Integration</w:t>
                              </w:r>
                            </w:p>
                          </w:tc>
                          <w:tc>
                            <w:tcPr>
                              <w:tcW w:w="0" w:type="auto"/>
                              <w:shd w:val="clear" w:color="auto" w:fill="auto"/>
                              <w:vAlign w:val="center"/>
                            </w:tcPr>
                            <w:p w14:paraId="4E259713">
                              <w:pPr>
                                <w:rPr>
                                  <w:rFonts w:ascii="Arial"/>
                                  <w:i/>
                                  <w:color w:val="2A6BAF"/>
                                  <w:sz w:val="19"/>
                                </w:rPr>
                              </w:pPr>
                              <w:r>
                                <w:rPr>
                                  <w:rFonts w:ascii="Arial"/>
                                  <w:i/>
                                  <w:color w:val="2A6BAF"/>
                                  <w:sz w:val="19"/>
                                  <w:lang w:val="en-US" w:eastAsia="zh-CN"/>
                                </w:rPr>
                                <w:t>10/10</w:t>
                              </w:r>
                            </w:p>
                          </w:tc>
                        </w:tr>
                        <w:tr w14:paraId="329AA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6E2AD4">
                              <w:pPr>
                                <w:rPr>
                                  <w:rFonts w:ascii="Arial"/>
                                  <w:i/>
                                  <w:color w:val="2A6BAF"/>
                                  <w:sz w:val="19"/>
                                </w:rPr>
                              </w:pPr>
                              <w:r>
                                <w:rPr>
                                  <w:rFonts w:ascii="Arial"/>
                                  <w:i/>
                                  <w:color w:val="2A6BAF"/>
                                  <w:sz w:val="19"/>
                                  <w:lang w:val="en-US" w:eastAsia="zh-CN"/>
                                </w:rPr>
                                <w:t>Financial Concepts</w:t>
                              </w:r>
                            </w:p>
                          </w:tc>
                          <w:tc>
                            <w:tcPr>
                              <w:tcW w:w="0" w:type="auto"/>
                              <w:shd w:val="clear" w:color="auto" w:fill="auto"/>
                              <w:vAlign w:val="center"/>
                            </w:tcPr>
                            <w:p w14:paraId="5D37C1F5">
                              <w:pPr>
                                <w:rPr>
                                  <w:rFonts w:ascii="Arial"/>
                                  <w:i/>
                                  <w:color w:val="2A6BAF"/>
                                  <w:sz w:val="19"/>
                                </w:rPr>
                              </w:pPr>
                              <w:r>
                                <w:rPr>
                                  <w:rFonts w:ascii="Arial"/>
                                  <w:i/>
                                  <w:color w:val="2A6BAF"/>
                                  <w:sz w:val="19"/>
                                  <w:lang w:val="en-US" w:eastAsia="zh-CN"/>
                                </w:rPr>
                                <w:t>10/10</w:t>
                              </w:r>
                            </w:p>
                          </w:tc>
                        </w:tr>
                        <w:tr w14:paraId="0E691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D8F589">
                              <w:pPr>
                                <w:rPr>
                                  <w:rFonts w:ascii="Arial"/>
                                  <w:i/>
                                  <w:color w:val="2A6BAF"/>
                                  <w:sz w:val="19"/>
                                </w:rPr>
                              </w:pPr>
                              <w:r>
                                <w:rPr>
                                  <w:rFonts w:ascii="Arial"/>
                                  <w:i/>
                                  <w:color w:val="2A6BAF"/>
                                  <w:sz w:val="19"/>
                                  <w:lang w:val="en-US" w:eastAsia="zh-CN"/>
                                </w:rPr>
                                <w:t>Report Structure</w:t>
                              </w:r>
                            </w:p>
                          </w:tc>
                          <w:tc>
                            <w:tcPr>
                              <w:tcW w:w="0" w:type="auto"/>
                              <w:shd w:val="clear" w:color="auto" w:fill="auto"/>
                              <w:vAlign w:val="center"/>
                            </w:tcPr>
                            <w:p w14:paraId="722A8976">
                              <w:pPr>
                                <w:rPr>
                                  <w:rFonts w:ascii="Arial"/>
                                  <w:i/>
                                  <w:color w:val="2A6BAF"/>
                                  <w:sz w:val="19"/>
                                </w:rPr>
                              </w:pPr>
                              <w:r>
                                <w:rPr>
                                  <w:rFonts w:ascii="Arial"/>
                                  <w:i/>
                                  <w:color w:val="2A6BAF"/>
                                  <w:sz w:val="19"/>
                                  <w:lang w:val="en-US" w:eastAsia="zh-CN"/>
                                </w:rPr>
                                <w:t>10/10</w:t>
                              </w:r>
                            </w:p>
                          </w:tc>
                        </w:tr>
                        <w:tr w14:paraId="12278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C3E9A9">
                              <w:pPr>
                                <w:rPr>
                                  <w:rFonts w:ascii="Arial"/>
                                  <w:i/>
                                  <w:color w:val="2A6BAF"/>
                                  <w:sz w:val="19"/>
                                </w:rPr>
                              </w:pPr>
                              <w:r>
                                <w:rPr>
                                  <w:rFonts w:ascii="Arial"/>
                                  <w:i/>
                                  <w:color w:val="2A6BAF"/>
                                  <w:sz w:val="19"/>
                                  <w:lang w:val="en-US" w:eastAsia="zh-CN"/>
                                </w:rPr>
                                <w:t>Visualizations</w:t>
                              </w:r>
                            </w:p>
                          </w:tc>
                          <w:tc>
                            <w:tcPr>
                              <w:tcW w:w="0" w:type="auto"/>
                              <w:shd w:val="clear" w:color="auto" w:fill="auto"/>
                              <w:vAlign w:val="center"/>
                            </w:tcPr>
                            <w:p w14:paraId="26F83918">
                              <w:pPr>
                                <w:rPr>
                                  <w:rFonts w:ascii="Arial"/>
                                  <w:i/>
                                  <w:color w:val="2A6BAF"/>
                                  <w:sz w:val="19"/>
                                </w:rPr>
                              </w:pPr>
                              <w:r>
                                <w:rPr>
                                  <w:rFonts w:ascii="Arial"/>
                                  <w:i/>
                                  <w:color w:val="2A6BAF"/>
                                  <w:sz w:val="19"/>
                                  <w:lang w:val="en-US" w:eastAsia="zh-CN"/>
                                </w:rPr>
                                <w:t>10/10</w:t>
                              </w:r>
                            </w:p>
                          </w:tc>
                        </w:tr>
                        <w:tr w14:paraId="38ABC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E310F2">
                              <w:pPr>
                                <w:rPr>
                                  <w:rFonts w:ascii="Arial"/>
                                  <w:i/>
                                  <w:color w:val="2A6BAF"/>
                                  <w:sz w:val="19"/>
                                </w:rPr>
                              </w:pPr>
                              <w:r>
                                <w:rPr>
                                  <w:rFonts w:ascii="Arial"/>
                                  <w:i/>
                                  <w:color w:val="2A6BAF"/>
                                  <w:sz w:val="19"/>
                                  <w:lang w:val="en-US" w:eastAsia="zh-CN"/>
                                </w:rPr>
                                <w:t>Writing Style</w:t>
                              </w:r>
                            </w:p>
                          </w:tc>
                          <w:tc>
                            <w:tcPr>
                              <w:tcW w:w="0" w:type="auto"/>
                              <w:shd w:val="clear" w:color="auto" w:fill="auto"/>
                              <w:vAlign w:val="center"/>
                            </w:tcPr>
                            <w:p w14:paraId="68F92405">
                              <w:pPr>
                                <w:rPr>
                                  <w:rFonts w:ascii="Arial"/>
                                  <w:i/>
                                  <w:color w:val="2A6BAF"/>
                                  <w:sz w:val="19"/>
                                </w:rPr>
                              </w:pPr>
                              <w:r>
                                <w:rPr>
                                  <w:rFonts w:ascii="Arial"/>
                                  <w:i/>
                                  <w:color w:val="2A6BAF"/>
                                  <w:sz w:val="19"/>
                                  <w:lang w:val="en-US" w:eastAsia="zh-CN"/>
                                </w:rPr>
                                <w:t>9.5/10</w:t>
                              </w:r>
                            </w:p>
                          </w:tc>
                        </w:tr>
                        <w:tr w14:paraId="605A7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A55481">
                              <w:pPr>
                                <w:rPr>
                                  <w:rFonts w:ascii="Arial"/>
                                  <w:i/>
                                  <w:color w:val="2A6BAF"/>
                                  <w:sz w:val="19"/>
                                </w:rPr>
                              </w:pPr>
                              <w:r>
                                <w:rPr>
                                  <w:rFonts w:ascii="Arial"/>
                                  <w:i/>
                                  <w:color w:val="2A6BAF"/>
                                  <w:sz w:val="19"/>
                                  <w:lang w:val="en-US" w:eastAsia="zh-CN"/>
                                </w:rPr>
                                <w:t>References</w:t>
                              </w:r>
                            </w:p>
                          </w:tc>
                          <w:tc>
                            <w:tcPr>
                              <w:tcW w:w="0" w:type="auto"/>
                              <w:shd w:val="clear" w:color="auto" w:fill="auto"/>
                              <w:vAlign w:val="center"/>
                            </w:tcPr>
                            <w:p w14:paraId="76100F8B">
                              <w:pPr>
                                <w:rPr>
                                  <w:rFonts w:ascii="Arial"/>
                                  <w:i/>
                                  <w:color w:val="2A6BAF"/>
                                  <w:sz w:val="19"/>
                                </w:rPr>
                              </w:pPr>
                              <w:r>
                                <w:rPr>
                                  <w:rFonts w:ascii="Arial"/>
                                  <w:i/>
                                  <w:color w:val="2A6BAF"/>
                                  <w:sz w:val="19"/>
                                  <w:lang w:val="en-US" w:eastAsia="zh-CN"/>
                                </w:rPr>
                                <w:t>9.5/10</w:t>
                              </w:r>
                            </w:p>
                          </w:tc>
                        </w:tr>
                      </w:tbl>
                      <w:p w14:paraId="28038943">
                        <w:pPr>
                          <w:rPr>
                            <w:rFonts w:ascii="Arial"/>
                            <w:i/>
                            <w:color w:val="2A6BAF"/>
                            <w:sz w:val="19"/>
                          </w:rPr>
                        </w:pPr>
                        <w:r>
                          <w:rPr>
                            <w:rFonts w:ascii="Arial"/>
                            <w:i/>
                            <w:color w:val="2A6BAF"/>
                            <w:sz w:val="19"/>
                          </w:rPr>
                          <w:t>Final score: 9.9/10</w:t>
                        </w:r>
                      </w:p>
                      <w:p w14:paraId="04235F3D">
                        <w:pPr>
                          <w:rPr>
                            <w:rFonts w:ascii="Arial"/>
                            <w:i/>
                            <w:color w:val="2A6BAF"/>
                            <w:sz w:val="19"/>
                          </w:rPr>
                        </w:pPr>
                        <w:r>
                          <w:rPr>
                            <w:rFonts w:ascii="Arial"/>
                            <w:i/>
                            <w:color w:val="2A6BAF"/>
                            <w:sz w:val="19"/>
                          </w:rPr>
                          <w:t>This report clearly demonstrates:</w:t>
                        </w:r>
                      </w:p>
                      <w:p w14:paraId="723C3455">
                        <w:pPr>
                          <w:rPr>
                            <w:rFonts w:ascii="Arial"/>
                            <w:i/>
                            <w:color w:val="2A6BAF"/>
                            <w:sz w:val="19"/>
                          </w:rPr>
                        </w:pPr>
                        <w:r>
                          <w:rPr>
                            <w:rFonts w:ascii="Arial"/>
                            <w:i/>
                            <w:color w:val="2A6BAF"/>
                            <w:sz w:val="19"/>
                          </w:rPr>
                          <w:t xml:space="preserve">quantitative analysis using Python, </w:t>
                        </w:r>
                      </w:p>
                      <w:p w14:paraId="2E81EE7E">
                        <w:pPr>
                          <w:rPr>
                            <w:rFonts w:ascii="Arial"/>
                            <w:i/>
                            <w:color w:val="2A6BAF"/>
                            <w:sz w:val="19"/>
                          </w:rPr>
                        </w:pPr>
                        <w:r>
                          <w:rPr>
                            <w:rFonts w:ascii="Arial"/>
                            <w:i/>
                            <w:color w:val="2A6BAF"/>
                            <w:sz w:val="19"/>
                          </w:rPr>
                          <w:t xml:space="preserve">understanding of portfolio risk, </w:t>
                        </w:r>
                      </w:p>
                      <w:p w14:paraId="22F502E8">
                        <w:pPr>
                          <w:rPr>
                            <w:rFonts w:ascii="Arial"/>
                            <w:i/>
                            <w:color w:val="2A6BAF"/>
                            <w:sz w:val="19"/>
                          </w:rPr>
                        </w:pPr>
                        <w:r>
                          <w:rPr>
                            <w:rFonts w:ascii="Arial"/>
                            <w:i/>
                            <w:color w:val="2A6BAF"/>
                            <w:sz w:val="19"/>
                          </w:rPr>
                          <w:t xml:space="preserve">application of financial performance metrics, </w:t>
                        </w:r>
                      </w:p>
                      <w:p w14:paraId="360D470D">
                        <w:pPr>
                          <w:rPr>
                            <w:rFonts w:ascii="Arial"/>
                            <w:i/>
                            <w:color w:val="2A6BAF"/>
                            <w:sz w:val="19"/>
                          </w:rPr>
                        </w:pPr>
                        <w:r>
                          <w:rPr>
                            <w:rFonts w:ascii="Arial"/>
                            <w:i/>
                            <w:color w:val="2A6BAF"/>
                            <w:sz w:val="19"/>
                          </w:rPr>
                          <w:t xml:space="preserve">professional report writing. </w:t>
                        </w:r>
                      </w:p>
                      <w:p w14:paraId="3FFA3DC4">
                        <w:pPr>
                          <w:rPr>
                            <w:rFonts w:ascii="Arial"/>
                            <w:i/>
                            <w:color w:val="2A6BAF"/>
                            <w:sz w:val="19"/>
                          </w:rPr>
                        </w:pPr>
                        <w:r>
                          <w:rPr>
                            <w:rFonts w:ascii="Arial"/>
                            <w:i/>
                            <w:color w:val="2A6BAF"/>
                            <w:sz w:val="19"/>
                          </w:rPr>
                          <w:t>It goes well beyond simply fulfilling the CodeAlpha requirements and showcases skills that are directly relevant to your Financial Engineering and Actuarial Science background. The remaining suggestions are mostly stylistic refinements rather than substantive corrections.</w:t>
                        </w:r>
                      </w:p>
                      <w:p w14:paraId="4C4BC6C9">
                        <w:pPr>
                          <w:rPr>
                            <w:rFonts w:ascii="Arial"/>
                            <w:i/>
                            <w:color w:val="2A6BAF"/>
                            <w:sz w:val="19"/>
                          </w:rPr>
                        </w:pPr>
                      </w:p>
                    </w:txbxContent>
                  </v:textbox>
                </v:shape>
                <w10:wrap type="topAndBottom"/>
              </v:group>
            </w:pict>
          </mc:Fallback>
        </mc:AlternateContent>
      </w:r>
    </w:p>
    <w:p w14:paraId="1DC9ECCE">
      <w:pPr>
        <w:pStyle w:val="2"/>
        <w:keepNext w:val="0"/>
        <w:keepLines w:val="0"/>
        <w:widowControl/>
        <w:suppressLineNumbers w:val="0"/>
      </w:pPr>
      <w:r>
        <w:t>References</w:t>
      </w:r>
    </w:p>
    <w:p w14:paraId="672B9104">
      <w:pPr>
        <w:keepNext w:val="0"/>
        <w:keepLines w:val="0"/>
        <w:widowControl/>
        <w:numPr>
          <w:ilvl w:val="0"/>
          <w:numId w:val="7"/>
        </w:numPr>
        <w:suppressLineNumbers w:val="0"/>
        <w:spacing w:before="0" w:beforeAutospacing="1" w:after="0" w:afterAutospacing="1"/>
        <w:ind w:left="720" w:hanging="360"/>
      </w:pPr>
      <w:r>
        <w:t xml:space="preserve">Bodie, Z., Kane, A., &amp; Marcus, A. J. (2021). </w:t>
      </w:r>
      <w:r>
        <w:rPr>
          <w:rStyle w:val="17"/>
        </w:rPr>
        <w:t>Investments</w:t>
      </w:r>
      <w:r>
        <w:t xml:space="preserve"> (12th ed.). McGraw-Hill Education. </w:t>
      </w:r>
    </w:p>
    <w:p w14:paraId="31F9BE91">
      <w:pPr>
        <w:keepNext w:val="0"/>
        <w:keepLines w:val="0"/>
        <w:widowControl/>
        <w:numPr>
          <w:ilvl w:val="0"/>
          <w:numId w:val="7"/>
        </w:numPr>
        <w:suppressLineNumbers w:val="0"/>
        <w:spacing w:before="0" w:beforeAutospacing="1" w:after="0" w:afterAutospacing="1"/>
        <w:ind w:left="720" w:hanging="360"/>
      </w:pPr>
      <w:r>
        <w:t xml:space="preserve">Jorion, P. (2007). </w:t>
      </w:r>
      <w:r>
        <w:rPr>
          <w:rStyle w:val="17"/>
        </w:rPr>
        <w:t>Value at Risk: The New Benchmark for Managing Financial Risk</w:t>
      </w:r>
      <w:r>
        <w:t xml:space="preserve"> (3rd ed.). McGraw-Hill. </w:t>
      </w:r>
    </w:p>
    <w:p w14:paraId="76191E58">
      <w:pPr>
        <w:keepNext w:val="0"/>
        <w:keepLines w:val="0"/>
        <w:widowControl/>
        <w:numPr>
          <w:ilvl w:val="0"/>
          <w:numId w:val="7"/>
        </w:numPr>
        <w:suppressLineNumbers w:val="0"/>
        <w:spacing w:before="0" w:beforeAutospacing="1" w:after="0" w:afterAutospacing="1"/>
        <w:ind w:left="720" w:hanging="360"/>
      </w:pPr>
      <w:r>
        <w:t xml:space="preserve">Markowitz, H. (1952). Portfolio Selection. </w:t>
      </w:r>
      <w:r>
        <w:rPr>
          <w:rStyle w:val="17"/>
        </w:rPr>
        <w:t>The Journal of Finance, 7</w:t>
      </w:r>
      <w:r>
        <w:t xml:space="preserve">(1), 77–91. </w:t>
      </w:r>
    </w:p>
    <w:p w14:paraId="09C6518D">
      <w:pPr>
        <w:keepNext w:val="0"/>
        <w:keepLines w:val="0"/>
        <w:widowControl/>
        <w:numPr>
          <w:ilvl w:val="0"/>
          <w:numId w:val="7"/>
        </w:numPr>
        <w:suppressLineNumbers w:val="0"/>
        <w:spacing w:before="0" w:beforeAutospacing="1" w:after="0" w:afterAutospacing="1"/>
        <w:ind w:left="720" w:hanging="360"/>
      </w:pPr>
      <w:r>
        <w:t xml:space="preserve">Sharpe, W. F. (1966). Mutual Fund Performance. </w:t>
      </w:r>
      <w:r>
        <w:rPr>
          <w:rStyle w:val="17"/>
        </w:rPr>
        <w:t>The Journal of Business, 39</w:t>
      </w:r>
      <w:r>
        <w:t xml:space="preserve">(1), 119–138. </w:t>
      </w:r>
    </w:p>
    <w:p w14:paraId="0819B0B7">
      <w:pPr>
        <w:keepNext w:val="0"/>
        <w:keepLines w:val="0"/>
        <w:widowControl/>
        <w:numPr>
          <w:ilvl w:val="0"/>
          <w:numId w:val="7"/>
        </w:numPr>
        <w:suppressLineNumbers w:val="0"/>
        <w:spacing w:before="0" w:beforeAutospacing="1" w:after="0" w:afterAutospacing="1"/>
        <w:ind w:left="720" w:hanging="360"/>
      </w:pPr>
      <w:r>
        <w:t xml:space="preserve">Sortino, F. A., &amp; Van der Meer, R. (1991). Downside Risk. </w:t>
      </w:r>
      <w:r>
        <w:rPr>
          <w:rStyle w:val="17"/>
        </w:rPr>
        <w:t>The Journal of Portfolio Management, 17</w:t>
      </w:r>
      <w:r>
        <w:t xml:space="preserve">(4), 27–31. </w:t>
      </w:r>
    </w:p>
    <w:p w14:paraId="4E4A7FEC">
      <w:pPr>
        <w:keepNext w:val="0"/>
        <w:keepLines w:val="0"/>
        <w:widowControl/>
        <w:numPr>
          <w:ilvl w:val="0"/>
          <w:numId w:val="7"/>
        </w:numPr>
        <w:suppressLineNumbers w:val="0"/>
        <w:spacing w:before="0" w:beforeAutospacing="1" w:after="0" w:afterAutospacing="1"/>
        <w:ind w:left="720" w:hanging="360"/>
      </w:pPr>
      <w:r>
        <w:t xml:space="preserve">Yahoo Finance. (2026). </w:t>
      </w:r>
      <w:r>
        <w:rPr>
          <w:rStyle w:val="17"/>
        </w:rPr>
        <w:t>Historical Market Data for Microsoft (MSFT), Apple (AAPL), NVIDIA (NVDA).</w:t>
      </w:r>
      <w:r>
        <w:t xml:space="preserve"> Retrieved July 2026 from </w:t>
      </w:r>
      <w:r>
        <w:fldChar w:fldCharType="begin"/>
      </w:r>
      <w:r>
        <w:instrText xml:space="preserve"> HYPERLINK "https://finance.yahoo.com/" \t "_new" </w:instrText>
      </w:r>
      <w:r>
        <w:fldChar w:fldCharType="separate"/>
      </w:r>
      <w:r>
        <w:rPr>
          <w:rStyle w:val="21"/>
        </w:rPr>
        <w:t>https://finance.yahoo.com/</w:t>
      </w:r>
      <w:r>
        <w:fldChar w:fldCharType="end"/>
      </w:r>
      <w:r>
        <w:t xml:space="preserve"> </w:t>
      </w:r>
    </w:p>
    <w:p w14:paraId="4BEAE1CE">
      <w:pPr>
        <w:keepNext w:val="0"/>
        <w:keepLines w:val="0"/>
        <w:widowControl/>
        <w:numPr>
          <w:ilvl w:val="0"/>
          <w:numId w:val="7"/>
        </w:numPr>
        <w:suppressLineNumbers w:val="0"/>
        <w:spacing w:before="0" w:beforeAutospacing="1" w:after="0" w:afterAutospacing="1"/>
        <w:ind w:left="720" w:hanging="360"/>
      </w:pPr>
      <w:r>
        <w:t xml:space="preserve">Python Software Foundation. (2026). </w:t>
      </w:r>
      <w:r>
        <w:rPr>
          <w:rStyle w:val="17"/>
        </w:rPr>
        <w:t>Python 3 Documentation.</w:t>
      </w:r>
      <w:r>
        <w:t xml:space="preserve"> </w:t>
      </w:r>
      <w:r>
        <w:fldChar w:fldCharType="begin"/>
      </w:r>
      <w:r>
        <w:instrText xml:space="preserve"> HYPERLINK "https://docs.python.org/3/" \t "_new" </w:instrText>
      </w:r>
      <w:r>
        <w:fldChar w:fldCharType="separate"/>
      </w:r>
      <w:r>
        <w:rPr>
          <w:rStyle w:val="21"/>
        </w:rPr>
        <w:t>https://docs.python.org/3/</w:t>
      </w:r>
      <w:r>
        <w:fldChar w:fldCharType="end"/>
      </w:r>
      <w:r>
        <w:t xml:space="preserve"> </w:t>
      </w:r>
    </w:p>
    <w:p w14:paraId="7CF7C666">
      <w:pPr>
        <w:keepNext w:val="0"/>
        <w:keepLines w:val="0"/>
        <w:widowControl/>
        <w:numPr>
          <w:ilvl w:val="0"/>
          <w:numId w:val="7"/>
        </w:numPr>
        <w:suppressLineNumbers w:val="0"/>
        <w:spacing w:before="0" w:beforeAutospacing="1" w:after="0" w:afterAutospacing="1"/>
        <w:ind w:left="720" w:hanging="360"/>
      </w:pPr>
      <w:r>
        <w:t xml:space="preserve">pandas Development Team. (2026). </w:t>
      </w:r>
      <w:r>
        <w:rPr>
          <w:rStyle w:val="17"/>
        </w:rPr>
        <w:t>pandas Documentation.</w:t>
      </w:r>
      <w:r>
        <w:t xml:space="preserve"> </w:t>
      </w:r>
      <w:r>
        <w:fldChar w:fldCharType="begin"/>
      </w:r>
      <w:r>
        <w:instrText xml:space="preserve"> HYPERLINK "https://pandas.pydata.org/docs/" \t "_new" </w:instrText>
      </w:r>
      <w:r>
        <w:fldChar w:fldCharType="separate"/>
      </w:r>
      <w:r>
        <w:rPr>
          <w:rStyle w:val="21"/>
        </w:rPr>
        <w:t>https://pandas.pydata.org/docs/</w:t>
      </w:r>
      <w:r>
        <w:fldChar w:fldCharType="end"/>
      </w:r>
      <w:r>
        <w:t xml:space="preserve"> </w:t>
      </w:r>
    </w:p>
    <w:p w14:paraId="2382A301">
      <w:pPr>
        <w:keepNext w:val="0"/>
        <w:keepLines w:val="0"/>
        <w:widowControl/>
        <w:numPr>
          <w:ilvl w:val="0"/>
          <w:numId w:val="7"/>
        </w:numPr>
        <w:suppressLineNumbers w:val="0"/>
        <w:spacing w:before="0" w:beforeAutospacing="1" w:after="0" w:afterAutospacing="1"/>
        <w:ind w:left="720" w:hanging="360"/>
      </w:pPr>
      <w:r>
        <w:t xml:space="preserve">NumPy Developers. (2026). </w:t>
      </w:r>
      <w:r>
        <w:rPr>
          <w:rStyle w:val="17"/>
        </w:rPr>
        <w:t>NumPy Documentation.</w:t>
      </w:r>
      <w:r>
        <w:t xml:space="preserve"> </w:t>
      </w:r>
      <w:r>
        <w:fldChar w:fldCharType="begin"/>
      </w:r>
      <w:r>
        <w:instrText xml:space="preserve"> HYPERLINK "https://numpy.org/doc/" \t "_new" </w:instrText>
      </w:r>
      <w:r>
        <w:fldChar w:fldCharType="separate"/>
      </w:r>
      <w:r>
        <w:rPr>
          <w:rStyle w:val="21"/>
        </w:rPr>
        <w:t>https://numpy.org/doc/</w:t>
      </w:r>
      <w:r>
        <w:fldChar w:fldCharType="end"/>
      </w:r>
      <w:r>
        <w:t xml:space="preserve"> </w:t>
      </w:r>
    </w:p>
    <w:p w14:paraId="27D03F96">
      <w:pPr>
        <w:keepNext w:val="0"/>
        <w:keepLines w:val="0"/>
        <w:widowControl/>
        <w:numPr>
          <w:ilvl w:val="0"/>
          <w:numId w:val="7"/>
        </w:numPr>
        <w:suppressLineNumbers w:val="0"/>
        <w:spacing w:before="0" w:beforeAutospacing="1" w:after="0" w:afterAutospacing="1"/>
        <w:ind w:left="720" w:hanging="360"/>
      </w:pPr>
      <w:r>
        <w:t xml:space="preserve">Matplotlib Development Team. (2026). </w:t>
      </w:r>
      <w:r>
        <w:rPr>
          <w:rStyle w:val="17"/>
        </w:rPr>
        <w:t>Matplotlib Documentation.</w:t>
      </w:r>
      <w:r>
        <w:t xml:space="preserve"> </w:t>
      </w:r>
      <w:r>
        <w:fldChar w:fldCharType="begin"/>
      </w:r>
      <w:r>
        <w:instrText xml:space="preserve"> HYPERLINK "https://matplotlib.org/stable/" \t "_new" </w:instrText>
      </w:r>
      <w:r>
        <w:fldChar w:fldCharType="separate"/>
      </w:r>
      <w:r>
        <w:rPr>
          <w:rStyle w:val="21"/>
        </w:rPr>
        <w:t>https://matplotlib.org/stable/</w:t>
      </w:r>
      <w:r>
        <w:fldChar w:fldCharType="end"/>
      </w:r>
      <w:r>
        <w:t xml:space="preserve"> </w:t>
      </w:r>
    </w:p>
    <w:p w14:paraId="537BAF9C">
      <w:pPr>
        <w:keepNext w:val="0"/>
        <w:keepLines w:val="0"/>
        <w:widowControl/>
        <w:numPr>
          <w:ilvl w:val="0"/>
          <w:numId w:val="7"/>
        </w:numPr>
        <w:suppressLineNumbers w:val="0"/>
        <w:spacing w:before="0" w:beforeAutospacing="1" w:after="0" w:afterAutospacing="1"/>
        <w:ind w:left="720" w:hanging="360"/>
      </w:pPr>
      <w:r>
        <w:t xml:space="preserve">Aroussi, R. (2026). </w:t>
      </w:r>
      <w:r>
        <w:rPr>
          <w:rStyle w:val="17"/>
        </w:rPr>
        <w:t>yfinance Documentation.</w:t>
      </w:r>
      <w:r>
        <w:t xml:space="preserve"> </w:t>
      </w:r>
      <w:r>
        <w:fldChar w:fldCharType="begin"/>
      </w:r>
      <w:r>
        <w:instrText xml:space="preserve"> HYPERLINK "https://ranaroussi.github.io/yfinance/" \t "_new" </w:instrText>
      </w:r>
      <w:r>
        <w:fldChar w:fldCharType="separate"/>
      </w:r>
      <w:r>
        <w:rPr>
          <w:rStyle w:val="21"/>
        </w:rPr>
        <w:t>https://ranaroussi.github.io/yfinance/</w:t>
      </w:r>
      <w:r>
        <w:fldChar w:fldCharType="end"/>
      </w:r>
    </w:p>
    <w:p w14:paraId="7D9970B5">
      <w:pPr>
        <w:spacing w:before="360"/>
        <w:rPr>
          <w:i/>
          <w:sz w:val="20"/>
        </w:rPr>
      </w:pPr>
    </w:p>
    <w:sectPr>
      <w:footerReference r:id="rId5" w:type="default"/>
      <w:pgSz w:w="12240" w:h="15840"/>
      <w:pgMar w:top="1440" w:right="1080" w:bottom="144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MT">
    <w:altName w:val="Arial"/>
    <w:panose1 w:val="00000000000000000000"/>
    <w:charset w:val="01"/>
    <w:family w:val="swiss"/>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A138A">
    <w:pPr>
      <w:spacing w:before="0" w:line="180" w:lineRule="exact"/>
      <w:ind w:right="0"/>
      <w:jc w:val="left"/>
    </w:pPr>
    <w:r>
      <w:rPr>
        <w:color w:val="708095"/>
        <w:sz w:val="17"/>
      </w:rPr>
      <w:t>Bright</w:t>
    </w:r>
    <w:r>
      <w:rPr>
        <w:color w:val="708095"/>
        <w:spacing w:val="-6"/>
        <w:sz w:val="17"/>
      </w:rPr>
      <w:t xml:space="preserve"> </w:t>
    </w:r>
    <w:r>
      <w:rPr>
        <w:color w:val="708095"/>
        <w:sz w:val="17"/>
      </w:rPr>
      <w:t>Lungu</w:t>
    </w:r>
    <w:r>
      <w:rPr>
        <w:color w:val="708095"/>
        <w:spacing w:val="-5"/>
        <w:sz w:val="17"/>
      </w:rPr>
      <w:t xml:space="preserve"> </w:t>
    </w:r>
    <w:r>
      <w:rPr>
        <w:color w:val="708095"/>
        <w:sz w:val="17"/>
      </w:rPr>
      <w:t>•</w:t>
    </w:r>
    <w:r>
      <w:rPr>
        <w:color w:val="708095"/>
        <w:spacing w:val="-5"/>
        <w:sz w:val="17"/>
      </w:rPr>
      <w:t xml:space="preserve"> </w:t>
    </w:r>
    <w:r>
      <w:rPr>
        <w:color w:val="708095"/>
        <w:sz w:val="17"/>
      </w:rPr>
      <w:t>Financial</w:t>
    </w:r>
    <w:r>
      <w:rPr>
        <w:color w:val="708095"/>
        <w:spacing w:val="-5"/>
        <w:sz w:val="17"/>
      </w:rPr>
      <w:t xml:space="preserve"> </w:t>
    </w:r>
    <w:r>
      <w:rPr>
        <w:color w:val="708095"/>
        <w:sz w:val="17"/>
      </w:rPr>
      <w:t>Engineering</w:t>
    </w:r>
    <w:r>
      <w:rPr>
        <w:color w:val="708095"/>
        <w:spacing w:val="-5"/>
        <w:sz w:val="17"/>
      </w:rPr>
      <w:t xml:space="preserve"> </w:t>
    </w:r>
    <w:r>
      <w:rPr>
        <w:color w:val="708095"/>
        <w:sz w:val="17"/>
      </w:rPr>
      <w:t>&amp;</w:t>
    </w:r>
    <w:r>
      <w:rPr>
        <w:color w:val="708095"/>
        <w:spacing w:val="-6"/>
        <w:sz w:val="17"/>
      </w:rPr>
      <w:t xml:space="preserve"> </w:t>
    </w:r>
    <w:r>
      <w:rPr>
        <w:color w:val="708095"/>
        <w:sz w:val="17"/>
      </w:rPr>
      <w:t>Actuarial</w:t>
    </w:r>
    <w:r>
      <w:rPr>
        <w:color w:val="708095"/>
        <w:spacing w:val="-5"/>
        <w:sz w:val="17"/>
      </w:rPr>
      <w:t xml:space="preserve"> </w:t>
    </w:r>
    <w:r>
      <w:rPr>
        <w:color w:val="708095"/>
        <w:spacing w:val="-2"/>
        <w:sz w:val="17"/>
      </w:rPr>
      <w:t>Science</w:t>
    </w:r>
    <w:r>
      <w:rPr>
        <w:rFonts w:hint="default"/>
        <w:color w:val="708095"/>
        <w:spacing w:val="-2"/>
        <w:sz w:val="17"/>
        <w:lang w:val="en-US"/>
      </w:rPr>
      <w:tab/>
      <w:t/>
    </w:r>
    <w:r>
      <w:rPr>
        <w:rFonts w:hint="default"/>
        <w:color w:val="708095"/>
        <w:spacing w:val="-2"/>
        <w:sz w:val="17"/>
        <w:lang w:val="en-US"/>
      </w:rPr>
      <w:tab/>
      <w:t/>
    </w:r>
    <w:r>
      <w:rPr>
        <w:rFonts w:hint="default"/>
        <w:color w:val="708095"/>
        <w:spacing w:val="-2"/>
        <w:sz w:val="17"/>
        <w:lang w:val="en-US"/>
      </w:rPr>
      <w:tab/>
      <w:t/>
    </w:r>
    <w:r>
      <w:rPr>
        <w:rFonts w:hint="default"/>
        <w:color w:val="708095"/>
        <w:spacing w:val="-2"/>
        <w:sz w:val="17"/>
        <w:lang w:val="en-US"/>
      </w:rPr>
      <w:tab/>
      <w:t/>
    </w:r>
    <w:r>
      <w:rPr>
        <w:rFonts w:hint="default"/>
        <w:color w:val="708095"/>
        <w:spacing w:val="-2"/>
        <w:sz w:val="17"/>
        <w:lang w:val="en-US"/>
      </w:rPr>
      <w:tab/>
      <w:t/>
    </w:r>
    <w:r>
      <w:rPr>
        <w:rFonts w:hint="default"/>
        <w:color w:val="708095"/>
        <w:spacing w:val="-2"/>
        <w:sz w:val="17"/>
        <w:lang w:val="en-US"/>
      </w:rPr>
      <w:tab/>
    </w:r>
    <w:r>
      <w:rPr>
        <w:color w:val="708095"/>
        <w:sz w:val="17"/>
      </w:rPr>
      <w:t>Page</w:t>
    </w:r>
    <w:r>
      <w:rPr>
        <w:color w:val="708095"/>
        <w:spacing w:val="-4"/>
        <w:sz w:val="17"/>
      </w:rPr>
      <w:t xml:space="preserve"> </w:t>
    </w:r>
    <w:r>
      <w:rPr>
        <w:color w:val="708095"/>
        <w:sz w:val="17"/>
      </w:rPr>
      <w:fldChar w:fldCharType="begin"/>
    </w:r>
    <w:r>
      <w:rPr>
        <w:color w:val="708095"/>
        <w:sz w:val="17"/>
      </w:rPr>
      <w:instrText xml:space="preserve"> PAGE </w:instrText>
    </w:r>
    <w:r>
      <w:rPr>
        <w:color w:val="708095"/>
        <w:sz w:val="17"/>
      </w:rPr>
      <w:fldChar w:fldCharType="separate"/>
    </w:r>
    <w:r>
      <w:rPr>
        <w:color w:val="708095"/>
        <w:sz w:val="17"/>
      </w:rPr>
      <w:t>1</w:t>
    </w:r>
    <w:r>
      <w:rPr>
        <w:color w:val="708095"/>
        <w:sz w:val="17"/>
      </w:rPr>
      <w:fldChar w:fldCharType="end"/>
    </w:r>
    <w:r>
      <w:rPr>
        <w:color w:val="708095"/>
        <w:spacing w:val="-4"/>
        <w:sz w:val="17"/>
      </w:rPr>
      <w:t xml:space="preserve"> </w:t>
    </w:r>
    <w:r>
      <w:rPr>
        <w:color w:val="708095"/>
        <w:sz w:val="17"/>
      </w:rPr>
      <w:t>of</w:t>
    </w:r>
    <w:r>
      <w:rPr>
        <w:color w:val="708095"/>
        <w:spacing w:val="-4"/>
        <w:sz w:val="17"/>
      </w:rPr>
      <w:t xml:space="preserve"> </w:t>
    </w:r>
    <w:r>
      <w:rPr>
        <w:color w:val="708095"/>
        <w:spacing w:val="-10"/>
        <w:sz w:val="17"/>
      </w:rPr>
      <w:fldChar w:fldCharType="begin"/>
    </w:r>
    <w:r>
      <w:rPr>
        <w:color w:val="708095"/>
        <w:spacing w:val="-10"/>
        <w:sz w:val="17"/>
      </w:rPr>
      <w:instrText xml:space="preserve"> NUMPAGES </w:instrText>
    </w:r>
    <w:r>
      <w:rPr>
        <w:color w:val="708095"/>
        <w:spacing w:val="-10"/>
        <w:sz w:val="17"/>
      </w:rPr>
      <w:fldChar w:fldCharType="separate"/>
    </w:r>
    <w:r>
      <w:rPr>
        <w:color w:val="708095"/>
        <w:spacing w:val="-10"/>
        <w:sz w:val="17"/>
      </w:rPr>
      <w:t>7</w:t>
    </w:r>
    <w:r>
      <w:rPr>
        <w:color w:val="708095"/>
        <w:spacing w:val="-10"/>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6">
    <w:nsid w:val="674BD804"/>
    <w:multiLevelType w:val="multilevel"/>
    <w:tmpl w:val="674BD8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400536"/>
    <w:rsid w:val="1A4D4035"/>
    <w:rsid w:val="37BE2D84"/>
    <w:rsid w:val="50EF2D57"/>
    <w:rsid w:val="6DB06F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character" w:styleId="21">
    <w:name w:val="Hyperlink"/>
    <w:basedOn w:val="11"/>
    <w:semiHidden/>
    <w:unhideWhenUsed/>
    <w:uiPriority w:val="99"/>
    <w:rPr>
      <w:color w:val="0000FF"/>
      <w:u w:val="single"/>
    </w:rPr>
  </w:style>
  <w:style w:type="paragraph" w:styleId="22">
    <w:name w:val="List"/>
    <w:basedOn w:val="1"/>
    <w:unhideWhenUsed/>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4"/>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683</Words>
  <Characters>4439</Characters>
  <Lines>0</Lines>
  <Paragraphs>0</Paragraphs>
  <TotalTime>1</TotalTime>
  <ScaleCrop>false</ScaleCrop>
  <LinksUpToDate>false</LinksUpToDate>
  <CharactersWithSpaces>5025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Bright Lungu</cp:lastModifiedBy>
  <dcterms:modified xsi:type="dcterms:W3CDTF">2026-07-07T15:45:25Z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8B52083E40F84D0CAF3097F9577DC305_13</vt:lpwstr>
  </property>
  <property fmtid="{D5CDD505-2E9C-101B-9397-08002B2CF9AE}" pid="4" name="KSOTemplateDocerSaveRecord">
    <vt:lpwstr>eyJoZGlkIjoiMWMxYTBmM2ExNDA5MTI5NmEwNjA4YTk5MmRmY2Y2MzgiLCJ1c2VySWQiOiIxNTgwNTQ4MDUyMjg5OSJ9</vt:lpwstr>
  </property>
</Properties>
</file>