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仿宋_GB2312"/>
          <w:b w:val="0"/>
          <w:sz w:val="48"/>
        </w:rPr>
        <w:t>河北工业大学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仿宋_GB2312"/>
          <w:b w:val="0"/>
          <w:sz w:val="48"/>
        </w:rPr>
        <w:t>软件工程课程实验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仿宋_GB2312"/>
          <w:b w:val="0"/>
          <w:sz w:val="48"/>
        </w:rPr>
        <w:t>实验报告</w:t>
      </w:r>
    </w:p>
    <w:p>
      <w:pPr>
        <w:spacing w:before="680" w:after="120" w:line="240" w:lineRule="auto"/>
        <w:jc w:val="center"/>
      </w:pPr>
      <w:r>
        <w:rPr>
          <w:rFonts w:ascii="Times New Roman" w:hAnsi="Times New Roman" w:eastAsia="黑体"/>
          <w:b/>
          <w:sz w:val="36"/>
        </w:rPr>
        <w:t>实验一　需求分析与迭代规划</w:t>
      </w:r>
    </w:p>
    <w:p>
      <w:pPr>
        <w:spacing w:before="40" w:after="640" w:line="240" w:lineRule="auto"/>
        <w:jc w:val="center"/>
      </w:pPr>
      <w:r>
        <w:rPr>
          <w:rFonts w:ascii="Times New Roman" w:hAnsi="Times New Roman" w:eastAsia="楷体"/>
          <w:b w:val="0"/>
          <w:sz w:val="28"/>
        </w:rPr>
        <w:t>——高校学生成长与职业发展数据中台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102"/>
      </w:tblGrid>
      <w:tr>
        <w:tc>
          <w:tcPr>
            <w:tcW w:type="dxa" w:w="1814"/>
          </w:tcPr>
          <w:p>
            <w:pPr>
              <w:spacing w:before="80" w:after="8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题    目：</w:t>
            </w:r>
          </w:p>
        </w:tc>
        <w:tc>
          <w:tcPr>
            <w:tcW w:type="dxa" w:w="5102"/>
            <w:tcBorders>
              <w:bottom w:val="single" w:sz="6" w:space="0" w:color="000000"/>
            </w:tcBorders>
          </w:tcPr>
          <w:p>
            <w:pPr>
              <w:spacing w:before="100" w:after="1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>高校学生成长与职业发展数据中台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专    业：</w:t>
            </w:r>
          </w:p>
        </w:tc>
        <w:tc>
          <w:tcPr>
            <w:tcW w:type="dxa" w:w="5102"/>
            <w:tcBorders>
              <w:bottom w:val="single" w:sz="6" w:space="0" w:color="000000"/>
            </w:tcBorders>
          </w:tcPr>
          <w:p>
            <w:pPr>
              <w:spacing w:before="100" w:after="1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>软件工程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班    级：</w:t>
            </w:r>
          </w:p>
        </w:tc>
        <w:tc>
          <w:tcPr>
            <w:tcW w:type="dxa" w:w="5102"/>
            <w:tcBorders>
              <w:bottom w:val="single" w:sz="6" w:space="0" w:color="000000"/>
            </w:tcBorders>
          </w:tcPr>
          <w:p>
            <w:pPr>
              <w:spacing w:before="100" w:after="1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</w:r>
          </w:p>
        </w:tc>
      </w:tr>
      <w:tr>
        <w:tc>
          <w:tcPr>
            <w:tcW w:type="dxa" w:w="1814"/>
          </w:tcPr>
          <w:p>
            <w:pPr>
              <w:spacing w:before="80" w:after="8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组    别：</w:t>
            </w:r>
          </w:p>
        </w:tc>
        <w:tc>
          <w:tcPr>
            <w:tcW w:type="dxa" w:w="5102"/>
            <w:tcBorders>
              <w:bottom w:val="single" w:sz="6" w:space="0" w:color="000000"/>
            </w:tcBorders>
          </w:tcPr>
          <w:p>
            <w:pPr>
              <w:spacing w:before="100" w:after="1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>第 3 组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组    长：</w:t>
            </w:r>
          </w:p>
        </w:tc>
        <w:tc>
          <w:tcPr>
            <w:tcW w:type="dxa" w:w="5102"/>
            <w:tcBorders>
              <w:bottom w:val="single" w:sz="6" w:space="0" w:color="000000"/>
            </w:tcBorders>
          </w:tcPr>
          <w:p>
            <w:pPr>
              <w:spacing w:before="100" w:after="1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</w:r>
          </w:p>
        </w:tc>
      </w:tr>
      <w:tr>
        <w:tc>
          <w:tcPr>
            <w:tcW w:type="dxa" w:w="1814"/>
          </w:tcPr>
          <w:p>
            <w:pPr>
              <w:spacing w:before="80" w:after="8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成    员：</w:t>
            </w:r>
          </w:p>
        </w:tc>
        <w:tc>
          <w:tcPr>
            <w:tcW w:type="dxa" w:w="5102"/>
            <w:tcBorders>
              <w:bottom w:val="single" w:sz="6" w:space="0" w:color="000000"/>
            </w:tcBorders>
          </w:tcPr>
          <w:p>
            <w:pPr>
              <w:spacing w:before="100" w:after="1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</w:r>
          </w:p>
        </w:tc>
      </w:tr>
      <w:tr>
        <w:tc>
          <w:tcPr>
            <w:tcW w:type="dxa" w:w="1814"/>
          </w:tcPr>
          <w:p>
            <w:pPr>
              <w:spacing w:before="80" w:after="8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指导教师：</w:t>
            </w:r>
          </w:p>
        </w:tc>
        <w:tc>
          <w:tcPr>
            <w:tcW w:type="dxa" w:w="5102"/>
            <w:tcBorders>
              <w:bottom w:val="single" w:sz="6" w:space="0" w:color="000000"/>
            </w:tcBorders>
          </w:tcPr>
          <w:p>
            <w:pPr>
              <w:spacing w:before="100" w:after="1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</w:r>
          </w:p>
        </w:tc>
      </w:tr>
      <w:tr>
        <w:tc>
          <w:tcPr>
            <w:tcW w:type="dxa" w:w="1814"/>
          </w:tcPr>
          <w:p>
            <w:pPr>
              <w:spacing w:before="80" w:after="80" w:line="240" w:lineRule="auto"/>
              <w:jc w:val="right"/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完成日期：</w:t>
            </w:r>
          </w:p>
        </w:tc>
        <w:tc>
          <w:tcPr>
            <w:tcW w:type="dxa" w:w="5102"/>
            <w:tcBorders>
              <w:bottom w:val="single" w:sz="6" w:space="0" w:color="000000"/>
            </w:tcBorders>
          </w:tcPr>
          <w:p>
            <w:pPr>
              <w:spacing w:before="100" w:after="1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>2026 年 10 月 26 日</w:t>
            </w:r>
          </w:p>
        </w:tc>
      </w:tr>
    </w:tbl>
    <w:p>
      <w:pPr>
        <w:spacing w:before="1280"/>
        <w:jc w:val="center"/>
      </w:pPr>
      <w:r>
        <w:rPr>
          <w:rFonts w:ascii="Times New Roman" w:hAnsi="Times New Roman" w:eastAsia="仿宋_GB2312"/>
          <w:b w:val="0"/>
          <w:sz w:val="28"/>
        </w:rPr>
        <w:t>二〇二六年</w:t>
      </w:r>
    </w:p>
    <w:p>
      <w:pPr>
        <w:sectPr>
          <w:pgSz w:w="11906" w:h="16838"/>
          <w:pgMar w:top="1440" w:right="1531" w:bottom="1361" w:left="1531" w:header="720" w:footer="720" w:gutter="0"/>
          <w:cols w:space="720"/>
          <w:docGrid w:linePitch="360"/>
        </w:sectPr>
      </w:pPr>
    </w:p>
    <w:p>
      <w:pPr>
        <w:pStyle w:val="Heading1"/>
      </w:pPr>
      <w:r>
        <w:t>1  项目概述与迭代规划</w:t>
      </w:r>
    </w:p>
    <w:p>
      <w:pPr>
        <w:pStyle w:val="Heading2"/>
      </w:pPr>
      <w:r>
        <w:t>1.1  项目背景与目标</w:t>
      </w:r>
    </w:p>
    <w:p>
      <w:pPr>
        <w:pStyle w:val="Heading3"/>
      </w:pPr>
      <w:r>
        <w:t>1.1.1  项目背景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高校学生在校期间的学习、科研、实践与就业活动，会在教务、科研、学工、实践平台、就业等多个业务系统中持续产生数据。这些系统按部门纵向建设，数据标准、编码规则与统计口径各不相同，客观上形成了“数据孤岛”，集中表现为四个问题：一是“一人多号、一数多源”，同一学生在不同系统中存在学号、考生号、身份证号等多种标识，成绩、科研成果与实践经历难以稳定关联到同一个人；二是“口径分散、难以复用”，综合成绩、学分完成率等指标固化在报表模板或代码中，口径调整需要改程序、重跑报表；三是“画像缺失、指导粗放”，学校掌握大量过程数据，却缺少面向学生个体的能力画像，就业指导依赖经验与问卷；四是“服务缺失、重复建设”，数据多以报表输出，新应用重复对接，且缺少统一的授权与审计机制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为此，本项目拟建设一个面向学生成长与职业发展的数据中台：向下统一接入并治理教务、科研、实践三类数据，向上以画像、分析、推荐与数据服务支撑学生、辅导员、院系与就业指导中心四类用户，实现“一次治理、多处复用”。</w:t>
      </w:r>
    </w:p>
    <w:p>
      <w:pPr>
        <w:pStyle w:val="Heading3"/>
      </w:pPr>
      <w:r>
        <w:t>1.1.2  建设目标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项目总目标是以“学生”为唯一主体、以“指标口径可配置”为核心、以“数据服务”为出口，具体分解为 6 项可度量目标（表 1‑1）。</w:t>
      </w:r>
    </w:p>
    <w:p>
      <w:pPr>
        <w:keepNext/>
        <w:spacing w:before="120" w:after="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表 1‑1  建设目标与度量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907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1928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子目标</w:t>
            </w:r>
          </w:p>
        </w:tc>
        <w:tc>
          <w:tcPr>
            <w:tcW w:type="dxa" w:w="6009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度量标准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G1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数据统一</w:t>
            </w:r>
          </w:p>
        </w:tc>
        <w:tc>
          <w:tcPr>
            <w:tcW w:type="dxa" w:w="600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接入教务、科研、实践 3 类数据源，学生主数据覆盖不低于 98% 的在校生，实现“一人一档”。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G2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口径可配</w:t>
            </w:r>
          </w:p>
        </w:tc>
        <w:tc>
          <w:tcPr>
            <w:tcW w:type="dxa" w:w="600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指标口径、权重与统计周期配置化管理，支持不少于 12 项核心指标，口径变更无需修改代码。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G3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画像可解释</w:t>
            </w:r>
          </w:p>
        </w:tc>
        <w:tc>
          <w:tcPr>
            <w:tcW w:type="dxa" w:w="600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形成“指标—标签—画像”三层结构，每个标签均可回溯到计算口径与来源数据。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G4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服务可开放</w:t>
            </w:r>
          </w:p>
        </w:tc>
        <w:tc>
          <w:tcPr>
            <w:tcW w:type="dxa" w:w="600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画像查询、群体统计等能力封装为不少于 6 个数据服务 API，支持授权、限流与版本管理。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G5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权限可管控</w:t>
            </w:r>
          </w:p>
        </w:tc>
        <w:tc>
          <w:tcPr>
            <w:tcW w:type="dxa" w:w="600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角色权限与数据范围双重校验，敏感字段全部脱敏，关键操作全程留痕。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G6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过程可追溯</w:t>
            </w:r>
          </w:p>
        </w:tc>
        <w:tc>
          <w:tcPr>
            <w:tcW w:type="dxa" w:w="6009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全过程使用 Git 管理，4 个 Sprint 均交付可运行增量，提交记录与迭代计划一一对应。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pStyle w:val="Heading3"/>
      </w:pPr>
      <w:r>
        <w:t>1.1.3  项目范围与约束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/>
          <w:sz w:val="24"/>
        </w:rPr>
        <w:t>本期范围。</w:t>
      </w:r>
      <w:r>
        <w:rPr>
          <w:rFonts w:ascii="Times New Roman" w:hAnsi="Times New Roman" w:eastAsia="宋体"/>
          <w:b w:val="0"/>
          <w:sz w:val="24"/>
        </w:rPr>
        <w:t>教务（成绩、学籍）、科研（项目、论文）、实践（实习、竞赛）三类数据源的接入与稽核；数据清洗、主数据归并、质量规则、指标口径配置与指标重算；标签体系、画像计算与标签依据；班级看板、预警处置与干预跟踪；岗位能力库、匹配推荐与推荐解释；数据服务发布、授权审批、脱敏与审计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/>
          <w:sz w:val="24"/>
        </w:rPr>
        <w:t>不在本期范围。</w:t>
      </w:r>
      <w:r>
        <w:rPr>
          <w:rFonts w:ascii="Times New Roman" w:hAnsi="Times New Roman" w:eastAsia="宋体"/>
          <w:b w:val="0"/>
          <w:sz w:val="24"/>
        </w:rPr>
        <w:t>与真实教务、科研系统的生产级对接（以样例文件与模拟接口代替）、移动端原生 App、机器学习推荐与学业预测模型、校级数据仓库等基础设施。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/>
          <w:sz w:val="24"/>
        </w:rPr>
        <w:t>约束与假设。</w:t>
      </w:r>
      <w:r>
        <w:rPr>
          <w:rFonts w:ascii="Times New Roman" w:hAnsi="Times New Roman" w:eastAsia="宋体"/>
          <w:b w:val="0"/>
          <w:sz w:val="24"/>
        </w:rPr>
        <w:t>开发周期 8 周，团队 5 人，每人每周投入不超过 12 小时；全部数据为脱敏后的样例数据；数据源方能够提供字段说明与样例文件；系统部署在校内测试服务器上，不要求公网访问。</w:t>
      </w:r>
    </w:p>
    <w:p>
      <w:pPr>
        <w:pStyle w:val="Heading2"/>
      </w:pPr>
      <w:r>
        <w:t>1.2  迭代规划</w:t>
      </w:r>
    </w:p>
    <w:p>
      <w:pPr>
        <w:pStyle w:val="Heading3"/>
      </w:pPr>
      <w:r>
        <w:t>1.2.1  用户故事与故事地图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需求拆解采用“愿景—角色—活动—故事”四步法：先明确产品愿景与边界，再识别角色，按角色梳理其完成目标的活动顺序，最后把每个活动拆成可独立交付的用户故事。故事统一采用“作为〈角色〉，我希望〈目标〉，以便〈价值〉”的卡片格式，用 INVEST 原则检查质量；规模采用斐波那契故事点（1、2、3、5、8）估算，优先级采用 MoSCoW 方法简化为“必须（M）／应该（S）／可以（C）”三档；每个故事进入开发前补充 Given/When/Then 形式的验收标准。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用户故事地图以用户活动的时间顺序为横轴、以交付批次与优先级为纵轴，同时回答“用户要做什么”和“先做什么”。学生与管理者的活动顺序差异较大，分别绘制：图 1‑1 为学生视角，图 1‑2 为管理与服务视角。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792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_stud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92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1‑1  用户故事地图（学生视角）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学生视角的活动链为“入学建档—查学业—参与科研实践—看能力画像—获职业推荐—毕业去向”。Sprint 1 先交付个人档案与综合成绩，Sprint 2 交付能力雷达图与标签依据，Sprint 3 交付推荐岗位、理由与反馈，Sprint 4 交付画像报告；同专业对比、课程达成度等作为后续版本。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4347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_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4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1‑2  用户故事地图（管理与服务视角）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管理视角的骨干是“数据接入—数据治理—指标与规则—群体分析与预警—服务开放—就业运营”。这张图揭示了一条硬约束：管理侧处于上游，学生的画像与推荐依赖上游的数据与指标，因此迭代必须先打通数据链路，再做画像分析，最后做服务开放。故事地图同时用于范围管理：新增需求必须落到某一列之下，切分线以上的故事才进入当前版本，同一列内越靠上越先做。</w:t>
      </w:r>
    </w:p>
    <w:p>
      <w:pPr>
        <w:pStyle w:val="Heading3"/>
      </w:pPr>
      <w:r>
        <w:t>1.2.2  产品 Backlog 与优先级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依据故事地图共识别出 34 个用户故事，估算 135 个故事点，其中“必须”21 个、“应该”9 个、“可以”4 个。故事按 6 个模块分布：数据采集与接入 4 个、数据治理与标准化 5 个、学生画像7 个、学业分析与预警 5 个、职业发展推荐 5 个、数据服务与权限 8 个。Backlog 遵循三条规则：所有需求变更只通过 Backlog 体现；新增、拆分与优先级调整记录原因；Sprint 内冻结范围，紧急变更走评审流程。</w:t>
      </w:r>
    </w:p>
    <w:p>
      <w:pPr>
        <w:pStyle w:val="Heading3"/>
      </w:pPr>
      <w:r>
        <w:t>1.2.3  Sprint 划分与交付增量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按照“每个迭代结束都能演示可工作的软件增量”的原则，将 8 周划分为 4 个 Sprint，每个 2 周，结束时打 Git 标签并在评审会上演示；任务在 GitHub Projects 看板上管理。各迭代的目标、交付故事与演示场景见表 1‑2。</w:t>
      </w:r>
    </w:p>
    <w:p>
      <w:pPr>
        <w:keepNext/>
        <w:spacing w:before="120" w:after="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表 1‑2  迭代计划与交付增量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191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迭代</w:t>
            </w:r>
          </w:p>
        </w:tc>
        <w:tc>
          <w:tcPr>
            <w:tcW w:type="dxa" w:w="1361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周期</w:t>
            </w:r>
          </w:p>
        </w:tc>
        <w:tc>
          <w:tcPr>
            <w:tcW w:type="dxa" w:w="2268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核心目标</w:t>
            </w:r>
          </w:p>
        </w:tc>
        <w:tc>
          <w:tcPr>
            <w:tcW w:type="dxa" w:w="1871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交付故事（规模）</w:t>
            </w:r>
          </w:p>
        </w:tc>
        <w:tc>
          <w:tcPr>
            <w:tcW w:type="dxa" w:w="2154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演示场景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Sprint 1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1—2 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打通数据链路，建立最小闭环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US-01～US-08（8 个 / 29 点）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导入成绩→合并主数据→学生查看综合成绩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Sprint 2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3—4 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从数据到画像，从画像到洞察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US-09～US-17（9 个 / 40 点）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辅导员在看板发现预警学生，完成认领、谈话与状态更新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Sprint 3</w:t>
            </w:r>
          </w:p>
        </w:tc>
        <w:tc>
          <w:tcPr>
            <w:tcW w:type="dxa" w:w="136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5—6 周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从内部系统到数据服务</w:t>
            </w:r>
          </w:p>
        </w:tc>
        <w:tc>
          <w:tcPr>
            <w:tcW w:type="dxa" w:w="187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US-18～US-25（8 个 / 36 点）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学生查看推荐与理由；第三方凭令牌调用画像 API 返回脱敏数据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Sprint 4</w:t>
            </w:r>
          </w:p>
        </w:tc>
        <w:tc>
          <w:tcPr>
            <w:tcW w:type="dxa" w:w="136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7—8 周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补齐数据源，完善安全与质量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US-26～US-34（9 个 / 30 点）</w:t>
            </w:r>
          </w:p>
        </w:tc>
        <w:tc>
          <w:tcPr>
            <w:tcW w:type="dxa" w:w="215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三源接入→画像→推荐→服务调用，展示审计与脱敏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其中 Sprint 1 刻意只做“数据导入—主数据合并—查看成绩”这条最窄链路，目的是尽早打通端到端流程、暴露数据质量问题，避免“界面漂亮但没有可信数据”的返工。</w:t>
      </w:r>
    </w:p>
    <w:p>
      <w:pPr>
        <w:pStyle w:val="Heading1"/>
        <w:pageBreakBefore/>
      </w:pPr>
      <w:r>
        <w:t>2  系统用例分析</w:t>
      </w:r>
    </w:p>
    <w:p>
      <w:pPr>
        <w:pStyle w:val="Heading2"/>
      </w:pPr>
      <w:r>
        <w:t>2.1  角色分析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角色识别从三个角度展开：谁使用系统完成业务、谁维护系统与数据、谁与系统发生数据交互。据此识别出 8 个角色，其中 6 个人类角色、2 个系统角色（表 1‑3）。</w:t>
      </w:r>
    </w:p>
    <w:p>
      <w:pPr>
        <w:keepNext/>
        <w:spacing w:before="120" w:after="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表 1‑3  角色列表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907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type="dxa" w:w="1928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角色名</w:t>
            </w:r>
          </w:p>
        </w:tc>
        <w:tc>
          <w:tcPr>
            <w:tcW w:type="dxa" w:w="2268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所属部门</w:t>
            </w:r>
          </w:p>
        </w:tc>
        <w:tc>
          <w:tcPr>
            <w:tcW w:type="dxa" w:w="3742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简要描述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AC-01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各学院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查询个人档案、成绩与能力画像，获取职业发展推荐并反馈，是系统的主要数据主体。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AC-02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辅导员（班导师）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学院学生工作办公室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查看所辖班级的学业看板与群体分析，接收并处置学业预警，跟踪帮扶过程。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AC-03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院系管理员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学院教学办公室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查看本学院群体分析与学业趋势，申请并管理部门数据服务授权。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AC-04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就业指导中心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学校就业指导中心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维护岗位与能力要求库、配置推荐策略、分析毕业生就业去向。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AC-05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数据管理员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信息化建设与管理中心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负责数据源接入、数据治理、指标口径与标签维护、数据服务发布。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AC-06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系统管理员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信息化建设与管理中心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负责用户角色权限、数据脱敏策略、审计日志与系统运行管理。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AC-07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外部业务系统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教务、科研、实践平台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按接口规范向中台推送增量数据，是数据接入的外部触发者。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AC-08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第三方应用</w:t>
            </w:r>
          </w:p>
        </w:tc>
        <w:tc>
          <w:tcPr>
            <w:tcW w:type="dxa" w:w="226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校园门户、就业平台等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凭授权令牌调用数据服务 API，获取画像与统计类数据。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角色划分有两点考虑：其一，数据管理员对数据内容负责（接入、治理、口径、发布），系统管理员对访问控制负责（用户、角色、脱敏、审计），二者职责分离；其二，学生、辅导员、院系管理员、就业指导中心在权限上呈“个人—班级—学院—全校”的层级，通过角色的数据范围属性实现，而非角色继承。</w:t>
      </w:r>
    </w:p>
    <w:p>
      <w:pPr>
        <w:pStyle w:val="Heading2"/>
      </w:pPr>
      <w:r>
        <w:t>2.2  用例分析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用例识别遵循四条规则：只保留可独立交付的基本用例，不按界面元素细分；采用动宾结构命名；一个用例对应一个可观测的用户价值；登录、鉴权等跨模块公共行为统一归入数据服务与权限管理模块。据此共识别出 43 个基本用例，按 6 个功能模块组织（表 1‑4）。</w:t>
      </w:r>
    </w:p>
    <w:p>
      <w:pPr>
        <w:keepNext/>
        <w:spacing w:before="120" w:after="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表 1‑4  系统用例列表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1247"/>
            <w:shd w:val="clear" w:color="auto" w:fill="DCE6F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编号</w:t>
            </w:r>
          </w:p>
        </w:tc>
        <w:tc>
          <w:tcPr>
            <w:tcW w:type="dxa" w:w="2098"/>
            <w:shd w:val="clear" w:color="auto" w:fill="DCE6F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用例名称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参与者</w:t>
            </w:r>
          </w:p>
        </w:tc>
        <w:tc>
          <w:tcPr>
            <w:tcW w:type="dxa" w:w="737"/>
            <w:shd w:val="clear" w:color="auto" w:fill="DCE6F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优先级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描述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UC-DC-01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登记数据源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登记数据源的名称、类型、接入方式与责任人。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UC-DC-02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配置导入任务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配置字段映射、校验规则、导入方式与执行周期。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UC-DC-03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执行导入任务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按配置执行导入，校验数据并写入原始记录库。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UC-DC-04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查看导入结果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查看任务状态、成功与失败条数及失败原因。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UC-DC-05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接收外部数据推送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外部业务系统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接收教务等系统推送的增量数据并返回结果。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UC-DC-06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调度采集任务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设置采集频率、并发度与失败重试策略。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UC-DC-07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维护字段映射规则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维护源字段与标准字段的对应关系及转换表达式。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UC-DG-01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配置数据质量规则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定义完整性、唯一性、值域与一致性规则及处置级别。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UC-DG-02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执行数据清洗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清洗并标准化学号、课程名、日期等字段。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UC-DG-03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合并学生主数据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按学号与身份证号归并多源记录，生成唯一主数据。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UC-DG-04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配置指标口径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定义指标公式、权重、统计周期与生效版本。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UC-DG-05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查看数据质量报告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数据管理员、院系管理员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查看各数据源质量得分、问题分布与趋势。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UC-DG-06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处理异常数据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对校验不通过的数据修正、忽略或退回来源系统。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UC-DG-07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触发指标重算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口径变更后按范围重算历史指标值，保留旧版本。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UC-SP-01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维护标签体系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定义画像维度、标签、取值范围与计算依赖。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UC-SP-02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计算画像指标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按周期批量计算指标与标签，生成画像快照。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UC-SP-03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查看个人画像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查看基本信息、综合成绩、能力雷达图与标签列表。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UC-SP-04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查看标签依据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查看标签的计算口径、来源数据与计算时间。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UC-SP-05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对比画像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学生、辅导员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与同专业、同年级均值或指定学生对比。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UC-SP-06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导出画像报告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生成个人成长画像 PDF 报告并下载。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UC-SP-07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查看学生画像详情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辅导员、院系管理员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在数据范围内查询所辖学生的画像与指标明细。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UC-AA-01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查看学业看板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辅导员、院系管理员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查看班级、专业、年级的学业指标概览与分布。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UC-AA-02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群体分析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辅导员、院系管理员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按班级、专业、年级、课程等维度下钻对比。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UC-AA-03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配置预警规则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辅导员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设置触发条件、阈值、等级与通知对象。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UC-AA-04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生成预警名单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辅导员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按规则周期性计算并生成分级预警名单。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UC-AA-05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处置预警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辅导员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认领预警，记录谈话与帮扶措施，更新状态。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UC-AA-06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跟踪干预记录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辅导员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查看干预历史与效果，对超时预警进行提醒。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UC-AA-07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分析学业趋势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院系管理员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分析多学期指标趋势及专业间对比。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UC-CD-01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维护岗位能力库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就业指导中心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维护岗位、行业、能力要求项及其权重。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UC-CD-02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配置推荐策略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就业指导中心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设置匹配算法、过滤条件与各维度权重。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UC-CD-03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查看推荐岗位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按匹配度展示推荐岗位，支持行业与匹配度筛选。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UC-CD-04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查看推荐理由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展示能力与岗位要求的匹配明细及能力差距。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UC-CD-05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反馈推荐结果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学生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标记“感兴趣/不感兴趣”并填写原因。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UC-CD-06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分析就业去向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就业指导中心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统计去向分布、行业分布与历年趋势。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UC-CD-07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发布岗位信息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就业指导中心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发布、修改与下架校招及实习岗位。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UC-DS-01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发布数据服务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将画像、统计能力封装为 API，配置范围、限流与版本。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UC-DS-02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申请服务授权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院系管理员、第三方应用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提交调用申请，说明用途、数据范围与频次。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UC-DS-03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审批服务授权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审批申请，设置有效期、配额与脱敏级别。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UC-DS-04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调用数据服务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第三方应用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凭令牌调用 API，按权限与脱敏规则返回数据。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UC-DS-05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查看调用审计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查询调用方、频次、返回码与异常调用。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UC-DS-06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管理用户与角色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维护用户、角色、功能权限与数据范围，完成鉴权。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UC-DS-07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配置脱敏规则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配置敏感字段的脱敏算法与展示范围。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UC-DS-08</w:t>
            </w:r>
          </w:p>
        </w:tc>
        <w:tc>
          <w:tcPr>
            <w:tcW w:type="dxa" w:w="209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查看操作日志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系统管理员</w:t>
            </w:r>
          </w:p>
        </w:tc>
        <w:tc>
          <w:tcPr>
            <w:tcW w:type="dxa" w:w="73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按时间、操作人、模块检索关键操作日志。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6 个模块的用例数为 7～8 个。每个模块绘制一张用例图（图 1‑3、1‑5、1‑6、1‑7、1‑9、1‑10）；数据导入与稽核、学业预警处置、数据服务授权与调用三处事件流分支最多且存在失败回退，各配一张活动图（图 1‑4、图 1‑8、图 1‑11）。</w:t>
      </w:r>
    </w:p>
    <w:p>
      <w:pPr>
        <w:pStyle w:val="Heading2"/>
      </w:pPr>
      <w:r>
        <w:t>2.3  用例建模</w:t>
      </w:r>
    </w:p>
    <w:p>
      <w:pPr>
        <w:pStyle w:val="Heading3"/>
      </w:pPr>
      <w:r>
        <w:t>2.3.1  建模约定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为避免“一张图塞下整个系统”，按模块分图：一个功能模块一张用例图，图内用例不超过 9 个，模块边界即系统边界；参与者置于边界之外，跨图出现的公共参与者含义与权限保持一致；include 仅用于必然发生的子流程，extend 仅用于可选增强，不用 include 表达调用或前提关系；事件流分支多、存在失败回退的用例另画活动图。用例图回答“谁做什么”，活动图回答“怎么做”。</w:t>
      </w:r>
    </w:p>
    <w:p>
      <w:pPr>
        <w:pStyle w:val="Heading3"/>
      </w:pPr>
      <w:r>
        <w:t>2.3.2  数据采集与接入模块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数据采集与接入模块面向数据管理员与外部业务系统，覆盖“登记数据源—配置任务—执行导入—查看结果”的链路。图中“配置导入任务”包含“维护字段映射规则”，“调度采集任务”包含“执行导入任务”，说明定时采集只是执行导入的一种触发方式，不是独立业务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6000" cy="332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m1_d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32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1‑3  数据采集与接入模块用例图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71999" cy="5072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m1_im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507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1‑4  活动图：数据导入与稽核（UC-DC-03）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导入活动图表达两类异常：配置不完整时任务置为“待配置”而不执行；部分记录校验失败时任务标记“部分成功”并保留失败明细。重试只处理失败记录，由幂等设计保证不重复入库。</w:t>
      </w:r>
    </w:p>
    <w:p>
      <w:pPr>
        <w:pStyle w:val="Heading3"/>
      </w:pPr>
      <w:r>
        <w:t>2.3.3  数据治理与标准化模块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数据治理与标准化模块要解决“多源数据如何变成可信的同一份数据”。“合并学生主数据”包含“执行数据清洗”，归并前必须先完成标准化；“配置指标口径”与“触发指标重算”之间是前提关系而非包含关系，重算只能基于已生效的口径版本，因此图中不画包含箭头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6000" cy="33279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m2_d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32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1‑5  数据治理与标准化模块用例图</w:t>
      </w:r>
    </w:p>
    <w:p>
      <w:pPr>
        <w:pStyle w:val="Heading3"/>
      </w:pPr>
      <w:r>
        <w:t>2.3.4  学生画像模块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学生画像模块同时服务学生、辅导员与院系。学生查看个人画像时可选择性查看标签依据（extend），体现“可解释”原则；画像计算以标签体系已维护、指标口径已生效为前提；辅导员与院系查看他人画像受数据范围限制，因此与学生查看个人画像分开建模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6000" cy="3327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m3_s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32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1‑6  学生画像模块用例图</w:t>
      </w:r>
    </w:p>
    <w:p>
      <w:pPr>
        <w:pStyle w:val="Heading3"/>
      </w:pPr>
      <w:r>
        <w:t>2.3.5  学业分析与预警模块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学业分析与预警模块围绕“发现—处置—跟踪”闭环组织：预警名单按已配置的规则周期生成（规则是前提，不是包含），处置预警要求填写干预措施，跟踪干预记录用于查询历史并对超时未处置的预警进行提醒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6000" cy="33279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m4_a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32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1‑7  学业分析与预警模块用例图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5987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m4_ale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987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1‑8  活动图：学业预警触发与处置（UC-AA-04、UC-AA-05）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预警由系统定时计算，命中规则后生成分级记录并推送；辅导员认领、谈话、记录措施后更新状态，需要持续跟踪的进入提醒循环，直至关闭。未填写干预措施不得关闭，保证闭环可追溯。</w:t>
      </w:r>
    </w:p>
    <w:p>
      <w:pPr>
        <w:pStyle w:val="Heading3"/>
      </w:pPr>
      <w:r>
        <w:t>2.3.6  职业发展推荐模块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职业发展推荐模块分为岗位侧与学生侧：就业指导中心维护岗位与能力要求、配置推荐策略；学生查看推荐岗位，并可展开推荐理由（extend）与反馈结果。推荐以策略已配置为前提，图中不用包含关系表达；推荐理由作为扩展用例，体现“推荐必须可解释”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6000" cy="33279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m5_c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32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1‑9  职业发展推荐模块用例图</w:t>
      </w:r>
    </w:p>
    <w:p>
      <w:pPr>
        <w:pStyle w:val="Heading3"/>
      </w:pPr>
      <w:r>
        <w:t>2.3.7  数据服务与权限管理模块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数据服务与权限管理模块承担“出口”与“闸门”两个职责：调用数据服务以已获授权且在有效期内为前提，未授权不可调用；系统管理员负责的审计、脱敏与日志，与数据管理员的发布、审批相互独立，形成职责分离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6000" cy="36740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_m6_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67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1‑10  数据服务与权限管理模块用例图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44086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m6_servi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0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1‑11  活动图：数据服务授权与调用（UC-DS-02～UC-DS-04）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该流程体现“先授权、后调用”：申请、审批、发令牌、校验、脱敏返回、写审计日志，任一环节失败都记录原因，便于追责。</w:t>
      </w:r>
    </w:p>
    <w:p>
      <w:pPr>
        <w:pStyle w:val="Heading2"/>
      </w:pPr>
      <w:r>
        <w:t>2.4  数据建模</w:t>
      </w:r>
    </w:p>
    <w:p>
      <w:pPr>
        <w:pStyle w:val="Heading3"/>
      </w:pPr>
      <w:r>
        <w:t>2.4.1  名词短语法与 CRC 分析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采用名词短语法，从业务描述与用例描述中抽取名词短语，逐条判定：能独立存在、有生命周期、被多个用例共享的提升为类；依附于某类、只作取值的降为属性；抽象领域名称不建类。判定结果见表 1‑5，最终形成 23 个分析类。</w:t>
      </w:r>
    </w:p>
    <w:p>
      <w:pPr>
        <w:keepNext/>
        <w:spacing w:before="120" w:after="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表 1‑5  名词短语法分析（23 个分析类）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候选名词</w:t>
            </w:r>
          </w:p>
        </w:tc>
        <w:tc>
          <w:tcPr>
            <w:tcW w:type="dxa" w:w="1247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  <w:tc>
          <w:tcPr>
            <w:tcW w:type="dxa" w:w="4649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系统的核心数据主体，具有唯一学号，是画像、预警、推荐的关联中心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专业、班级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组织维度，参与数据权限划分与群体分析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数据源、导入任务、原始记录、字段映射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数据接入链路的四类对象，支撑导入与追溯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数据质量规则、指标口径、指标值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治理与指标计算；指标口径是“口径可配”的载体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标签、画像快照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画像的可解释标签与周期快照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预警规则、预警记录、干预记录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预警“发现—处置—跟踪”闭环的三类对象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岗位、能力项、推荐记录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岗位侧输入、能力维度与推荐结果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数据服务、授权申请、调用日志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服务发布、授权审批与调用审计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用户、角色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访问主体与权限集合，角色含数据范围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成长、职业发展、质量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非类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抽象概念，分别落到指标值/画像快照、岗位/推荐记录、数据质量规则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综合成绩、学期、匹配度、权限范围、院系</w:t>
            </w:r>
          </w:p>
        </w:tc>
        <w:tc>
          <w:tcPr>
            <w:tcW w:type="dxa" w:w="124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属性/维度</w:t>
            </w:r>
          </w:p>
        </w:tc>
        <w:tc>
          <w:tcPr>
            <w:tcW w:type="dxa" w:w="4649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分别为指标取值、统计周期、推荐记录属性、角色属性与组织维度，不单独建类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其中“学生”“指标口径”“画像快照”等 6 个核心类进一步做 CRC 分析（表 1‑6），明确职责边界与协作者，避免出现“上帝类”。</w:t>
      </w:r>
    </w:p>
    <w:p>
      <w:pPr>
        <w:keepNext/>
        <w:spacing w:before="120" w:after="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表 1‑6  CRC 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类名</w:t>
            </w:r>
          </w:p>
        </w:tc>
        <w:tc>
          <w:tcPr>
            <w:tcW w:type="dxa" w:w="4195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职责</w:t>
            </w:r>
          </w:p>
        </w:tc>
        <w:tc>
          <w:tcPr>
            <w:tcW w:type="dxa" w:w="3175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协作者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维护唯一身份与组织归属；作为画像、预警、推荐的主体引用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专业、班级、指标值、画像快照、预警记录、推荐记录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指标口径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定义公式、权重、周期与版本；控制口径变更的影响范围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指标值、标签、画像快照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画像快照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聚合某周期的指标值与标签，形成可查询、可对比的画像结果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学生、指标值、标签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预警记录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记录触发条件、等级与处置状态；驱动干预流程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预警规则、学生、干预记录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岗位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维护岗位信息与能力要求；为推荐提供岗位侧输入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能力项、推荐记录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数据服务</w:t>
            </w:r>
          </w:p>
        </w:tc>
        <w:tc>
          <w:tcPr>
            <w:tcW w:type="dxa" w:w="4195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描述对外 API 的数据范围、版本与限流；约束调用方可见的数据</w:t>
            </w:r>
          </w:p>
        </w:tc>
        <w:tc>
          <w:tcPr>
            <w:tcW w:type="dxa" w:w="3175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授权申请、调用日志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从 CRC 可见：学生只负责身份与组织归属，不承担计算职责；指标口径只管“怎么算”；画像快照只负责“算完存什么”。数据与规则分离，正是 G2“口径可配”在模型层面的落地。</w:t>
      </w:r>
    </w:p>
    <w:p>
      <w:pPr>
        <w:pStyle w:val="Heading3"/>
        <w:pageBreakBefore/>
      </w:pPr>
      <w:r>
        <w:t>2.4.2  域模型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将 23 个分析类按业务内聚性划分为 7 个包：组织与人员、数据接入、数据治理、学生画像、分析预警、职业推荐、数据服务。为控制图幅，域模型分两张图：图 1‑12 为核心域，图 1‑13 为支撑域；组织与人员、数据治理两个包跨两图呈现，仅为版面可读性拆分。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50328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co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032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1‑12  域模型（核心域）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核心域以学生为聚合中心：学生拥有指标值，指标值支撑标签，标签汇总为画像快照；预警规则产生预警记录，预警记录对应干预记录；岗位通过能力项与推荐记录关联，为推荐提供可解释的结构。</w:t>
      </w:r>
    </w:p>
    <w:p>
      <w:pPr>
        <w:keepNext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76000" cy="41051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supp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410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图 1‑13  域模型（支撑域）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支撑域围绕“数据从哪来、由谁管、怎么出去”组织：数据源发起导入任务，导入任务产生原始记录，质量规则校验原始记录；数据服务被授权申请引用，授权申请产生调用日志；用户与角色构成访问控制基础。</w:t>
      </w:r>
    </w:p>
    <w:p>
      <w:pPr>
        <w:pStyle w:val="Heading1"/>
        <w:pageBreakBefore/>
      </w:pPr>
      <w:r>
        <w:t>3  非功能需求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非功能需求逐条对应可度量的指标，并明确约束的业务模块（表 1‑7）。</w:t>
      </w:r>
    </w:p>
    <w:p>
      <w:pPr>
        <w:keepNext/>
        <w:spacing w:before="120" w:after="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表 1‑7  非功能需求清单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rPr>
          <w:tblHeader w:val="true"/>
        </w:trPr>
        <w:tc>
          <w:tcPr>
            <w:tcW w:type="dxa" w:w="964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编号</w:t>
            </w:r>
          </w:p>
        </w:tc>
        <w:tc>
          <w:tcPr>
            <w:tcW w:type="dxa" w:w="1304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类别</w:t>
            </w:r>
          </w:p>
        </w:tc>
        <w:tc>
          <w:tcPr>
            <w:tcW w:type="dxa" w:w="3288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需求描述</w:t>
            </w:r>
          </w:p>
        </w:tc>
        <w:tc>
          <w:tcPr>
            <w:tcW w:type="dxa" w:w="2211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度量指标</w:t>
            </w:r>
          </w:p>
        </w:tc>
        <w:tc>
          <w:tcPr>
            <w:tcW w:type="dxa" w:w="1077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相关模块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NFR-01</w:t>
            </w:r>
          </w:p>
        </w:tc>
        <w:tc>
          <w:tcPr>
            <w:tcW w:type="dxa" w:w="130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性能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画像查询、看板加载应在 2 秒内返回；万人级指标批量计算应在 30 分钟内完成。</w:t>
            </w:r>
          </w:p>
        </w:tc>
        <w:tc>
          <w:tcPr>
            <w:tcW w:type="dxa" w:w="221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画像查询 P95 ≤ 2s；看板首屏 ≤ 3s；批量计算 10000 人 ≤ 30min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M3、M4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NFR-02</w:t>
            </w:r>
          </w:p>
        </w:tc>
        <w:tc>
          <w:tcPr>
            <w:tcW w:type="dxa" w:w="130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安全与隐私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学号、身份证号、成绩、联系方式等敏感字段必须脱敏展示；访问须经角色与数据范围双重校验。</w:t>
            </w:r>
          </w:p>
        </w:tc>
        <w:tc>
          <w:tcPr>
            <w:tcW w:type="dxa" w:w="221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敏感字段 100% 脱敏；越权访问拦截率 100%；关键操作留痕可查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NFR-03</w:t>
            </w:r>
          </w:p>
        </w:tc>
        <w:tc>
          <w:tcPr>
            <w:tcW w:type="dxa" w:w="130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数据质量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多源数据须统一到学生主数据；关键指标口径全局唯一，不允许同一指标多种算法并存。</w:t>
            </w:r>
          </w:p>
        </w:tc>
        <w:tc>
          <w:tcPr>
            <w:tcW w:type="dxa" w:w="221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主数据覆盖率 ≥ 98%；核心指标口径唯一性 100%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NFR-04</w:t>
            </w:r>
          </w:p>
        </w:tc>
        <w:tc>
          <w:tcPr>
            <w:tcW w:type="dxa" w:w="130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可靠性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导入与计算任务支持失败重试且幂等，重试不得产生重复数据；任务异常须可告警。</w:t>
            </w:r>
          </w:p>
        </w:tc>
        <w:tc>
          <w:tcPr>
            <w:tcW w:type="dxa" w:w="221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任务重试幂等 100%；数据重复率 0；系统可用性 ≥ 99%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M1、M3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NFR-05</w:t>
            </w:r>
          </w:p>
        </w:tc>
        <w:tc>
          <w:tcPr>
            <w:tcW w:type="dxa" w:w="130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可扩展性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新增数据源、新增指标应以配置方式完成，不修改代码；数据服务 API 需版本化管理。</w:t>
            </w:r>
          </w:p>
        </w:tc>
        <w:tc>
          <w:tcPr>
            <w:tcW w:type="dxa" w:w="221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新增 1 个数据源 ≤ 0.5 人日；新增 1 个指标无需发版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M1、M2、M6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NFR-06</w:t>
            </w:r>
          </w:p>
        </w:tc>
        <w:tc>
          <w:tcPr>
            <w:tcW w:type="dxa" w:w="130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易用性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学生端 3 次点击内到达个人画像；辅导员看板支持钻取；界面适配主流浏览器。</w:t>
            </w:r>
          </w:p>
        </w:tc>
        <w:tc>
          <w:tcPr>
            <w:tcW w:type="dxa" w:w="221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任务完成率 ≥ 90%；点击深度 ≤ 3 层；兼容 Chrome/Edge 最新两个大版本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M3、M4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NFR-07</w:t>
            </w:r>
          </w:p>
        </w:tc>
        <w:tc>
          <w:tcPr>
            <w:tcW w:type="dxa" w:w="130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合规性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遵循《个人信息保护法》与教育数据管理相关规定，坚持最小必要原则，数据共享须审批。</w:t>
            </w:r>
          </w:p>
        </w:tc>
        <w:tc>
          <w:tcPr>
            <w:tcW w:type="dxa" w:w="221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授权记录完整率 100%；共享均经审批；留存期可配置</w:t>
            </w:r>
          </w:p>
        </w:tc>
        <w:tc>
          <w:tcPr>
            <w:tcW w:type="dxa" w:w="1077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NFR-08</w:t>
            </w:r>
          </w:p>
        </w:tc>
        <w:tc>
          <w:tcPr>
            <w:tcW w:type="dxa" w:w="130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可维护性</w:t>
            </w:r>
          </w:p>
        </w:tc>
        <w:tc>
          <w:tcPr>
            <w:tcW w:type="dxa" w:w="328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采用分层架构，模块之间通过接口解耦；日志分级（DEBUG/INFO/WARN/ERROR）。</w:t>
            </w:r>
          </w:p>
        </w:tc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模块间无跨层直连；关键链路日志覆盖率 100%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全部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上述指标将在实验四以三种方式验证：性能类通过接口压测与批量计算计时；安全与合规类通过越权访问测试、脱敏字段抽检与日志核查；数据质量类通过质量报告与抽样比对。</w:t>
      </w:r>
    </w:p>
    <w:p>
      <w:pPr>
        <w:pStyle w:val="Heading1"/>
        <w:pageBreakBefore/>
      </w:pPr>
      <w:r>
        <w:t>附录 A  AI 使用说明</w:t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按实验指导书要求，现将 AI 工具使用情况说明如下。</w:t>
      </w:r>
    </w:p>
    <w:p>
      <w:pPr>
        <w:keepNext/>
        <w:spacing w:before="120" w:after="60" w:line="240" w:lineRule="auto"/>
        <w:jc w:val="center"/>
      </w:pPr>
      <w:r>
        <w:rPr>
          <w:rFonts w:ascii="Times New Roman" w:hAnsi="Times New Roman" w:eastAsia="黑体"/>
          <w:b/>
          <w:sz w:val="20"/>
        </w:rPr>
        <w:t>表 A‑1  AI 使用情况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70" w:type="dxa"/>
          <w:right w:w="70" w:type="dxa"/>
        </w:tblCellMar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587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工具</w:t>
            </w:r>
          </w:p>
        </w:tc>
        <w:tc>
          <w:tcPr>
            <w:tcW w:type="dxa" w:w="1701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使用环节</w:t>
            </w:r>
          </w:p>
        </w:tc>
        <w:tc>
          <w:tcPr>
            <w:tcW w:type="dxa" w:w="2948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生成内容</w:t>
            </w:r>
          </w:p>
        </w:tc>
        <w:tc>
          <w:tcPr>
            <w:tcW w:type="dxa" w:w="2608"/>
            <w:shd w:val="clear" w:color="auto" w:fill="DCE6F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人工审查与修改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编程助手（ZCode）</w:t>
            </w:r>
          </w:p>
        </w:tc>
        <w:tc>
          <w:tcPr>
            <w:tcW w:type="dxa" w:w="170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需求分析与文档撰写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依据需求基线与用例清单生成章节初稿、表格与文字压缩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逐节核对范围、角色、用例与指标口径，删除超纲内容，统一图文表述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编程助手（ZCode）</w:t>
            </w:r>
          </w:p>
        </w:tc>
        <w:tc>
          <w:tcPr>
            <w:tcW w:type="dxa" w:w="170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UML 建模与绘图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生成用例图、活动图、域模型与用户故事地图的绘制脚本及成图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核对 include/extend 语义、参与者与模块边界，修正图文不一致处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 编程助手（ZCode）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排版与图表编号</w:t>
            </w:r>
          </w:p>
        </w:tc>
        <w:tc>
          <w:tcPr>
            <w:tcW w:type="dxa" w:w="294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 Word 排版脚本，统一图号、表号、页眉与页码</w:t>
            </w:r>
          </w:p>
        </w:tc>
        <w:tc>
          <w:tcPr>
            <w:tcW w:type="dxa" w:w="260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检查版式、图表编号与交叉引用，按实验报告样本调整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0" w:line="360" w:lineRule="auto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所有图表的源文件与排版脚本随仓库提交，可复现；AI 生成内容均经人工审查、修改后定稿。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31" w:bottom="1361" w:left="153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b w:val="0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808080"/>
      </w:pBdr>
    </w:pPr>
    <w:r/>
    <w:r>
      <w:rPr>
        <w:rFonts w:ascii="Times New Roman" w:hAnsi="Times New Roman" w:eastAsia="宋体"/>
        <w:b w:val="0"/>
        <w:sz w:val="18"/>
      </w:rPr>
      <w:t>软件工程课程实验 · 实验一　需求分析与迭代规划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 需求分析与迭代规划</dc:title>
  <dc:subject>高校学生成长与职业发展数据中台</dc:subject>
  <dc:creator>第 3 组</dc:creator>
  <cp:keywords/>
  <dc:description>软件工程课程实验·实验一报告（精简版）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