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Macroeconomic Indicators Analysis Dashboard – Insights Report</w:t>
      </w:r>
    </w:p>
    <w:p>
      <w:r>
        <w:rPr>
          <w:b w:val="0"/>
        </w:rPr>
        <w:t>This report summarizes key analytical insights derived from the Macroeconomic Indicators Analysis Dashboard developed in Power BI using historical U.S. economic data sourced from FRED.</w:t>
      </w:r>
    </w:p>
    <w:p>
      <w:pPr>
        <w:pStyle w:val="Heading2"/>
      </w:pPr>
      <w:r>
        <w:t>1. Executive Summary</w:t>
      </w:r>
    </w:p>
    <w:p>
      <w:r>
        <w:t>The dashboard was developed to analyze major U.S. macroeconomic indicators from 2000 to present, including GDP, inflation, unemployment, CPI, and the Federal Funds Rate. The analysis focused on identifying economic cycles, understanding recessionary behavior, evaluating monetary policy trends, and comparing major economic crises such as the 2008 Financial Crisis and the COVID-19 pandemic.</w:t>
      </w:r>
    </w:p>
    <w:p>
      <w:r>
        <w:t>The project combined Power BI dashboard development, Power Query data transformation, DAX calculations, and time-series analysis techniques to deliver an interactive analytical solution for macroeconomic storytelling.</w:t>
      </w:r>
    </w:p>
    <w:p>
      <w:pPr>
        <w:pStyle w:val="Heading2"/>
      </w:pPr>
      <w:r>
        <w:t>2. Key Findings</w:t>
      </w:r>
    </w:p>
    <w:p>
      <w:pPr>
        <w:pStyle w:val="ListBullet"/>
      </w:pPr>
      <w:r>
        <w:t>Inflation experienced its most significant increase during the post-pandemic recovery period, peaking around 2022.</w:t>
      </w:r>
    </w:p>
    <w:p>
      <w:pPr>
        <w:pStyle w:val="ListBullet"/>
      </w:pPr>
      <w:r>
        <w:t>Federal Funds Rate cuts closely aligned with recessionary periods and major economic disruptions.</w:t>
      </w:r>
    </w:p>
    <w:p>
      <w:pPr>
        <w:pStyle w:val="ListBullet"/>
      </w:pPr>
      <w:r>
        <w:t>The COVID-19 pandemic produced one of the sharpest unemployment spikes in the dataset.</w:t>
      </w:r>
    </w:p>
    <w:p>
      <w:pPr>
        <w:pStyle w:val="ListBullet"/>
      </w:pPr>
      <w:r>
        <w:t>GDP recorded its most severe quarterly contraction during the pandemic-related economic slowdown.</w:t>
      </w:r>
    </w:p>
    <w:p>
      <w:pPr>
        <w:pStyle w:val="ListBullet"/>
      </w:pPr>
      <w:r>
        <w:t>The 2008 Financial Crisis demonstrated a slower but more prolonged economic deterioration compared to the COVID-19 economic shock.</w:t>
      </w:r>
    </w:p>
    <w:p>
      <w:pPr>
        <w:pStyle w:val="ListBullet"/>
      </w:pPr>
      <w:r>
        <w:t>Normalized trend analysis improved the ability to compare indicators operating on different scales and frequencies.</w:t>
      </w:r>
    </w:p>
    <w:p>
      <w:pPr>
        <w:pStyle w:val="Heading2"/>
      </w:pPr>
      <w:r>
        <w:t>3. Comparative Crisis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2008 Financial Crisis</w:t>
            </w:r>
          </w:p>
        </w:tc>
        <w:tc>
          <w:tcPr>
            <w:tcW w:type="dxa" w:w="2880"/>
          </w:tcPr>
          <w:p>
            <w:r>
              <w:t>COVID-19 Pandemic</w:t>
            </w:r>
          </w:p>
        </w:tc>
      </w:tr>
      <w:tr>
        <w:tc>
          <w:tcPr>
            <w:tcW w:type="dxa" w:w="2880"/>
          </w:tcPr>
          <w:p>
            <w:r>
              <w:t>Economic Shock</w:t>
            </w:r>
          </w:p>
        </w:tc>
        <w:tc>
          <w:tcPr>
            <w:tcW w:type="dxa" w:w="2880"/>
          </w:tcPr>
          <w:p>
            <w:r>
              <w:t>Financial-system driven</w:t>
            </w:r>
          </w:p>
        </w:tc>
        <w:tc>
          <w:tcPr>
            <w:tcW w:type="dxa" w:w="2880"/>
          </w:tcPr>
          <w:p>
            <w:r>
              <w:t>Public-health driven</w:t>
            </w:r>
          </w:p>
        </w:tc>
      </w:tr>
      <w:tr>
        <w:tc>
          <w:tcPr>
            <w:tcW w:type="dxa" w:w="2880"/>
          </w:tcPr>
          <w:p>
            <w:r>
              <w:t>Unemployment Impact</w:t>
            </w:r>
          </w:p>
        </w:tc>
        <w:tc>
          <w:tcPr>
            <w:tcW w:type="dxa" w:w="2880"/>
          </w:tcPr>
          <w:p>
            <w:r>
              <w:t>Gradual increase</w:t>
            </w:r>
          </w:p>
        </w:tc>
        <w:tc>
          <w:tcPr>
            <w:tcW w:type="dxa" w:w="2880"/>
          </w:tcPr>
          <w:p>
            <w:r>
              <w:t>Sharp spike</w:t>
            </w:r>
          </w:p>
        </w:tc>
      </w:tr>
      <w:tr>
        <w:tc>
          <w:tcPr>
            <w:tcW w:type="dxa" w:w="2880"/>
          </w:tcPr>
          <w:p>
            <w:r>
              <w:t>Monetary Response</w:t>
            </w:r>
          </w:p>
        </w:tc>
        <w:tc>
          <w:tcPr>
            <w:tcW w:type="dxa" w:w="2880"/>
          </w:tcPr>
          <w:p>
            <w:r>
              <w:t>Gradual easing</w:t>
            </w:r>
          </w:p>
        </w:tc>
        <w:tc>
          <w:tcPr>
            <w:tcW w:type="dxa" w:w="2880"/>
          </w:tcPr>
          <w:p>
            <w:r>
              <w:t>Aggressive rapid easing</w:t>
            </w:r>
          </w:p>
        </w:tc>
      </w:tr>
      <w:tr>
        <w:tc>
          <w:tcPr>
            <w:tcW w:type="dxa" w:w="2880"/>
          </w:tcPr>
          <w:p>
            <w:r>
              <w:t>Recovery Pattern</w:t>
            </w:r>
          </w:p>
        </w:tc>
        <w:tc>
          <w:tcPr>
            <w:tcW w:type="dxa" w:w="2880"/>
          </w:tcPr>
          <w:p>
            <w:r>
              <w:t>Slower recovery</w:t>
            </w:r>
          </w:p>
        </w:tc>
        <w:tc>
          <w:tcPr>
            <w:tcW w:type="dxa" w:w="2880"/>
          </w:tcPr>
          <w:p>
            <w:r>
              <w:t>Faster rebound</w:t>
            </w:r>
          </w:p>
        </w:tc>
      </w:tr>
    </w:tbl>
    <w:p>
      <w:pPr>
        <w:pStyle w:val="Heading2"/>
      </w:pPr>
      <w:r>
        <w:t>4. Technical Approach</w:t>
      </w:r>
    </w:p>
    <w:p>
      <w:r>
        <w:t>The dashboard was developed using Power BI, Power Query, and DAX to support interactive macroeconomic analysis and reporting.</w:t>
      </w:r>
    </w:p>
    <w:p>
      <w:pPr>
        <w:pStyle w:val="ListBullet"/>
      </w:pPr>
      <w:r>
        <w:t>Unpivoted time-series data modeling</w:t>
      </w:r>
    </w:p>
    <w:p>
      <w:pPr>
        <w:pStyle w:val="ListBullet"/>
      </w:pPr>
      <w:r>
        <w:t>Mixed-frequency data handling (monthly and quarterly indicators)</w:t>
      </w:r>
    </w:p>
    <w:p>
      <w:pPr>
        <w:pStyle w:val="ListBullet"/>
      </w:pPr>
      <w:r>
        <w:t>GDP quarter-over-quarter growth calculations</w:t>
      </w:r>
    </w:p>
    <w:p>
      <w:pPr>
        <w:pStyle w:val="ListBullet"/>
      </w:pPr>
      <w:r>
        <w:t>Dynamic KPI development</w:t>
      </w:r>
    </w:p>
    <w:p>
      <w:pPr>
        <w:pStyle w:val="ListBullet"/>
      </w:pPr>
      <w:r>
        <w:t>Indexed normalization techniques</w:t>
      </w:r>
    </w:p>
    <w:p>
      <w:pPr>
        <w:pStyle w:val="ListBullet"/>
      </w:pPr>
      <w:r>
        <w:t>Event-based economic annotations</w:t>
      </w:r>
    </w:p>
    <w:p>
      <w:pPr>
        <w:pStyle w:val="ListBullet"/>
      </w:pPr>
      <w:r>
        <w:t>Defensive DAX programming and data-cleaning logic</w:t>
      </w:r>
    </w:p>
    <w:p>
      <w:pPr>
        <w:pStyle w:val="Heading2"/>
      </w:pPr>
      <w:r>
        <w:t>5. Business Value &amp; Analytical Impact</w:t>
      </w:r>
    </w:p>
    <w:p>
      <w:r>
        <w:t>The dashboard demonstrates how business intelligence tools can transform complex economic datasets into actionable insights and interactive reporting solutions.</w:t>
      </w:r>
    </w:p>
    <w:p>
      <w:pPr>
        <w:pStyle w:val="ListBullet"/>
      </w:pPr>
      <w:r>
        <w:t>Improved interpretation of macroeconomic cycles</w:t>
      </w:r>
    </w:p>
    <w:p>
      <w:pPr>
        <w:pStyle w:val="ListBullet"/>
      </w:pPr>
      <w:r>
        <w:t>Enhanced visualization of recessionary behavior</w:t>
      </w:r>
    </w:p>
    <w:p>
      <w:pPr>
        <w:pStyle w:val="ListBullet"/>
      </w:pPr>
      <w:r>
        <w:t>Clear comparison of major economic crises</w:t>
      </w:r>
    </w:p>
    <w:p>
      <w:pPr>
        <w:pStyle w:val="ListBullet"/>
      </w:pPr>
      <w:r>
        <w:t>Executive-friendly economic storytelling</w:t>
      </w:r>
    </w:p>
    <w:p>
      <w:pPr>
        <w:pStyle w:val="ListBullet"/>
      </w:pPr>
      <w:r>
        <w:t>Interactive KPI-driven reporting</w:t>
      </w:r>
    </w:p>
    <w:p>
      <w:pPr>
        <w:pStyle w:val="Heading2"/>
      </w:pPr>
      <w:r>
        <w:t>6. Conclusion</w:t>
      </w:r>
    </w:p>
    <w:p>
      <w:r>
        <w:t>This project highlights strong capabilities in Power BI dashboard development, DAX modeling, data transformation, economic analysis, and business intelligence storytelling. The final solution combines technical analytics with executive-focused reporting to support macroeconomic trend interpretation and data-driven insight generation.</w:t>
      </w:r>
    </w:p>
    <w:p>
      <w:pPr>
        <w:pStyle w:val="Heading2"/>
      </w:pPr>
      <w:r>
        <w:t>Author</w:t>
      </w:r>
    </w:p>
    <w:p>
      <w:r>
        <w:rPr>
          <w:b/>
        </w:rPr>
        <w:t>Bright Marfo Twumasi</w:t>
        <w:br/>
      </w:r>
      <w:r>
        <w:t>Lead Consultant | Brightdata Consult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