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0CDA" w:rsidRDefault="009473A9">
      <w:pPr>
        <w:spacing w:after="300"/>
        <w:jc w:val="center"/>
      </w:pPr>
      <w:proofErr w:type="spellStart"/>
      <w:r>
        <w:rPr>
          <w:b/>
          <w:bCs/>
          <w:sz w:val="28"/>
          <w:szCs w:val="28"/>
        </w:rPr>
        <w:t>Nidaan</w:t>
      </w:r>
      <w:proofErr w:type="spellEnd"/>
      <w:proofErr w:type="gramStart"/>
      <w:r>
        <w:rPr>
          <w:b/>
          <w:bCs/>
          <w:sz w:val="28"/>
          <w:szCs w:val="28"/>
        </w:rPr>
        <w:t>+</w:t>
      </w:r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AI Enabled Multi-Disease Prediction and Precision Healthcare Platform</w:t>
      </w:r>
    </w:p>
    <w:p w:rsidR="00F20CDA" w:rsidRDefault="009473A9">
      <w:pPr>
        <w:spacing w:after="300"/>
      </w:pPr>
      <w:r>
        <w:rPr>
          <w:sz w:val="22"/>
          <w:szCs w:val="22"/>
        </w:rPr>
        <w:t xml:space="preserve">Brij Patel, </w:t>
      </w:r>
      <w:proofErr w:type="spellStart"/>
      <w:r>
        <w:rPr>
          <w:sz w:val="22"/>
          <w:szCs w:val="22"/>
        </w:rPr>
        <w:t>Keshar</w:t>
      </w:r>
      <w:proofErr w:type="spellEnd"/>
      <w:r>
        <w:rPr>
          <w:sz w:val="22"/>
          <w:szCs w:val="22"/>
        </w:rPr>
        <w:t xml:space="preserve"> Upadhyay</w:t>
      </w:r>
    </w:p>
    <w:p w:rsidR="00F20CDA" w:rsidRDefault="009473A9">
      <w:pPr>
        <w:spacing w:after="150"/>
      </w:pPr>
      <w:r>
        <w:rPr>
          <w:b/>
          <w:bCs/>
          <w:sz w:val="22"/>
          <w:szCs w:val="22"/>
        </w:rPr>
        <w:t>Abstract</w:t>
      </w:r>
      <w:bookmarkStart w:id="0" w:name="_GoBack"/>
      <w:bookmarkEnd w:id="0"/>
    </w:p>
    <w:p w:rsidR="00F20CDA" w:rsidRDefault="009473A9">
      <w:pPr>
        <w:spacing w:after="300" w:line="276" w:lineRule="auto"/>
        <w:jc w:val="both"/>
      </w:pPr>
      <w:r>
        <w:rPr>
          <w:sz w:val="22"/>
          <w:szCs w:val="22"/>
        </w:rPr>
        <w:t xml:space="preserve">Conventional disease-prediction systems typically target a single condition, depend on manual data entry, and return a prediction without explanation or a maintained patient history, which limits their real-world clinical value. </w:t>
      </w:r>
      <w:proofErr w:type="spellStart"/>
      <w:r>
        <w:rPr>
          <w:sz w:val="22"/>
          <w:szCs w:val="22"/>
        </w:rPr>
        <w:t>Nidaan</w:t>
      </w:r>
      <w:proofErr w:type="spellEnd"/>
      <w:r>
        <w:rPr>
          <w:sz w:val="22"/>
          <w:szCs w:val="22"/>
        </w:rPr>
        <w:t>+ addresses these gap</w:t>
      </w:r>
      <w:r>
        <w:rPr>
          <w:sz w:val="22"/>
          <w:szCs w:val="22"/>
        </w:rPr>
        <w:t xml:space="preserve">s through a unified decision-support platform that integrates multi-disease risk assessment, OCR-assisted clinical data extraction and AI-driven symptom analysis within a single workflow. The platform supports risk prediction across sixteen </w:t>
      </w:r>
      <w:proofErr w:type="gramStart"/>
      <w:r>
        <w:rPr>
          <w:sz w:val="22"/>
          <w:szCs w:val="22"/>
        </w:rPr>
        <w:t>major</w:t>
      </w:r>
      <w:proofErr w:type="gramEnd"/>
      <w:r>
        <w:rPr>
          <w:sz w:val="22"/>
          <w:szCs w:val="22"/>
        </w:rPr>
        <w:t xml:space="preserve"> cardiovas</w:t>
      </w:r>
      <w:r>
        <w:rPr>
          <w:sz w:val="22"/>
          <w:szCs w:val="22"/>
        </w:rPr>
        <w:t xml:space="preserve">cular, metabolic, neurological, renal, hepatic, oncological, endocrine and </w:t>
      </w:r>
      <w:proofErr w:type="spellStart"/>
      <w:r>
        <w:rPr>
          <w:sz w:val="22"/>
          <w:szCs w:val="22"/>
        </w:rPr>
        <w:t>hematological</w:t>
      </w:r>
      <w:proofErr w:type="spellEnd"/>
      <w:r>
        <w:rPr>
          <w:sz w:val="22"/>
          <w:szCs w:val="22"/>
        </w:rPr>
        <w:t xml:space="preserve"> conditions, each </w:t>
      </w:r>
      <w:proofErr w:type="spellStart"/>
      <w:r>
        <w:rPr>
          <w:sz w:val="22"/>
          <w:szCs w:val="22"/>
        </w:rPr>
        <w:t>modeled</w:t>
      </w:r>
      <w:proofErr w:type="spellEnd"/>
      <w:r>
        <w:rPr>
          <w:sz w:val="22"/>
          <w:szCs w:val="22"/>
        </w:rPr>
        <w:t xml:space="preserve"> through a disease-specific machine learning pipeline built on a clinical intake schema that mirrors physician history-taking, with SHAP-based </w:t>
      </w:r>
      <w:r>
        <w:rPr>
          <w:sz w:val="22"/>
          <w:szCs w:val="22"/>
        </w:rPr>
        <w:t>explanations accompanying every prediction. Three modules trained on established public clinical datasets (heart disease, diabetes, breast cancer) achieved accuracies of 82%, 75% and 93%, while the remaining modules currently run on synthetic, medically-in</w:t>
      </w:r>
      <w:r>
        <w:rPr>
          <w:sz w:val="22"/>
          <w:szCs w:val="22"/>
        </w:rPr>
        <w:t>formed data pending real-dataset validation. Users can bypass manual entry by uploading existing medical reports, from which an OCR module extracts the relevant clinical parameters, while a natural-language symptom checker offers a preliminary triage for u</w:t>
      </w:r>
      <w:r>
        <w:rPr>
          <w:sz w:val="22"/>
          <w:szCs w:val="22"/>
        </w:rPr>
        <w:t>ndiagnosed complaints. Each prediction returns a risk score together with personalized recommendations and a downloadable clinical report, and the system is implemented as a modular, authenticated web application with a centralized administrative layer for</w:t>
      </w:r>
      <w:r>
        <w:rPr>
          <w:sz w:val="22"/>
          <w:szCs w:val="22"/>
        </w:rPr>
        <w:t xml:space="preserve"> managing users, disease models and subscriptions. By combining structured clinical intake, automated report parsing and explainable multi-model prediction into a single decision-support workflow, </w:t>
      </w:r>
      <w:proofErr w:type="spellStart"/>
      <w:r>
        <w:rPr>
          <w:sz w:val="22"/>
          <w:szCs w:val="22"/>
        </w:rPr>
        <w:t>Nidaan</w:t>
      </w:r>
      <w:proofErr w:type="spellEnd"/>
      <w:r>
        <w:rPr>
          <w:sz w:val="22"/>
          <w:szCs w:val="22"/>
        </w:rPr>
        <w:t>+ demonstrates how an integrated AI platform can impr</w:t>
      </w:r>
      <w:r>
        <w:rPr>
          <w:sz w:val="22"/>
          <w:szCs w:val="22"/>
        </w:rPr>
        <w:t>ove accessibility and enable proactive, preventive disease screening that complements, rather than replaces, professional medical diagnosis.</w:t>
      </w:r>
    </w:p>
    <w:p w:rsidR="00F20CDA" w:rsidRDefault="009473A9">
      <w:r>
        <w:rPr>
          <w:b/>
          <w:bCs/>
          <w:sz w:val="22"/>
          <w:szCs w:val="22"/>
        </w:rPr>
        <w:t xml:space="preserve">Keywords: </w:t>
      </w:r>
      <w:r>
        <w:rPr>
          <w:sz w:val="22"/>
          <w:szCs w:val="22"/>
        </w:rPr>
        <w:t>Multi-Disease Prediction; Clinical Decision Support; Explainable AI; Optical Character Recognition; Preci</w:t>
      </w:r>
      <w:r>
        <w:rPr>
          <w:sz w:val="22"/>
          <w:szCs w:val="22"/>
        </w:rPr>
        <w:t>sion Healthcare</w:t>
      </w:r>
    </w:p>
    <w:sectPr w:rsidR="00F20CD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F25CA9"/>
    <w:multiLevelType w:val="hybridMultilevel"/>
    <w:tmpl w:val="246CBA40"/>
    <w:lvl w:ilvl="0" w:tplc="CFFEEF0A">
      <w:start w:val="1"/>
      <w:numFmt w:val="bullet"/>
      <w:lvlText w:val="●"/>
      <w:lvlJc w:val="left"/>
      <w:pPr>
        <w:ind w:left="720" w:hanging="360"/>
      </w:pPr>
    </w:lvl>
    <w:lvl w:ilvl="1" w:tplc="D0E0B93E">
      <w:start w:val="1"/>
      <w:numFmt w:val="bullet"/>
      <w:lvlText w:val="○"/>
      <w:lvlJc w:val="left"/>
      <w:pPr>
        <w:ind w:left="1440" w:hanging="360"/>
      </w:pPr>
    </w:lvl>
    <w:lvl w:ilvl="2" w:tplc="37EA6E56">
      <w:start w:val="1"/>
      <w:numFmt w:val="bullet"/>
      <w:lvlText w:val="■"/>
      <w:lvlJc w:val="left"/>
      <w:pPr>
        <w:ind w:left="2160" w:hanging="360"/>
      </w:pPr>
    </w:lvl>
    <w:lvl w:ilvl="3" w:tplc="4E2C77B4">
      <w:start w:val="1"/>
      <w:numFmt w:val="bullet"/>
      <w:lvlText w:val="●"/>
      <w:lvlJc w:val="left"/>
      <w:pPr>
        <w:ind w:left="2880" w:hanging="360"/>
      </w:pPr>
    </w:lvl>
    <w:lvl w:ilvl="4" w:tplc="9C8C0F84">
      <w:start w:val="1"/>
      <w:numFmt w:val="bullet"/>
      <w:lvlText w:val="○"/>
      <w:lvlJc w:val="left"/>
      <w:pPr>
        <w:ind w:left="3600" w:hanging="360"/>
      </w:pPr>
    </w:lvl>
    <w:lvl w:ilvl="5" w:tplc="7C74D93A">
      <w:start w:val="1"/>
      <w:numFmt w:val="bullet"/>
      <w:lvlText w:val="■"/>
      <w:lvlJc w:val="left"/>
      <w:pPr>
        <w:ind w:left="4320" w:hanging="360"/>
      </w:pPr>
    </w:lvl>
    <w:lvl w:ilvl="6" w:tplc="0E2A9C96">
      <w:start w:val="1"/>
      <w:numFmt w:val="bullet"/>
      <w:lvlText w:val="●"/>
      <w:lvlJc w:val="left"/>
      <w:pPr>
        <w:ind w:left="5040" w:hanging="360"/>
      </w:pPr>
    </w:lvl>
    <w:lvl w:ilvl="7" w:tplc="99F6F85C">
      <w:start w:val="1"/>
      <w:numFmt w:val="bullet"/>
      <w:lvlText w:val="●"/>
      <w:lvlJc w:val="left"/>
      <w:pPr>
        <w:ind w:left="5760" w:hanging="360"/>
      </w:pPr>
    </w:lvl>
    <w:lvl w:ilvl="8" w:tplc="773809C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CDA"/>
    <w:rsid w:val="009473A9"/>
    <w:rsid w:val="00F2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2887B"/>
  <w15:docId w15:val="{C5C0209B-6D10-4942-BA8C-40E554F3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brij</cp:lastModifiedBy>
  <cp:revision>2</cp:revision>
  <dcterms:created xsi:type="dcterms:W3CDTF">2026-08-03T10:29:00Z</dcterms:created>
  <dcterms:modified xsi:type="dcterms:W3CDTF">2026-08-03T10:51:00Z</dcterms:modified>
</cp:coreProperties>
</file>