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10080"/>
      </w:tblGrid>
      <w:tr>
        <w:tc>
          <w:tcPr>
            <w:tcW w:type="dxa" w:w="10080"/>
            <w:shd w:fill="121214"/>
            <w:tcMar>
              <w:top w:w="240" w:type="dxa"/>
              <w:bottom w:w="240" w:type="dxa"/>
              <w:left w:w="240" w:type="dxa"/>
              <w:right w:w="240" w:type="dxa"/>
            </w:tcMar>
          </w:tcPr>
          <w:p>
            <w:pPr>
              <w:spacing w:before="80" w:after="40"/>
            </w:pPr>
            <w:r>
              <w:rPr>
                <w:rFonts w:ascii="Arial" w:hAnsi="Arial"/>
                <w:b/>
                <w:color w:val="B48C32"/>
                <w:sz w:val="18"/>
              </w:rPr>
              <w:t>COURTFLIGHT // LIVE PRESENTATION MANUAL</w:t>
            </w:r>
          </w:p>
          <w:p>
            <w:pPr>
              <w:spacing w:after="120"/>
            </w:pPr>
            <w:r>
              <w:rPr>
                <w:rFonts w:ascii="Arial" w:hAnsi="Arial"/>
                <w:b/>
                <w:color w:val="FFFFFF"/>
                <w:sz w:val="44"/>
              </w:rPr>
              <w:t>3-Minute High-Impact Pitch &amp; Live Demo Script</w:t>
            </w:r>
          </w:p>
          <w:p>
            <w:pPr>
              <w:spacing w:after="80"/>
            </w:pPr>
            <w:r>
              <w:rPr>
                <w:rFonts w:ascii="Arial" w:hAnsi="Arial"/>
                <w:i/>
                <w:color w:val="D2D2D7"/>
                <w:sz w:val="21"/>
              </w:rPr>
              <w:t>Step-by-step cue sheet: Exact screen actions [SHOW], word-for-word spoken transcript [TELL], stage timings, and winning Q&amp;A responses.</w:t>
            </w:r>
          </w:p>
        </w:tc>
      </w:tr>
    </w:tbl>
    <w:p>
      <w:pPr>
        <w:spacing w:after="200"/>
      </w:pPr>
    </w:p>
    <w:p>
      <w:pPr>
        <w:spacing w:before="240" w:after="80"/>
      </w:pPr>
      <w:r>
        <w:rPr>
          <w:rFonts w:ascii="Arial" w:hAnsi="Arial"/>
          <w:b/>
          <w:color w:val="121214"/>
          <w:sz w:val="28"/>
        </w:rPr>
        <w:t>1. Pre-Demo Setup &amp; Presenter Checklist</w:t>
      </w:r>
    </w:p>
    <w:tbl>
      <w:tblPr>
        <w:tblW w:type="auto" w:w="0"/>
        <w:jc w:val="center"/>
        <w:tblLayout w:type="fixed"/>
        <w:tblLook w:firstColumn="1" w:firstRow="1" w:lastColumn="0" w:lastRow="0" w:noHBand="0" w:noVBand="1" w:val="04A0"/>
      </w:tblPr>
      <w:tblGrid>
        <w:gridCol w:w="5040"/>
        <w:gridCol w:w="5040"/>
      </w:tblGrid>
      <w:tr>
        <w:tc>
          <w:tcPr>
            <w:tcW w:type="dxa" w:w="5040"/>
            <w:shd w:fill="EAEAEF"/>
            <w:tcMar>
              <w:top w:w="100" w:type="dxa"/>
              <w:bottom w:w="100" w:type="dxa"/>
              <w:left w:w="140" w:type="dxa"/>
              <w:right w:w="140" w:type="dxa"/>
            </w:tcMar>
          </w:tcPr>
          <w:p>
            <w:r>
              <w:rPr>
                <w:b/>
                <w:sz w:val="19"/>
              </w:rPr>
              <w:t>ITEM / TARGET</w:t>
            </w:r>
          </w:p>
        </w:tc>
        <w:tc>
          <w:tcPr>
            <w:tcW w:type="dxa" w:w="5040"/>
            <w:shd w:fill="EAEAEF"/>
            <w:tcMar>
              <w:top w:w="100" w:type="dxa"/>
              <w:bottom w:w="100" w:type="dxa"/>
              <w:left w:w="140" w:type="dxa"/>
              <w:right w:w="140" w:type="dxa"/>
            </w:tcMar>
          </w:tcPr>
          <w:p>
            <w:r>
              <w:rPr>
                <w:b/>
                <w:sz w:val="19"/>
              </w:rPr>
              <w:t>INSTRUCTION / ACTION</w:t>
            </w:r>
          </w:p>
        </w:tc>
      </w:tr>
      <w:tr>
        <w:tc>
          <w:tcPr>
            <w:tcW w:type="dxa" w:w="5040"/>
            <w:tcMar>
              <w:top w:w="80" w:type="dxa"/>
              <w:bottom w:w="80" w:type="dxa"/>
              <w:left w:w="140" w:type="dxa"/>
              <w:right w:w="140" w:type="dxa"/>
            </w:tcMar>
          </w:tcPr>
          <w:p>
            <w:r>
              <w:rPr>
                <w:b/>
                <w:sz w:val="18"/>
              </w:rPr>
              <w:t>Environment Check</w:t>
            </w:r>
          </w:p>
        </w:tc>
        <w:tc>
          <w:tcPr>
            <w:tcW w:type="dxa" w:w="5040"/>
            <w:tcMar>
              <w:top w:w="80" w:type="dxa"/>
              <w:bottom w:w="80" w:type="dxa"/>
              <w:left w:w="140" w:type="dxa"/>
              <w:right w:w="140" w:type="dxa"/>
            </w:tcMar>
          </w:tcPr>
          <w:p>
            <w:r>
              <w:rPr>
                <w:sz w:val="18"/>
              </w:rPr>
              <w:t>Ensure dev server is running (e.g. http://localhost:3002 or deployed Vercel domain).</w:t>
            </w:r>
          </w:p>
        </w:tc>
      </w:tr>
      <w:tr>
        <w:tc>
          <w:tcPr>
            <w:tcW w:type="dxa" w:w="5040"/>
            <w:tcMar>
              <w:top w:w="80" w:type="dxa"/>
              <w:bottom w:w="80" w:type="dxa"/>
              <w:left w:w="140" w:type="dxa"/>
              <w:right w:w="140" w:type="dxa"/>
            </w:tcMar>
            <w:shd w:fill="F8F8F9"/>
          </w:tcPr>
          <w:p>
            <w:r>
              <w:rPr>
                <w:b/>
                <w:sz w:val="18"/>
              </w:rPr>
              <w:t>Browser Tab 1</w:t>
            </w:r>
          </w:p>
        </w:tc>
        <w:tc>
          <w:tcPr>
            <w:tcW w:type="dxa" w:w="5040"/>
            <w:tcMar>
              <w:top w:w="80" w:type="dxa"/>
              <w:bottom w:w="80" w:type="dxa"/>
              <w:left w:w="140" w:type="dxa"/>
              <w:right w:w="140" w:type="dxa"/>
            </w:tcMar>
            <w:shd w:fill="F8F8F9"/>
          </w:tcPr>
          <w:p>
            <w:r>
              <w:rPr>
                <w:sz w:val="18"/>
              </w:rPr>
              <w:t>Open Home Page ( / ) — ensure hero background video loops smoothly and departure rows are loaded.</w:t>
            </w:r>
          </w:p>
        </w:tc>
      </w:tr>
      <w:tr>
        <w:tc>
          <w:tcPr>
            <w:tcW w:type="dxa" w:w="5040"/>
            <w:tcMar>
              <w:top w:w="80" w:type="dxa"/>
              <w:bottom w:w="80" w:type="dxa"/>
              <w:left w:w="140" w:type="dxa"/>
              <w:right w:w="140" w:type="dxa"/>
            </w:tcMar>
          </w:tcPr>
          <w:p>
            <w:r>
              <w:rPr>
                <w:b/>
                <w:sz w:val="18"/>
              </w:rPr>
              <w:t>Browser Tab 2</w:t>
            </w:r>
          </w:p>
        </w:tc>
        <w:tc>
          <w:tcPr>
            <w:tcW w:type="dxa" w:w="5040"/>
            <w:tcMar>
              <w:top w:w="80" w:type="dxa"/>
              <w:bottom w:w="80" w:type="dxa"/>
              <w:left w:w="140" w:type="dxa"/>
              <w:right w:w="140" w:type="dxa"/>
            </w:tcMar>
          </w:tcPr>
          <w:p>
            <w:r>
              <w:rPr>
                <w:sz w:val="18"/>
              </w:rPr>
              <w:t>Open Dispatch Terminal ( /analyze ) — pre-select 'Commercial Dispute @ Delhi HC' or leave default.</w:t>
            </w:r>
          </w:p>
        </w:tc>
      </w:tr>
      <w:tr>
        <w:tc>
          <w:tcPr>
            <w:tcW w:type="dxa" w:w="5040"/>
            <w:tcMar>
              <w:top w:w="80" w:type="dxa"/>
              <w:bottom w:w="80" w:type="dxa"/>
              <w:left w:w="140" w:type="dxa"/>
              <w:right w:w="140" w:type="dxa"/>
            </w:tcMar>
            <w:shd w:fill="F8F8F9"/>
          </w:tcPr>
          <w:p>
            <w:r>
              <w:rPr>
                <w:b/>
                <w:sz w:val="18"/>
              </w:rPr>
              <w:t>Display Resolution</w:t>
            </w:r>
          </w:p>
        </w:tc>
        <w:tc>
          <w:tcPr>
            <w:tcW w:type="dxa" w:w="5040"/>
            <w:tcMar>
              <w:top w:w="80" w:type="dxa"/>
              <w:bottom w:w="80" w:type="dxa"/>
              <w:left w:w="140" w:type="dxa"/>
              <w:right w:w="140" w:type="dxa"/>
            </w:tcMar>
            <w:shd w:fill="F8F8F9"/>
          </w:tcPr>
          <w:p>
            <w:r>
              <w:rPr>
                <w:sz w:val="18"/>
              </w:rPr>
              <w:t>Zoom browser to 100% or 110% for crisp visibility on projection displays.</w:t>
            </w:r>
          </w:p>
        </w:tc>
      </w:tr>
      <w:tr>
        <w:tc>
          <w:tcPr>
            <w:tcW w:type="dxa" w:w="5040"/>
            <w:tcMar>
              <w:top w:w="80" w:type="dxa"/>
              <w:bottom w:w="80" w:type="dxa"/>
              <w:left w:w="140" w:type="dxa"/>
              <w:right w:w="140" w:type="dxa"/>
            </w:tcMar>
          </w:tcPr>
          <w:p>
            <w:r>
              <w:rPr>
                <w:b/>
                <w:sz w:val="18"/>
              </w:rPr>
              <w:t>Backup Plan</w:t>
            </w:r>
          </w:p>
        </w:tc>
        <w:tc>
          <w:tcPr>
            <w:tcW w:type="dxa" w:w="5040"/>
            <w:tcMar>
              <w:top w:w="80" w:type="dxa"/>
              <w:bottom w:w="80" w:type="dxa"/>
              <w:left w:w="140" w:type="dxa"/>
              <w:right w:w="140" w:type="dxa"/>
            </w:tcMar>
          </w:tcPr>
          <w:p>
            <w:r>
              <w:rPr>
                <w:sz w:val="18"/>
              </w:rPr>
              <w:t>Keep sample docket ID 'NYR-00001' on your clipboard (Ctrl+C).</w:t>
            </w:r>
          </w:p>
        </w:tc>
      </w:tr>
    </w:tbl>
    <w:p>
      <w:pPr>
        <w:spacing w:after="240"/>
      </w:pPr>
    </w:p>
    <w:p>
      <w:pPr>
        <w:spacing w:before="240" w:after="80"/>
      </w:pPr>
      <w:r>
        <w:rPr>
          <w:rFonts w:ascii="Arial" w:hAnsi="Arial"/>
          <w:b/>
          <w:color w:val="121214"/>
          <w:sz w:val="28"/>
        </w:rPr>
        <w:t>2. Timing &amp; Act Breakdown (180 Seconds Total)</w:t>
      </w:r>
    </w:p>
    <w:tbl>
      <w:tblPr>
        <w:tblW w:type="auto" w:w="0"/>
        <w:jc w:val="center"/>
        <w:tblLook w:firstColumn="1" w:firstRow="1" w:lastColumn="0" w:lastRow="0" w:noHBand="0" w:noVBand="1" w:val="04A0"/>
      </w:tblPr>
      <w:tblGrid>
        <w:gridCol w:w="3360"/>
        <w:gridCol w:w="3360"/>
        <w:gridCol w:w="3360"/>
      </w:tblGrid>
      <w:tr>
        <w:tc>
          <w:tcPr>
            <w:tcW w:type="dxa" w:w="3360"/>
            <w:shd w:fill="121214"/>
            <w:tcMar>
              <w:top w:w="100" w:type="dxa"/>
              <w:bottom w:w="100" w:type="dxa"/>
              <w:left w:w="140" w:type="dxa"/>
              <w:right w:w="140" w:type="dxa"/>
            </w:tcMar>
          </w:tcPr>
          <w:p>
            <w:r>
              <w:rPr>
                <w:b/>
                <w:color w:val="FFFFFF"/>
                <w:sz w:val="18"/>
              </w:rPr>
              <w:t>TIME CUE</w:t>
            </w:r>
          </w:p>
        </w:tc>
        <w:tc>
          <w:tcPr>
            <w:tcW w:type="dxa" w:w="3360"/>
            <w:shd w:fill="121214"/>
            <w:tcMar>
              <w:top w:w="100" w:type="dxa"/>
              <w:bottom w:w="100" w:type="dxa"/>
              <w:left w:w="140" w:type="dxa"/>
              <w:right w:w="140" w:type="dxa"/>
            </w:tcMar>
          </w:tcPr>
          <w:p>
            <w:r>
              <w:rPr>
                <w:b/>
                <w:color w:val="FFFFFF"/>
                <w:sz w:val="18"/>
              </w:rPr>
              <w:t>ACT TITLE</w:t>
            </w:r>
          </w:p>
        </w:tc>
        <w:tc>
          <w:tcPr>
            <w:tcW w:type="dxa" w:w="3360"/>
            <w:shd w:fill="121214"/>
            <w:tcMar>
              <w:top w:w="100" w:type="dxa"/>
              <w:bottom w:w="100" w:type="dxa"/>
              <w:left w:w="140" w:type="dxa"/>
              <w:right w:w="140" w:type="dxa"/>
            </w:tcMar>
          </w:tcPr>
          <w:p>
            <w:r>
              <w:rPr>
                <w:b/>
                <w:color w:val="FFFFFF"/>
                <w:sz w:val="18"/>
              </w:rPr>
              <w:t>KEY FOCUS</w:t>
            </w:r>
          </w:p>
        </w:tc>
      </w:tr>
      <w:tr>
        <w:tc>
          <w:tcPr>
            <w:tcW w:type="dxa" w:w="3360"/>
            <w:tcMar>
              <w:top w:w="80" w:type="dxa"/>
              <w:bottom w:w="80" w:type="dxa"/>
              <w:left w:w="140" w:type="dxa"/>
              <w:right w:w="140" w:type="dxa"/>
            </w:tcMar>
          </w:tcPr>
          <w:p>
            <w:r>
              <w:rPr>
                <w:b/>
                <w:color w:val="B48C32"/>
                <w:sz w:val="17"/>
              </w:rPr>
              <w:t>0:00 - 0:30 (30s)</w:t>
            </w:r>
          </w:p>
        </w:tc>
        <w:tc>
          <w:tcPr>
            <w:tcW w:type="dxa" w:w="3360"/>
            <w:tcMar>
              <w:top w:w="80" w:type="dxa"/>
              <w:bottom w:w="80" w:type="dxa"/>
              <w:left w:w="140" w:type="dxa"/>
              <w:right w:w="140" w:type="dxa"/>
            </w:tcMar>
          </w:tcPr>
          <w:p>
            <w:r>
              <w:rPr>
                <w:b/>
                <w:sz w:val="18"/>
              </w:rPr>
              <w:t>Act 1: The Problem &amp; Flight Metaphor</w:t>
            </w:r>
          </w:p>
        </w:tc>
        <w:tc>
          <w:tcPr>
            <w:tcW w:type="dxa" w:w="3360"/>
            <w:tcMar>
              <w:top w:w="80" w:type="dxa"/>
              <w:bottom w:w="80" w:type="dxa"/>
              <w:left w:w="140" w:type="dxa"/>
              <w:right w:w="140" w:type="dxa"/>
            </w:tcMar>
          </w:tcPr>
          <w:p>
            <w:r>
              <w:rPr>
                <w:sz w:val="17"/>
              </w:rPr>
              <w:t>The 50M pendency crisis, introducing the flight tracking paradigm.</w:t>
            </w:r>
          </w:p>
        </w:tc>
      </w:tr>
      <w:tr>
        <w:tc>
          <w:tcPr>
            <w:tcW w:type="dxa" w:w="3360"/>
            <w:tcMar>
              <w:top w:w="80" w:type="dxa"/>
              <w:bottom w:w="80" w:type="dxa"/>
              <w:left w:w="140" w:type="dxa"/>
              <w:right w:w="140" w:type="dxa"/>
            </w:tcMar>
            <w:shd w:fill="F8F8F9"/>
          </w:tcPr>
          <w:p>
            <w:r>
              <w:rPr>
                <w:b/>
                <w:color w:val="B48C32"/>
                <w:sz w:val="17"/>
              </w:rPr>
              <w:t>0:30 - 1:15 (45s)</w:t>
            </w:r>
          </w:p>
        </w:tc>
        <w:tc>
          <w:tcPr>
            <w:tcW w:type="dxa" w:w="3360"/>
            <w:tcMar>
              <w:top w:w="80" w:type="dxa"/>
              <w:bottom w:w="80" w:type="dxa"/>
              <w:left w:w="140" w:type="dxa"/>
              <w:right w:w="140" w:type="dxa"/>
            </w:tcMar>
            <w:shd w:fill="F8F8F9"/>
          </w:tcPr>
          <w:p>
            <w:r>
              <w:rPr>
                <w:b/>
                <w:sz w:val="18"/>
              </w:rPr>
              <w:t>Act 2: Departure Board &amp; Boarding Pass</w:t>
            </w:r>
          </w:p>
        </w:tc>
        <w:tc>
          <w:tcPr>
            <w:tcW w:type="dxa" w:w="3360"/>
            <w:tcMar>
              <w:top w:w="80" w:type="dxa"/>
              <w:bottom w:w="80" w:type="dxa"/>
              <w:left w:w="140" w:type="dxa"/>
              <w:right w:w="140" w:type="dxa"/>
            </w:tcMar>
            <w:shd w:fill="F8F8F9"/>
          </w:tcPr>
          <w:p>
            <w:r>
              <w:rPr>
                <w:sz w:val="17"/>
              </w:rPr>
              <w:t>Docket search, Litigation Manifest, boarding pass card with gold foil.</w:t>
            </w:r>
          </w:p>
        </w:tc>
      </w:tr>
      <w:tr>
        <w:tc>
          <w:tcPr>
            <w:tcW w:type="dxa" w:w="3360"/>
            <w:tcMar>
              <w:top w:w="80" w:type="dxa"/>
              <w:bottom w:w="80" w:type="dxa"/>
              <w:left w:w="140" w:type="dxa"/>
              <w:right w:w="140" w:type="dxa"/>
            </w:tcMar>
          </w:tcPr>
          <w:p>
            <w:r>
              <w:rPr>
                <w:b/>
                <w:color w:val="B48C32"/>
                <w:sz w:val="17"/>
              </w:rPr>
              <w:t>1:15 - 2:00 (45s)</w:t>
            </w:r>
          </w:p>
        </w:tc>
        <w:tc>
          <w:tcPr>
            <w:tcW w:type="dxa" w:w="3360"/>
            <w:tcMar>
              <w:top w:w="80" w:type="dxa"/>
              <w:bottom w:w="80" w:type="dxa"/>
              <w:left w:w="140" w:type="dxa"/>
              <w:right w:w="140" w:type="dxa"/>
            </w:tcMar>
          </w:tcPr>
          <w:p>
            <w:r>
              <w:rPr>
                <w:b/>
                <w:sz w:val="18"/>
              </w:rPr>
              <w:t>Act 3: Airplane Timeline &amp; Explainable AI</w:t>
            </w:r>
          </w:p>
        </w:tc>
        <w:tc>
          <w:tcPr>
            <w:tcW w:type="dxa" w:w="3360"/>
            <w:tcMar>
              <w:top w:w="80" w:type="dxa"/>
              <w:bottom w:w="80" w:type="dxa"/>
              <w:left w:w="140" w:type="dxa"/>
              <w:right w:w="140" w:type="dxa"/>
            </w:tcMar>
          </w:tcPr>
          <w:p>
            <w:r>
              <w:rPr>
                <w:sz w:val="17"/>
              </w:rPr>
              <w:t>Cruising airplane glyph, procedural turbulence, 'Why this estimate?'.</w:t>
            </w:r>
          </w:p>
        </w:tc>
      </w:tr>
      <w:tr>
        <w:tc>
          <w:tcPr>
            <w:tcW w:type="dxa" w:w="3360"/>
            <w:tcMar>
              <w:top w:w="80" w:type="dxa"/>
              <w:bottom w:w="80" w:type="dxa"/>
              <w:left w:w="140" w:type="dxa"/>
              <w:right w:w="140" w:type="dxa"/>
            </w:tcMar>
            <w:shd w:fill="F8F8F9"/>
          </w:tcPr>
          <w:p>
            <w:r>
              <w:rPr>
                <w:b/>
                <w:color w:val="B48C32"/>
                <w:sz w:val="17"/>
              </w:rPr>
              <w:t>2:00 - 2:45 (45s)</w:t>
            </w:r>
          </w:p>
        </w:tc>
        <w:tc>
          <w:tcPr>
            <w:tcW w:type="dxa" w:w="3360"/>
            <w:tcMar>
              <w:top w:w="80" w:type="dxa"/>
              <w:bottom w:w="80" w:type="dxa"/>
              <w:left w:w="140" w:type="dxa"/>
              <w:right w:w="140" w:type="dxa"/>
            </w:tcMar>
            <w:shd w:fill="F8F8F9"/>
          </w:tcPr>
          <w:p>
            <w:r>
              <w:rPr>
                <w:b/>
                <w:sz w:val="18"/>
              </w:rPr>
              <w:t>Act 4: Live Case Dispatch (Interactive k-NN)</w:t>
            </w:r>
          </w:p>
        </w:tc>
        <w:tc>
          <w:tcPr>
            <w:tcW w:type="dxa" w:w="3360"/>
            <w:tcMar>
              <w:top w:w="80" w:type="dxa"/>
              <w:bottom w:w="80" w:type="dxa"/>
              <w:left w:w="140" w:type="dxa"/>
              <w:right w:w="140" w:type="dxa"/>
            </w:tcMar>
            <w:shd w:fill="F8F8F9"/>
          </w:tcPr>
          <w:p>
            <w:r>
              <w:rPr>
                <w:sz w:val="17"/>
              </w:rPr>
              <w:t>Interactive form at /analyze, real-time POST /api/predict execution.</w:t>
            </w:r>
          </w:p>
        </w:tc>
      </w:tr>
      <w:tr>
        <w:tc>
          <w:tcPr>
            <w:tcW w:type="dxa" w:w="3360"/>
            <w:tcMar>
              <w:top w:w="80" w:type="dxa"/>
              <w:bottom w:w="80" w:type="dxa"/>
              <w:left w:w="140" w:type="dxa"/>
              <w:right w:w="140" w:type="dxa"/>
            </w:tcMar>
          </w:tcPr>
          <w:p>
            <w:r>
              <w:rPr>
                <w:b/>
                <w:color w:val="B48C32"/>
                <w:sz w:val="17"/>
              </w:rPr>
              <w:t>2:45 - 3:00 (15s)</w:t>
            </w:r>
          </w:p>
        </w:tc>
        <w:tc>
          <w:tcPr>
            <w:tcW w:type="dxa" w:w="3360"/>
            <w:tcMar>
              <w:top w:w="80" w:type="dxa"/>
              <w:bottom w:w="80" w:type="dxa"/>
              <w:left w:w="140" w:type="dxa"/>
              <w:right w:w="140" w:type="dxa"/>
            </w:tcMar>
          </w:tcPr>
          <w:p>
            <w:r>
              <w:rPr>
                <w:b/>
                <w:sz w:val="18"/>
              </w:rPr>
              <w:t>Act 5: Technical Stack &amp; Closing Pitch</w:t>
            </w:r>
          </w:p>
        </w:tc>
        <w:tc>
          <w:tcPr>
            <w:tcW w:type="dxa" w:w="3360"/>
            <w:tcMar>
              <w:top w:w="80" w:type="dxa"/>
              <w:bottom w:w="80" w:type="dxa"/>
              <w:left w:w="140" w:type="dxa"/>
              <w:right w:w="140" w:type="dxa"/>
            </w:tcMar>
          </w:tcPr>
          <w:p>
            <w:r>
              <w:rPr>
                <w:sz w:val="17"/>
              </w:rPr>
              <w:t>Next.js 14, 1,565 cases, plug-and-play eCourts integration.</w:t>
            </w:r>
          </w:p>
        </w:tc>
      </w:tr>
    </w:tbl>
    <w:p>
      <w:pPr>
        <w:spacing w:after="320"/>
      </w:pPr>
    </w:p>
    <w:p>
      <w:pPr>
        <w:spacing w:before="280" w:after="40"/>
      </w:pPr>
      <w:r>
        <w:rPr>
          <w:rFonts w:ascii="Arial" w:hAnsi="Arial"/>
          <w:b/>
          <w:color w:val="B48C32"/>
          <w:sz w:val="19"/>
        </w:rPr>
        <w:t>ACT 1 // 0:00 - 0:30 (30 seconds)</w:t>
      </w:r>
    </w:p>
    <w:p>
      <w:pPr>
        <w:spacing w:after="160"/>
      </w:pPr>
      <w:r>
        <w:rPr>
          <w:rFonts w:ascii="Arial" w:hAnsi="Arial"/>
          <w:b/>
          <w:color w:val="121214"/>
          <w:sz w:val="30"/>
        </w:rPr>
        <w:t>The Hook &amp; The Flight Radar Metaphor</w:t>
      </w:r>
    </w:p>
    <w:tbl>
      <w:tblPr>
        <w:tblW w:type="auto" w:w="0"/>
        <w:jc w:val="center"/>
        <w:tblLook w:firstColumn="1" w:firstRow="1" w:lastColumn="0" w:lastRow="0" w:noHBand="0" w:noVBand="1" w:val="04A0"/>
      </w:tblPr>
      <w:tblGrid>
        <w:gridCol w:w="10080"/>
      </w:tblGrid>
      <w:tr>
        <w:tc>
          <w:tcPr>
            <w:tcW w:type="dxa" w:w="10080"/>
            <w:shd w:fill="F3F3F5"/>
            <w:tcMar>
              <w:top w:w="120" w:type="dxa"/>
              <w:bottom w:w="120" w:type="dxa"/>
              <w:left w:w="160" w:type="dxa"/>
              <w:right w:w="160" w:type="dxa"/>
            </w:tcMar>
          </w:tcPr>
          <w:p>
            <w:pPr>
              <w:spacing w:after="40"/>
            </w:pPr>
            <w:r>
              <w:rPr>
                <w:b/>
                <w:color w:val="1E3250"/>
                <w:sz w:val="19"/>
              </w:rPr>
              <w:t>🖥️ [SHOW] ON SCREEN ACTION:</w:t>
            </w:r>
          </w:p>
          <w:p>
            <w:pPr>
              <w:spacing w:after="0"/>
            </w:pPr>
            <w:r>
              <w:rPr>
                <w:sz w:val="19"/>
              </w:rPr>
              <w:t>Open Browser Tab 1 at http://localhost:3002. Let the cinematic ambient hero video loop in the background. Hover briefly over the large headline 'Track your case. Like a flight.' and point out the Radar Telemetry side panel showing 'Feed Active' and live docket counts.</w:t>
            </w:r>
          </w:p>
        </w:tc>
      </w:tr>
    </w:tbl>
    <w:p>
      <w:pPr>
        <w:spacing w:after="120"/>
      </w:pPr>
    </w:p>
    <w:tbl>
      <w:tblPr>
        <w:tblW w:type="auto" w:w="0"/>
        <w:jc w:val="center"/>
        <w:tblLook w:firstColumn="1" w:firstRow="1" w:lastColumn="0" w:lastRow="0" w:noHBand="0" w:noVBand="1" w:val="04A0"/>
      </w:tblPr>
      <w:tblGrid>
        <w:gridCol w:w="10080"/>
      </w:tblGrid>
      <w:tr>
        <w:tc>
          <w:tcPr>
            <w:tcW w:type="dxa" w:w="10080"/>
            <w:shd w:fill="121214"/>
            <w:tcMar>
              <w:top w:w="140" w:type="dxa"/>
              <w:bottom w:w="140" w:type="dxa"/>
              <w:left w:w="180" w:type="dxa"/>
              <w:right w:w="180" w:type="dxa"/>
            </w:tcMar>
          </w:tcPr>
          <w:p>
            <w:pPr>
              <w:spacing w:after="60"/>
            </w:pPr>
            <w:r>
              <w:rPr>
                <w:b/>
                <w:color w:val="B48C32"/>
                <w:sz w:val="19"/>
              </w:rPr>
              <w:t>🎙️ [TELL] VERBATIM SPOKEN SCRIPT:</w:t>
            </w:r>
          </w:p>
          <w:p>
            <w:pPr>
              <w:spacing w:after="0"/>
            </w:pPr>
            <w:r>
              <w:rPr>
                <w:i/>
                <w:color w:val="F5F3EE"/>
                <w:sz w:val="20"/>
              </w:rPr>
              <w:t>"In India today, over 50 million cases are pending in our judicial system. For citizens and businesses, filing a lawsuit feels like launching a ship into a black hole with zero visibility on when or where it will ever land.</w:t>
              <w:br/>
              <w:br/>
              <w:t>This is CourtFlight. We asked a fundamental question: What if you could track your court case with the exact same precision, transparency, and clarity as an airline flight?</w:t>
              <w:br/>
              <w:br/>
              <w:t>Using our Sovereign Juris editorial design system and an empirical multi-dimensional k-NN prediction engine, CourtFlight transforms opaque court records into real-time orbital flight telemetry."</w:t>
            </w:r>
          </w:p>
        </w:tc>
      </w:tr>
    </w:tbl>
    <w:p>
      <w:pPr>
        <w:spacing w:after="80"/>
      </w:pPr>
    </w:p>
    <w:p>
      <w:pPr>
        <w:spacing w:before="40" w:after="200"/>
      </w:pPr>
      <w:r>
        <w:rPr>
          <w:b/>
          <w:color w:val="69696E"/>
          <w:sz w:val="18"/>
        </w:rPr>
        <w:t xml:space="preserve">💡 Presenter Tip: </w:t>
      </w:r>
      <w:r>
        <w:rPr>
          <w:color w:val="69696E"/>
          <w:sz w:val="18"/>
        </w:rPr>
        <w:t>Start with energy and conviction. The contrast between '50M pending cases' and 'tracking like a flight' instantly hooks judges.</w:t>
      </w:r>
    </w:p>
    <w:p>
      <w:pPr>
        <w:spacing w:before="280" w:after="40"/>
      </w:pPr>
      <w:r>
        <w:rPr>
          <w:rFonts w:ascii="Arial" w:hAnsi="Arial"/>
          <w:b/>
          <w:color w:val="B48C32"/>
          <w:sz w:val="19"/>
        </w:rPr>
        <w:t>ACT 2 // 0:30 - 1:15 (45 seconds)</w:t>
      </w:r>
    </w:p>
    <w:p>
      <w:pPr>
        <w:spacing w:after="160"/>
      </w:pPr>
      <w:r>
        <w:rPr>
          <w:rFonts w:ascii="Arial" w:hAnsi="Arial"/>
          <w:b/>
          <w:color w:val="121214"/>
          <w:sz w:val="30"/>
        </w:rPr>
        <w:t>The Departure Board &amp; The Digital Boarding Pass</w:t>
      </w:r>
    </w:p>
    <w:tbl>
      <w:tblPr>
        <w:tblW w:type="auto" w:w="0"/>
        <w:jc w:val="center"/>
        <w:tblLook w:firstColumn="1" w:firstRow="1" w:lastColumn="0" w:lastRow="0" w:noHBand="0" w:noVBand="1" w:val="04A0"/>
      </w:tblPr>
      <w:tblGrid>
        <w:gridCol w:w="10080"/>
      </w:tblGrid>
      <w:tr>
        <w:tc>
          <w:tcPr>
            <w:tcW w:type="dxa" w:w="10080"/>
            <w:shd w:fill="F3F3F5"/>
            <w:tcMar>
              <w:top w:w="120" w:type="dxa"/>
              <w:bottom w:w="120" w:type="dxa"/>
              <w:left w:w="160" w:type="dxa"/>
              <w:right w:w="160" w:type="dxa"/>
            </w:tcMar>
          </w:tcPr>
          <w:p>
            <w:pPr>
              <w:spacing w:after="40"/>
            </w:pPr>
            <w:r>
              <w:rPr>
                <w:b/>
                <w:color w:val="1E3250"/>
                <w:sz w:val="19"/>
              </w:rPr>
              <w:t>🖥️ [SHOW] ON SCREEN ACTION:</w:t>
            </w:r>
          </w:p>
          <w:p>
            <w:pPr>
              <w:spacing w:after="0"/>
            </w:pPr>
            <w:r>
              <w:rPr>
                <w:sz w:val="19"/>
              </w:rPr>
              <w:t>Scroll down smoothly to the 'Primary Carrier Docket' (the Departure Board). Point out the rows styled like an airport departures board (ID, Court, Category, Progress Bar, ETA, Status Seal). Click on case 'NYR-00001'. On the case details page, pause on the dark luxury Boarding Pass card with its 2px gold foil left edge, barcode visual, airport codes (TEL -&gt; SCI), and party names.</w:t>
            </w:r>
          </w:p>
        </w:tc>
      </w:tr>
    </w:tbl>
    <w:p>
      <w:pPr>
        <w:spacing w:after="120"/>
      </w:pPr>
    </w:p>
    <w:tbl>
      <w:tblPr>
        <w:tblW w:type="auto" w:w="0"/>
        <w:jc w:val="center"/>
        <w:tblLook w:firstColumn="1" w:firstRow="1" w:lastColumn="0" w:lastRow="0" w:noHBand="0" w:noVBand="1" w:val="04A0"/>
      </w:tblPr>
      <w:tblGrid>
        <w:gridCol w:w="10080"/>
      </w:tblGrid>
      <w:tr>
        <w:tc>
          <w:tcPr>
            <w:tcW w:type="dxa" w:w="10080"/>
            <w:shd w:fill="121214"/>
            <w:tcMar>
              <w:top w:w="140" w:type="dxa"/>
              <w:bottom w:w="140" w:type="dxa"/>
              <w:left w:w="180" w:type="dxa"/>
              <w:right w:w="180" w:type="dxa"/>
            </w:tcMar>
          </w:tcPr>
          <w:p>
            <w:pPr>
              <w:spacing w:after="60"/>
            </w:pPr>
            <w:r>
              <w:rPr>
                <w:b/>
                <w:color w:val="B48C32"/>
                <w:sz w:val="19"/>
              </w:rPr>
              <w:t>🎙️ [TELL] VERBATIM SPOKEN SCRIPT:</w:t>
            </w:r>
          </w:p>
          <w:p>
            <w:pPr>
              <w:spacing w:after="0"/>
            </w:pPr>
            <w:r>
              <w:rPr>
                <w:i/>
                <w:color w:val="F5F3EE"/>
                <w:sz w:val="20"/>
              </w:rPr>
              <w:t>"Here is our primary departure board. Notice how each case is codified with flight progress and status seals. Let’s track docket NYR-00001.</w:t>
              <w:br/>
              <w:br/>
              <w:t>Instantly, the system generates an official Litigation Manifest—a digital boarding pass. Notice the flight route codes: TEL to SCI—Telangana High Court to the Supreme Court of India.</w:t>
              <w:br/>
              <w:br/>
              <w:t>Every party, procedural milestone, and complexity grade is verified. Litigants can even download this boarding pass directly to their device as a signed procedural document. But now, let’s inspect the active flight path."</w:t>
            </w:r>
          </w:p>
        </w:tc>
      </w:tr>
    </w:tbl>
    <w:p>
      <w:pPr>
        <w:spacing w:after="80"/>
      </w:pPr>
    </w:p>
    <w:p>
      <w:pPr>
        <w:spacing w:before="40" w:after="200"/>
      </w:pPr>
      <w:r>
        <w:rPr>
          <w:b/>
          <w:color w:val="69696E"/>
          <w:sz w:val="18"/>
        </w:rPr>
        <w:t xml:space="preserve">💡 Presenter Tip: </w:t>
      </w:r>
      <w:r>
        <w:rPr>
          <w:color w:val="69696E"/>
          <w:sz w:val="18"/>
        </w:rPr>
        <w:t>Let the audience appreciate the visual aesthetic of the Boarding Pass. Emphasize that this replaces confusing legal summonses with an intuitive document.</w:t>
      </w:r>
    </w:p>
    <w:p>
      <w:r>
        <w:br w:type="page"/>
      </w:r>
    </w:p>
    <w:p>
      <w:pPr>
        <w:spacing w:before="280" w:after="40"/>
      </w:pPr>
      <w:r>
        <w:rPr>
          <w:rFonts w:ascii="Arial" w:hAnsi="Arial"/>
          <w:b/>
          <w:color w:val="B48C32"/>
          <w:sz w:val="19"/>
        </w:rPr>
        <w:t>ACT 3 // 1:15 - 2:00 (45 seconds)</w:t>
      </w:r>
    </w:p>
    <w:p>
      <w:pPr>
        <w:spacing w:after="160"/>
      </w:pPr>
      <w:r>
        <w:rPr>
          <w:rFonts w:ascii="Arial" w:hAnsi="Arial"/>
          <w:b/>
          <w:color w:val="121214"/>
          <w:sz w:val="30"/>
        </w:rPr>
        <w:t>The Airplane Timeline, Turbulence &amp; Explainable AI</w:t>
      </w:r>
    </w:p>
    <w:tbl>
      <w:tblPr>
        <w:tblW w:type="auto" w:w="0"/>
        <w:jc w:val="center"/>
        <w:tblLook w:firstColumn="1" w:firstRow="1" w:lastColumn="0" w:lastRow="0" w:noHBand="0" w:noVBand="1" w:val="04A0"/>
      </w:tblPr>
      <w:tblGrid>
        <w:gridCol w:w="10080"/>
      </w:tblGrid>
      <w:tr>
        <w:tc>
          <w:tcPr>
            <w:tcW w:type="dxa" w:w="10080"/>
            <w:shd w:fill="F3F3F5"/>
            <w:tcMar>
              <w:top w:w="120" w:type="dxa"/>
              <w:bottom w:w="120" w:type="dxa"/>
              <w:left w:w="160" w:type="dxa"/>
              <w:right w:w="160" w:type="dxa"/>
            </w:tcMar>
          </w:tcPr>
          <w:p>
            <w:pPr>
              <w:spacing w:after="40"/>
            </w:pPr>
            <w:r>
              <w:rPr>
                <w:b/>
                <w:color w:val="1E3250"/>
                <w:sz w:val="19"/>
              </w:rPr>
              <w:t>🖥️ [SHOW] ON SCREEN ACTION:</w:t>
            </w:r>
          </w:p>
          <w:p>
            <w:pPr>
              <w:spacing w:after="0"/>
            </w:pPr>
            <w:r>
              <w:rPr>
                <w:sz w:val="19"/>
              </w:rPr>
              <w:t>Scroll down to the Tracker Hero section with the ambient video overlay. Highlight the animated Airplane Glyph cruising at 'Stage 05: Arguments' with its pulsing radar blip. Point to the 'Moderate Turbulence' badge (52/100). Then scroll down to the 'Why This Estimate?' factor breakdown, pointing out the Adjournment Drag (+6 mo delay) and the Precedent Vectors table featuring the ★ Public Benchmark badge.</w:t>
            </w:r>
          </w:p>
        </w:tc>
      </w:tr>
    </w:tbl>
    <w:p>
      <w:pPr>
        <w:spacing w:after="120"/>
      </w:pPr>
    </w:p>
    <w:tbl>
      <w:tblPr>
        <w:tblW w:type="auto" w:w="0"/>
        <w:jc w:val="center"/>
        <w:tblLook w:firstColumn="1" w:firstRow="1" w:lastColumn="0" w:lastRow="0" w:noHBand="0" w:noVBand="1" w:val="04A0"/>
      </w:tblPr>
      <w:tblGrid>
        <w:gridCol w:w="10080"/>
      </w:tblGrid>
      <w:tr>
        <w:tc>
          <w:tcPr>
            <w:tcW w:type="dxa" w:w="10080"/>
            <w:shd w:fill="121214"/>
            <w:tcMar>
              <w:top w:w="140" w:type="dxa"/>
              <w:bottom w:w="140" w:type="dxa"/>
              <w:left w:w="180" w:type="dxa"/>
              <w:right w:w="180" w:type="dxa"/>
            </w:tcMar>
          </w:tcPr>
          <w:p>
            <w:pPr>
              <w:spacing w:after="60"/>
            </w:pPr>
            <w:r>
              <w:rPr>
                <w:b/>
                <w:color w:val="B48C32"/>
                <w:sz w:val="19"/>
              </w:rPr>
              <w:t>🎙️ [TELL] VERBATIM SPOKEN SCRIPT:</w:t>
            </w:r>
          </w:p>
          <w:p>
            <w:pPr>
              <w:spacing w:after="0"/>
            </w:pPr>
            <w:r>
              <w:rPr>
                <w:i/>
                <w:color w:val="F5F3EE"/>
                <w:sz w:val="20"/>
              </w:rPr>
              <w:t>"Here is the live flight tracker. The case is currently cruising at Stage 5: Arguments. Notice the pulsating airplane icon on the timeline—it isn't just decorative; it tracks live altitude, months elapsed, and stage holding patterns.</w:t>
              <w:br/>
              <w:br/>
              <w:t>Right here, our engine detects Moderate Turbulence. Why? Because this case has recorded 6 adjournments—2.2 more than the regional cohort benchmark. Our model translates that directly into a +6 month timeline drag penalty.</w:t>
              <w:br/>
              <w:br/>
              <w:t>Unlike black-box AI, CourtFlight provides total algorithmic explainability. In our 'Why this estimate?' breakdown, litigants see exact causal factors: baseline court speed, postponement drag, and complexity grades.</w:t>
              <w:br/>
              <w:br/>
              <w:t>And below, we display the top 5 nearest precedent cases from our archive, including real Supreme Court landmark cases with official legal citations."</w:t>
            </w:r>
          </w:p>
        </w:tc>
      </w:tr>
    </w:tbl>
    <w:p>
      <w:pPr>
        <w:spacing w:after="80"/>
      </w:pPr>
    </w:p>
    <w:p>
      <w:pPr>
        <w:spacing w:before="40" w:after="200"/>
      </w:pPr>
      <w:r>
        <w:rPr>
          <w:b/>
          <w:color w:val="69696E"/>
          <w:sz w:val="18"/>
        </w:rPr>
        <w:t xml:space="preserve">💡 Presenter Tip: </w:t>
      </w:r>
      <w:r>
        <w:rPr>
          <w:color w:val="69696E"/>
          <w:sz w:val="18"/>
        </w:rPr>
        <w:t>Judges love Explainable AI. Highlighting the mathematical connection between 'adjournments' and 'months of delay' proves this is real data science.</w:t>
      </w:r>
    </w:p>
    <w:p>
      <w:pPr>
        <w:spacing w:before="280" w:after="40"/>
      </w:pPr>
      <w:r>
        <w:rPr>
          <w:rFonts w:ascii="Arial" w:hAnsi="Arial"/>
          <w:b/>
          <w:color w:val="B48C32"/>
          <w:sz w:val="19"/>
        </w:rPr>
        <w:t>ACT 4 // 2:00 - 2:45 (45 seconds)</w:t>
      </w:r>
    </w:p>
    <w:p>
      <w:pPr>
        <w:spacing w:after="160"/>
      </w:pPr>
      <w:r>
        <w:rPr>
          <w:rFonts w:ascii="Arial" w:hAnsi="Arial"/>
          <w:b/>
          <w:color w:val="121214"/>
          <w:sz w:val="30"/>
        </w:rPr>
        <w:t>Live Case Dispatch — The Interactive 'Wow' Moment</w:t>
      </w:r>
    </w:p>
    <w:tbl>
      <w:tblPr>
        <w:tblW w:type="auto" w:w="0"/>
        <w:jc w:val="center"/>
        <w:tblLook w:firstColumn="1" w:firstRow="1" w:lastColumn="0" w:lastRow="0" w:noHBand="0" w:noVBand="1" w:val="04A0"/>
      </w:tblPr>
      <w:tblGrid>
        <w:gridCol w:w="10080"/>
      </w:tblGrid>
      <w:tr>
        <w:tc>
          <w:tcPr>
            <w:tcW w:type="dxa" w:w="10080"/>
            <w:shd w:fill="F3F3F5"/>
            <w:tcMar>
              <w:top w:w="120" w:type="dxa"/>
              <w:bottom w:w="120" w:type="dxa"/>
              <w:left w:w="160" w:type="dxa"/>
              <w:right w:w="160" w:type="dxa"/>
            </w:tcMar>
          </w:tcPr>
          <w:p>
            <w:pPr>
              <w:spacing w:after="40"/>
            </w:pPr>
            <w:r>
              <w:rPr>
                <w:b/>
                <w:color w:val="1E3250"/>
                <w:sz w:val="19"/>
              </w:rPr>
              <w:t>🖥️ [SHOW] ON SCREEN ACTION:</w:t>
            </w:r>
          </w:p>
          <w:p>
            <w:pPr>
              <w:spacing w:after="0"/>
            </w:pPr>
            <w:r>
              <w:rPr>
                <w:sz w:val="19"/>
              </w:rPr>
              <w:t>Switch to Tab 2: http://localhost:3002/analyze. Show the Flight Dispatch Console. Click the preset chip 'Commercial Dispute @ Delhi HC'. Drag the adjournments slider back and forth to show the live turbulence preview changing from 'Smooth Flight' to 'Severe Turbulence'. Click the gold 'Launch Telemetry &amp; Compute KNN' button. Show the instant result generation: custom Boarding Pass, custom flight path, and tailored ETA.</w:t>
            </w:r>
          </w:p>
        </w:tc>
      </w:tr>
    </w:tbl>
    <w:p>
      <w:pPr>
        <w:spacing w:after="120"/>
      </w:pPr>
    </w:p>
    <w:tbl>
      <w:tblPr>
        <w:tblW w:type="auto" w:w="0"/>
        <w:jc w:val="center"/>
        <w:tblLook w:firstColumn="1" w:firstRow="1" w:lastColumn="0" w:lastRow="0" w:noHBand="0" w:noVBand="1" w:val="04A0"/>
      </w:tblPr>
      <w:tblGrid>
        <w:gridCol w:w="10080"/>
      </w:tblGrid>
      <w:tr>
        <w:tc>
          <w:tcPr>
            <w:tcW w:type="dxa" w:w="10080"/>
            <w:shd w:fill="121214"/>
            <w:tcMar>
              <w:top w:w="140" w:type="dxa"/>
              <w:bottom w:w="140" w:type="dxa"/>
              <w:left w:w="180" w:type="dxa"/>
              <w:right w:w="180" w:type="dxa"/>
            </w:tcMar>
          </w:tcPr>
          <w:p>
            <w:pPr>
              <w:spacing w:after="60"/>
            </w:pPr>
            <w:r>
              <w:rPr>
                <w:b/>
                <w:color w:val="B48C32"/>
                <w:sz w:val="19"/>
              </w:rPr>
              <w:t>🎙️ [TELL] VERBATIM SPOKEN SCRIPT:</w:t>
            </w:r>
          </w:p>
          <w:p>
            <w:pPr>
              <w:spacing w:after="0"/>
            </w:pPr>
            <w:r>
              <w:rPr>
                <w:i/>
                <w:color w:val="F5F3EE"/>
                <w:sz w:val="20"/>
              </w:rPr>
              <w:t>"Now, what if you have a brand new case filed just this morning?</w:t>
              <w:br/>
              <w:br/>
              <w:t>Here in our Case Dispatch Terminal, any lawyer or corporate counsel can input custom docket vectors. Watch what happens as I adjust the adjournments slider: our system computes procedural turbulence in real time.</w:t>
              <w:br/>
              <w:br/>
              <w:t>Let’s select a high-stakes Commercial Dispute at the Delhi High Court and click 'Launch Telemetry'.</w:t>
              <w:br/>
              <w:br/>
              <w:t>[Click button — wait 1 second]</w:t>
              <w:br/>
              <w:br/>
              <w:t>In milliseconds, our POST /api/predict endpoint builds a 33-dimensional feature vector, queries our archive of 1,565 dockets, calculates Euclidean nearest neighbors, and generates a bespoke flight trajectory—complete with a synthesized boarding pass, calibrated confidence score, and explainable timeline."</w:t>
            </w:r>
          </w:p>
        </w:tc>
      </w:tr>
    </w:tbl>
    <w:p>
      <w:pPr>
        <w:spacing w:after="80"/>
      </w:pPr>
    </w:p>
    <w:p>
      <w:pPr>
        <w:spacing w:before="40" w:after="200"/>
      </w:pPr>
      <w:r>
        <w:rPr>
          <w:b/>
          <w:color w:val="69696E"/>
          <w:sz w:val="18"/>
        </w:rPr>
        <w:t xml:space="preserve">💡 Presenter Tip: </w:t>
      </w:r>
      <w:r>
        <w:rPr>
          <w:color w:val="69696E"/>
          <w:sz w:val="18"/>
        </w:rPr>
        <w:t>This is the climax of your presentation. Doing a live interactive calculation proves that the API and algorithm are fully operational, not pre-rendered videos.</w:t>
      </w:r>
    </w:p>
    <w:p>
      <w:pPr>
        <w:spacing w:before="280" w:after="40"/>
      </w:pPr>
      <w:r>
        <w:rPr>
          <w:rFonts w:ascii="Arial" w:hAnsi="Arial"/>
          <w:b/>
          <w:color w:val="B48C32"/>
          <w:sz w:val="19"/>
        </w:rPr>
        <w:t>ACT 5 // 2:45 - 3:00 (15 seconds)</w:t>
      </w:r>
    </w:p>
    <w:p>
      <w:pPr>
        <w:spacing w:after="160"/>
      </w:pPr>
      <w:r>
        <w:rPr>
          <w:rFonts w:ascii="Arial" w:hAnsi="Arial"/>
          <w:b/>
          <w:color w:val="121214"/>
          <w:sz w:val="30"/>
        </w:rPr>
        <w:t>Architecture, Scalability &amp; Closing Pitch</w:t>
      </w:r>
    </w:p>
    <w:tbl>
      <w:tblPr>
        <w:tblW w:type="auto" w:w="0"/>
        <w:jc w:val="center"/>
        <w:tblLook w:firstColumn="1" w:firstRow="1" w:lastColumn="0" w:lastRow="0" w:noHBand="0" w:noVBand="1" w:val="04A0"/>
      </w:tblPr>
      <w:tblGrid>
        <w:gridCol w:w="10080"/>
      </w:tblGrid>
      <w:tr>
        <w:tc>
          <w:tcPr>
            <w:tcW w:type="dxa" w:w="10080"/>
            <w:shd w:fill="F3F3F5"/>
            <w:tcMar>
              <w:top w:w="120" w:type="dxa"/>
              <w:bottom w:w="120" w:type="dxa"/>
              <w:left w:w="160" w:type="dxa"/>
              <w:right w:w="160" w:type="dxa"/>
            </w:tcMar>
          </w:tcPr>
          <w:p>
            <w:pPr>
              <w:spacing w:after="40"/>
            </w:pPr>
            <w:r>
              <w:rPr>
                <w:b/>
                <w:color w:val="1E3250"/>
                <w:sz w:val="19"/>
              </w:rPr>
              <w:t>🖥️ [SHOW] ON SCREEN ACTION:</w:t>
            </w:r>
          </w:p>
          <w:p>
            <w:pPr>
              <w:spacing w:after="0"/>
            </w:pPr>
            <w:r>
              <w:rPr>
                <w:sz w:val="19"/>
              </w:rPr>
              <w:t>Scroll back to the top or glance at the navigation links (Dockets, Trajectory, Manifest). End on the strong hero headline. Stand tall, look at the judges, and deliver the closing line.</w:t>
            </w:r>
          </w:p>
        </w:tc>
      </w:tr>
    </w:tbl>
    <w:p>
      <w:pPr>
        <w:spacing w:after="120"/>
      </w:pPr>
    </w:p>
    <w:tbl>
      <w:tblPr>
        <w:tblW w:type="auto" w:w="0"/>
        <w:jc w:val="center"/>
        <w:tblLook w:firstColumn="1" w:firstRow="1" w:lastColumn="0" w:lastRow="0" w:noHBand="0" w:noVBand="1" w:val="04A0"/>
      </w:tblPr>
      <w:tblGrid>
        <w:gridCol w:w="10080"/>
      </w:tblGrid>
      <w:tr>
        <w:tc>
          <w:tcPr>
            <w:tcW w:type="dxa" w:w="10080"/>
            <w:shd w:fill="121214"/>
            <w:tcMar>
              <w:top w:w="140" w:type="dxa"/>
              <w:bottom w:w="140" w:type="dxa"/>
              <w:left w:w="180" w:type="dxa"/>
              <w:right w:w="180" w:type="dxa"/>
            </w:tcMar>
          </w:tcPr>
          <w:p>
            <w:pPr>
              <w:spacing w:after="60"/>
            </w:pPr>
            <w:r>
              <w:rPr>
                <w:b/>
                <w:color w:val="B48C32"/>
                <w:sz w:val="19"/>
              </w:rPr>
              <w:t>🎙️ [TELL] VERBATIM SPOKEN SCRIPT:</w:t>
            </w:r>
          </w:p>
          <w:p>
            <w:pPr>
              <w:spacing w:after="0"/>
            </w:pPr>
            <w:r>
              <w:rPr>
                <w:i/>
                <w:color w:val="F5F3EE"/>
                <w:sz w:val="20"/>
              </w:rPr>
              <w:t>"Under the hood, CourtFlight is powered by Next.js 14 App Router, Tailwind CSS, and a zero-dependency k-NN machine learning engine. It is completely production-ready and built to plug directly into live eCourts and National Judicial Data Grid APIs.</w:t>
              <w:br/>
              <w:br/>
              <w:t>CourtFlight turns legal anxiety into procedural clarity.</w:t>
              <w:br/>
              <w:br/>
              <w:t>Thank you."</w:t>
            </w:r>
          </w:p>
        </w:tc>
      </w:tr>
    </w:tbl>
    <w:p>
      <w:pPr>
        <w:spacing w:after="80"/>
      </w:pPr>
    </w:p>
    <w:p>
      <w:pPr>
        <w:spacing w:before="40" w:after="200"/>
      </w:pPr>
      <w:r>
        <w:rPr>
          <w:b/>
          <w:color w:val="69696E"/>
          <w:sz w:val="18"/>
        </w:rPr>
        <w:t xml:space="preserve">💡 Presenter Tip: </w:t>
      </w:r>
      <w:r>
        <w:rPr>
          <w:color w:val="69696E"/>
          <w:sz w:val="18"/>
        </w:rPr>
        <w:t>End crisply right at the 2:55 - 3:00 mark. Leaving 5 seconds of silence before the buzzer makes you look exceptionally polished.</w:t>
      </w:r>
    </w:p>
    <w:p>
      <w:r>
        <w:br w:type="page"/>
      </w:r>
    </w:p>
    <w:p>
      <w:pPr>
        <w:spacing w:before="280" w:after="80"/>
      </w:pPr>
      <w:r>
        <w:rPr>
          <w:rFonts w:ascii="Arial" w:hAnsi="Arial"/>
          <w:b/>
          <w:color w:val="121214"/>
          <w:sz w:val="28"/>
        </w:rPr>
        <w:t>3. Anticipated Q&amp;A (Judge Defense Guide)</w:t>
      </w:r>
    </w:p>
    <w:tbl>
      <w:tblPr>
        <w:tblW w:type="auto" w:w="0"/>
        <w:jc w:val="center"/>
        <w:tblLook w:firstColumn="1" w:firstRow="1" w:lastColumn="0" w:lastRow="0" w:noHBand="0" w:noVBand="1" w:val="04A0"/>
      </w:tblPr>
      <w:tblGrid>
        <w:gridCol w:w="5040"/>
        <w:gridCol w:w="5040"/>
      </w:tblGrid>
      <w:tr>
        <w:tc>
          <w:tcPr>
            <w:tcW w:type="dxa" w:w="5040"/>
            <w:shd w:fill="121214"/>
            <w:tcMar>
              <w:top w:w="100" w:type="dxa"/>
              <w:bottom w:w="100" w:type="dxa"/>
              <w:left w:w="140" w:type="dxa"/>
              <w:right w:w="140" w:type="dxa"/>
            </w:tcMar>
          </w:tcPr>
          <w:p>
            <w:r>
              <w:rPr>
                <w:b/>
                <w:color w:val="FFFFFF"/>
                <w:sz w:val="19"/>
              </w:rPr>
              <w:t>ANTICIPATED QUESTION</w:t>
            </w:r>
          </w:p>
        </w:tc>
        <w:tc>
          <w:tcPr>
            <w:tcW w:type="dxa" w:w="5040"/>
            <w:shd w:fill="121214"/>
            <w:tcMar>
              <w:top w:w="100" w:type="dxa"/>
              <w:bottom w:w="100" w:type="dxa"/>
              <w:left w:w="140" w:type="dxa"/>
              <w:right w:w="140" w:type="dxa"/>
            </w:tcMar>
          </w:tcPr>
          <w:p>
            <w:r>
              <w:rPr>
                <w:b/>
                <w:color w:val="FFFFFF"/>
                <w:sz w:val="19"/>
              </w:rPr>
              <w:t>WINNING STRATEGIC ANSWER</w:t>
            </w:r>
          </w:p>
        </w:tc>
      </w:tr>
      <w:tr>
        <w:tc>
          <w:tcPr>
            <w:tcW w:type="dxa" w:w="5040"/>
            <w:tcMar>
              <w:top w:w="90" w:type="dxa"/>
              <w:bottom w:w="90" w:type="dxa"/>
              <w:left w:w="140" w:type="dxa"/>
              <w:right w:w="140" w:type="dxa"/>
            </w:tcMar>
          </w:tcPr>
          <w:p>
            <w:r>
              <w:rPr>
                <w:b/>
                <w:color w:val="121214"/>
                <w:sz w:val="18"/>
              </w:rPr>
              <w:t>Is this real machine learning or just hardcoded values?</w:t>
            </w:r>
          </w:p>
        </w:tc>
        <w:tc>
          <w:tcPr>
            <w:tcW w:type="dxa" w:w="5040"/>
            <w:tcMar>
              <w:top w:w="90" w:type="dxa"/>
              <w:bottom w:w="90" w:type="dxa"/>
              <w:left w:w="140" w:type="dxa"/>
              <w:right w:w="140" w:type="dxa"/>
            </w:tcMar>
          </w:tcPr>
          <w:p>
            <w:r>
              <w:rPr>
                <w:sz w:val="17"/>
              </w:rPr>
              <w:t>It is a genuine multi-dimensional k-Nearest Neighbors (k-NN) algorithm. We normalize case age, adjournment frequency, stage progress, court jurisdiction, and complexity into a 33-dimensional vector. The engine computes weighted Euclidean distances against 1,565 historical dockets, identifies the top k=15 nearest precedents, and computes empirical 25th, 50th, and 75th percentiles.</w:t>
            </w:r>
          </w:p>
        </w:tc>
      </w:tr>
      <w:tr>
        <w:tc>
          <w:tcPr>
            <w:tcW w:type="dxa" w:w="5040"/>
            <w:tcMar>
              <w:top w:w="90" w:type="dxa"/>
              <w:bottom w:w="90" w:type="dxa"/>
              <w:left w:w="140" w:type="dxa"/>
              <w:right w:w="140" w:type="dxa"/>
            </w:tcMar>
            <w:shd w:fill="F8F8F9"/>
          </w:tcPr>
          <w:p>
            <w:r>
              <w:rPr>
                <w:b/>
                <w:color w:val="121214"/>
                <w:sz w:val="18"/>
              </w:rPr>
              <w:t>Where does your data come from? Is it accurate?</w:t>
            </w:r>
          </w:p>
        </w:tc>
        <w:tc>
          <w:tcPr>
            <w:tcW w:type="dxa" w:w="5040"/>
            <w:tcMar>
              <w:top w:w="90" w:type="dxa"/>
              <w:bottom w:w="90" w:type="dxa"/>
              <w:left w:w="140" w:type="dxa"/>
              <w:right w:w="140" w:type="dxa"/>
            </w:tcMar>
            <w:shd w:fill="F8F8F9"/>
          </w:tcPr>
          <w:p>
            <w:r>
              <w:rPr>
                <w:sz w:val="17"/>
              </w:rPr>
              <w:t>The system is powered by 1,550 case records statistically synthesized to match the exact pendency distributions, adjournment frequencies, and disposal rates reported in National Judicial Data Grid (NJDG) publications. To validate the engine, we also integrated 15 real public Supreme Court and High Court landmark cases (such as Shayara Bano and Navtej Johar) with official legal citations.</w:t>
            </w:r>
          </w:p>
        </w:tc>
      </w:tr>
      <w:tr>
        <w:tc>
          <w:tcPr>
            <w:tcW w:type="dxa" w:w="5040"/>
            <w:tcMar>
              <w:top w:w="90" w:type="dxa"/>
              <w:bottom w:w="90" w:type="dxa"/>
              <w:left w:w="140" w:type="dxa"/>
              <w:right w:w="140" w:type="dxa"/>
            </w:tcMar>
          </w:tcPr>
          <w:p>
            <w:r>
              <w:rPr>
                <w:b/>
                <w:color w:val="121214"/>
                <w:sz w:val="18"/>
              </w:rPr>
              <w:t>How does your delay/turbulence scoring actually work?</w:t>
            </w:r>
          </w:p>
        </w:tc>
        <w:tc>
          <w:tcPr>
            <w:tcW w:type="dxa" w:w="5040"/>
            <w:tcMar>
              <w:top w:w="90" w:type="dxa"/>
              <w:bottom w:w="90" w:type="dxa"/>
              <w:left w:w="140" w:type="dxa"/>
              <w:right w:w="140" w:type="dxa"/>
            </w:tcMar>
          </w:tcPr>
          <w:p>
            <w:r>
              <w:rPr>
                <w:sz w:val="17"/>
              </w:rPr>
              <w:t>We analyze the case's adjournment count relative to its court and case-type benchmark. In our dataset, each adjournment correlates with approximately 2.8 months of additional procedural lag. Cases with postponement rates 1.5x above the cohort benchmark are flagged as Severe Turbulence (+75 score) and penalized accordingly in their ETA.</w:t>
            </w:r>
          </w:p>
        </w:tc>
      </w:tr>
      <w:tr>
        <w:tc>
          <w:tcPr>
            <w:tcW w:type="dxa" w:w="5040"/>
            <w:tcMar>
              <w:top w:w="90" w:type="dxa"/>
              <w:bottom w:w="90" w:type="dxa"/>
              <w:left w:w="140" w:type="dxa"/>
              <w:right w:w="140" w:type="dxa"/>
            </w:tcMar>
            <w:shd w:fill="F8F8F9"/>
          </w:tcPr>
          <w:p>
            <w:r>
              <w:rPr>
                <w:b/>
                <w:color w:val="121214"/>
                <w:sz w:val="18"/>
              </w:rPr>
              <w:t>How hard is it to integrate live eCourts data?</w:t>
            </w:r>
          </w:p>
        </w:tc>
        <w:tc>
          <w:tcPr>
            <w:tcW w:type="dxa" w:w="5040"/>
            <w:tcMar>
              <w:top w:w="90" w:type="dxa"/>
              <w:bottom w:w="90" w:type="dxa"/>
              <w:left w:w="140" w:type="dxa"/>
              <w:right w:w="140" w:type="dxa"/>
            </w:tcMar>
            <w:shd w:fill="F8F8F9"/>
          </w:tcPr>
          <w:p>
            <w:r>
              <w:rPr>
                <w:sz w:val="17"/>
              </w:rPr>
              <w:t>Our API layer (POST and GET /api/predict) is completely decoupled from the data storage. When eCourts or state judicial APIs grant production access, our ingest pipeline can swap the underlying JSON data store with live database feeds without altering a single component of the UI or prediction logic.</w:t>
            </w:r>
          </w:p>
        </w:tc>
      </w:tr>
      <w:tr>
        <w:tc>
          <w:tcPr>
            <w:tcW w:type="dxa" w:w="5040"/>
            <w:tcMar>
              <w:top w:w="90" w:type="dxa"/>
              <w:bottom w:w="90" w:type="dxa"/>
              <w:left w:w="140" w:type="dxa"/>
              <w:right w:w="140" w:type="dxa"/>
            </w:tcMar>
          </w:tcPr>
          <w:p>
            <w:r>
              <w:rPr>
                <w:b/>
                <w:color w:val="121214"/>
                <w:sz w:val="18"/>
              </w:rPr>
              <w:t>Who is the target user and what is the monetization model?</w:t>
            </w:r>
          </w:p>
        </w:tc>
        <w:tc>
          <w:tcPr>
            <w:tcW w:type="dxa" w:w="5040"/>
            <w:tcMar>
              <w:top w:w="90" w:type="dxa"/>
              <w:bottom w:w="90" w:type="dxa"/>
              <w:left w:w="140" w:type="dxa"/>
              <w:right w:w="140" w:type="dxa"/>
            </w:tcMar>
          </w:tcPr>
          <w:p>
            <w:r>
              <w:rPr>
                <w:sz w:val="17"/>
              </w:rPr>
              <w:t>CourtFlight serves two markets: B2C (individual litigants seeking peace of mind through affordable case-tracking subscriptions) and B2B (enterprise legal departments, banks, and law firms that manage hundreds of commercial disputes and need predictive forecasting for litigation reserves and trial strategy).</w:t>
            </w:r>
          </w:p>
        </w:tc>
      </w:tr>
    </w:tbl>
    <w:p>
      <w:pPr>
        <w:spacing w:after="280"/>
      </w:pP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