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C9A24B"/>
          <w:sz w:val="52"/>
        </w:rPr>
        <w:t>COURTFLIGHT</w:t>
      </w:r>
    </w:p>
    <w:p>
      <w:pPr>
        <w:spacing w:after="280"/>
      </w:pPr>
      <w:r>
        <w:rPr>
          <w:rFonts w:ascii="Arial" w:hAnsi="Arial"/>
          <w:b/>
          <w:color w:val="0B0B0C"/>
          <w:sz w:val="32"/>
        </w:rPr>
        <w:t>Unsupervised K-Means Clustering &amp; Telemetry Engine</w:t>
      </w:r>
    </w:p>
    <w:p>
      <w:pPr>
        <w:spacing w:after="400"/>
      </w:pPr>
      <w:r>
        <w:rPr>
          <w:rFonts w:ascii="Arial" w:hAnsi="Arial"/>
          <w:i/>
          <w:color w:val="6B6B6E"/>
          <w:sz w:val="22"/>
        </w:rPr>
        <w:t>Technical Architecture, Mathematical Foundations, Feature Vector Space, and Empirical Live Traces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C9A24B"/>
          </w:tcPr>
          <w:p/>
        </w:tc>
      </w:tr>
    </w:tbl>
    <w:p>
      <w:pPr>
        <w:spacing w:after="280"/>
      </w:pPr>
    </w:p>
    <w:p>
      <w:pPr>
        <w:pStyle w:val="Heading1"/>
      </w:pPr>
      <w:r>
        <w:rPr>
          <w:color w:val="C9A24B"/>
          <w:sz w:val="30"/>
        </w:rPr>
        <w:t>1. Executive Summary &amp; Core Objective</w:t>
      </w:r>
    </w:p>
    <w:p>
      <w:pPr>
        <w:spacing w:after="160" w:line="276" w:lineRule="auto"/>
      </w:pPr>
      <w:r>
        <w:t>CourtFlight upgrades Indian court case management from arbitrary manual estimates into a scientific, unsupervised machine learning engine. In conventional legal systems, pendency timelines are treated as black boxes. CourtFlight formulates every court case into an empirical 33-dimensional coordinate point and clusters it against the full dataset of 1,550 historical dockets across Indian High Courts.</w:t>
      </w:r>
    </w:p>
    <w:p>
      <w:pPr>
        <w:spacing w:after="280" w:line="276" w:lineRule="auto"/>
      </w:pPr>
      <w:r>
        <w:t>100% of all active and historical cases in CourtFlight are now classified via a precomputed, 10-cluster K-Means++ model. This document details the exact mathematical vectorization, Euclidean distance minimization, empirical percentile calculations, and a full execution trace demonstrating how docket NYR-00001 is mapped to Cluster #4.</w:t>
      </w:r>
    </w:p>
    <w:p>
      <w:pPr>
        <w:pStyle w:val="Heading1"/>
      </w:pPr>
      <w:r>
        <w:rPr>
          <w:color w:val="C9A24B"/>
          <w:sz w:val="30"/>
        </w:rPr>
        <w:t>2. 5-Step Clustering Pipeline</w:t>
      </w:r>
    </w:p>
    <w:p>
      <w:pPr>
        <w:spacing w:before="120" w:after="40"/>
      </w:pPr>
      <w:r>
        <w:rPr>
          <w:b/>
          <w:color w:val="0B0B0C"/>
          <w:sz w:val="22"/>
        </w:rPr>
        <w:t>Step 1: 33-Dimensional Vector Space Projection</w:t>
      </w:r>
    </w:p>
    <w:p>
      <w:pPr>
        <w:spacing w:after="160" w:line="276" w:lineRule="auto"/>
      </w:pPr>
      <w:r>
        <w:rPr>
          <w:color w:val="0B0B0C"/>
          <w:sz w:val="20"/>
        </w:rPr>
        <w:t>Each case is vectorized into 33 numerical coordinates:</w:t>
        <w:br/>
        <w:t>• 6 Dimensions: One-hot encoded case type (Civil, Commercial, Criminal, Family, Property, Service)</w:t>
        <w:br/>
        <w:t>• 12 Dimensions: One-hot encoded filing court (Telangana, Bombay, Calcutta, Delhi, Madras, etc.)</w:t>
        <w:br/>
        <w:t>• 12 Dimensions: One-hot encoded state jurisdiction</w:t>
        <w:br/>
        <w:t>• 1 Dimension: Min-Max scaled case age in years: norm(age) = (age - minAge) / (maxAge - minAge)</w:t>
        <w:br/>
        <w:t>• 1 Dimension: Min-Max scaled adjournments count: norm(adjs) = (adjs - minAdj) / (maxAdj - minAdj)</w:t>
        <w:br/>
        <w:t>• 1 Dimension: Ordinal procedural stage index scaled 0.0 (Filed) to 1.0 (Disposed)</w:t>
      </w:r>
    </w:p>
    <w:p>
      <w:pPr>
        <w:spacing w:before="120" w:after="40"/>
      </w:pPr>
      <w:r>
        <w:rPr>
          <w:b/>
          <w:color w:val="0B0B0C"/>
          <w:sz w:val="22"/>
        </w:rPr>
        <w:t>Step 2: K-Means++ Optimization Across 1,550 Cases</w:t>
      </w:r>
    </w:p>
    <w:p>
      <w:pPr>
        <w:spacing w:after="160" w:line="276" w:lineRule="auto"/>
      </w:pPr>
      <w:r>
        <w:rPr>
          <w:color w:val="0B0B0C"/>
          <w:sz w:val="20"/>
        </w:rPr>
        <w:t>The engine was trained across 1,550 cases with k=10 clusters. To avoid local minima, 5 random restarts with k-means++ centroid initialization were executed. The clustering solution with the absolute lowest Within-Cluster Sum of Squares (WCSS = 2396.12) was precomputed and cached into cluster-stats.json.</w:t>
      </w:r>
    </w:p>
    <w:p>
      <w:pPr>
        <w:spacing w:before="120" w:after="40"/>
      </w:pPr>
      <w:r>
        <w:rPr>
          <w:b/>
          <w:color w:val="0B0B0C"/>
          <w:sz w:val="22"/>
        </w:rPr>
        <w:t>Step 3: Real-Time Vector Inference &amp; Euclidean Distance</w:t>
      </w:r>
    </w:p>
    <w:p>
      <w:pPr>
        <w:spacing w:after="160" w:line="276" w:lineRule="auto"/>
      </w:pPr>
      <w:r>
        <w:rPr>
          <w:color w:val="0B0B0C"/>
          <w:sz w:val="20"/>
        </w:rPr>
        <w:t>When an active case x is inspected, its Euclidean distance to every cluster centroid μ_k is computed:</w:t>
        <w:br/>
        <w:t>d(x, μ_k) = sqrt( sum_{i=1}^{33} (x_i - μ_{k,i})^2 )</w:t>
      </w:r>
    </w:p>
    <w:p>
      <w:pPr>
        <w:spacing w:before="120" w:after="40"/>
      </w:pPr>
      <w:r>
        <w:rPr>
          <w:b/>
          <w:color w:val="0B0B0C"/>
          <w:sz w:val="22"/>
        </w:rPr>
        <w:t>Step 4: Optimal Centroid Assignment</w:t>
      </w:r>
    </w:p>
    <w:p>
      <w:pPr>
        <w:spacing w:after="160" w:line="276" w:lineRule="auto"/>
      </w:pPr>
      <w:r>
        <w:rPr>
          <w:color w:val="0B0B0C"/>
          <w:sz w:val="20"/>
        </w:rPr>
        <w:t>The case is assigned to whichever cluster minimizes the Euclidean metric:</w:t>
        <w:br/>
        <w:t>k* = argmin_{k} d(x, μ_k)</w:t>
        <w:br/>
        <w:t>Because each of the 10 clusters contains between 18 and 97 disposed cases (average 46), every cluster is mature and trusted (method: 'cluster').</w:t>
      </w:r>
    </w:p>
    <w:p>
      <w:pPr>
        <w:spacing w:before="120" w:after="40"/>
      </w:pPr>
      <w:r>
        <w:rPr>
          <w:b/>
          <w:color w:val="0B0B0C"/>
          <w:sz w:val="22"/>
        </w:rPr>
        <w:t>Step 5: Empirical Percentile Extraction &amp; Precedent Retrieval</w:t>
      </w:r>
    </w:p>
    <w:p>
      <w:pPr>
        <w:spacing w:after="160" w:line="276" w:lineRule="auto"/>
      </w:pPr>
      <w:r>
        <w:rPr>
          <w:color w:val="0B0B0C"/>
          <w:sz w:val="20"/>
        </w:rPr>
        <w:t>Instead of arbitrary formulas, the ETA window is derived strictly from historical cases in cluster k*:</w:t>
        <w:br/>
        <w:t>• p25: 25th percentile of years-to-disposal (accelerated scenario)</w:t>
        <w:br/>
        <w:t>• Median: 50th percentile of years-to-disposal (most probable trajectory)</w:t>
        <w:br/>
        <w:t>• p75: 75th percentile of years-to-disposal (extended litigation window)</w:t>
        <w:br/>
        <w:t>The 5 actual precedent cases with disposal dates closest to the median are sampled and displayed.</w:t>
      </w:r>
    </w:p>
    <w:p>
      <w:pPr>
        <w:pStyle w:val="Heading1"/>
      </w:pPr>
      <w:r>
        <w:rPr>
          <w:color w:val="C9A24B"/>
          <w:sz w:val="30"/>
        </w:rPr>
        <w:t>3. The 10 Precomputed Cluster Baselines</w:t>
      </w:r>
    </w:p>
    <w:p>
      <w:pPr>
        <w:spacing w:after="160"/>
      </w:pPr>
      <w:r>
        <w:t>Below is the complete architectural baseline generated by scripts/build-clusters.js and saved to data/cluster-stats.json: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B0B0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C9A24B"/>
                <w:sz w:val="18"/>
              </w:rPr>
              <w:t>Cluster ID</w:t>
            </w:r>
          </w:p>
        </w:tc>
        <w:tc>
          <w:tcPr>
            <w:tcW w:type="dxa" w:w="1656"/>
            <w:shd w:fill="0B0B0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8"/>
              </w:rPr>
              <w:t>Total Cases</w:t>
            </w:r>
          </w:p>
        </w:tc>
        <w:tc>
          <w:tcPr>
            <w:tcW w:type="dxa" w:w="1656"/>
            <w:shd w:fill="0B0B0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8"/>
              </w:rPr>
              <w:t>Disposed</w:t>
            </w:r>
          </w:p>
        </w:tc>
        <w:tc>
          <w:tcPr>
            <w:tcW w:type="dxa" w:w="1656"/>
            <w:shd w:fill="0B0B0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8"/>
              </w:rPr>
              <w:t>Median ETA</w:t>
            </w:r>
          </w:p>
        </w:tc>
        <w:tc>
          <w:tcPr>
            <w:tcW w:type="dxa" w:w="1656"/>
            <w:shd w:fill="0B0B0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8"/>
              </w:rPr>
              <w:t>ETA Window (p25–p75)</w:t>
            </w:r>
          </w:p>
        </w:tc>
        <w:tc>
          <w:tcPr>
            <w:tcW w:type="dxa" w:w="1656"/>
            <w:shd w:fill="0B0B0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C9A24B"/>
                <w:sz w:val="18"/>
              </w:rPr>
              <w:t>Dominant Litigation Vectors</w:t>
            </w:r>
          </w:p>
        </w:tc>
      </w:tr>
      <w:tr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#0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277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71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3.7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2.8 – 4.7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Commercial, Property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#1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215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76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3.7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2.8 – 4.5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Commercial, Service</w:t>
            </w:r>
          </w:p>
        </w:tc>
      </w:tr>
      <w:tr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#2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147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44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4.0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3.1 – 4.8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Criminal, Service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#3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87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32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4.0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3.0 – 5.1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Property, Criminal</w:t>
            </w:r>
          </w:p>
        </w:tc>
      </w:tr>
      <w:tr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#4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68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25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3.9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3.1 – 4.6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Criminal (High Turbulence)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#5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130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38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4.2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3.2 – 5.2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Family, Property</w:t>
            </w:r>
          </w:p>
        </w:tc>
      </w:tr>
      <w:tr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#6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95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18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3.3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2.4 – 4.1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Family, Commercial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#7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343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97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4.4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3.3 – 5.4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Civil, Property, Service</w:t>
            </w:r>
          </w:p>
        </w:tc>
      </w:tr>
      <w:tr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#8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107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29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3.9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3.0 – 4.9 yrs</w:t>
            </w:r>
          </w:p>
        </w:tc>
        <w:tc>
          <w:tcPr>
            <w:tcW w:type="dxa" w:w="165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Property, Civil, Criminal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Cluster #9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81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27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4.4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3.4 – 5.3 yrs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Criminal (Standard Trajectory)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C9A24B"/>
          <w:sz w:val="30"/>
        </w:rPr>
        <w:t>4. Live Execution Trace: Case NYR-00001</w:t>
      </w:r>
    </w:p>
    <w:p>
      <w:pPr>
        <w:spacing w:after="120"/>
      </w:pPr>
      <w:r>
        <w:t>To observe how clusterisation occurs in practice, consider docket NYR-00001 querying the engine in real 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3E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b/>
              </w:rPr>
              <w:t>DOCKET METRIC SPECIFICATION:</w:t>
              <w:br/>
            </w:r>
            <w:r>
              <w:t>• Case ID: NYR-00001</w:t>
              <w:br/>
            </w:r>
            <w:r>
              <w:t>• Case Type: Criminal | Filing Court: Telangana High Court | Jurisdiction: Telangana</w:t>
              <w:br/>
            </w:r>
            <w:r>
              <w:t>• Current Stage: Arguments (Ordinal value = 0.667)</w:t>
              <w:br/>
            </w:r>
            <w:r>
              <w:t>• Adjournments: 6 (Normalized = 0.667) | Filing Date: 2017-08-12 (Normalized Age = 0.841)</w:t>
              <w:br/>
              <w:br/>
            </w:r>
            <w:r>
              <w:rPr>
                <w:b/>
              </w:rPr>
              <w:t>EUCLIDEAN DISTANCE COMPUTED TO ALL 10 CENTROIDS:</w:t>
              <w:br/>
            </w:r>
            <w:r>
              <w:t xml:space="preserve">  Cluster #0 (Civil / Commercial / Property) : 1.6716</w:t>
              <w:br/>
            </w:r>
            <w:r>
              <w:t xml:space="preserve">  Cluster #1 (Civil / Commercial / Service)  : 1.9493</w:t>
              <w:br/>
            </w:r>
            <w:r>
              <w:t xml:space="preserve">  Cluster #2 (Civil / Criminal / Service)    : 2.2022</w:t>
              <w:br/>
            </w:r>
            <w:r>
              <w:t xml:space="preserve">  Cluster #3 (Civil / Property / Criminal)   : 2.2143</w:t>
              <w:br/>
            </w:r>
            <w:r>
              <w:t xml:space="preserve">  Cluster #4 (Criminal Dominant)             : 1.2682  &lt;=== MINIMUM DISTANCE (SELECTED)</w:t>
              <w:br/>
            </w:r>
            <w:r>
              <w:t xml:space="preserve">  Cluster #5 (Civil / Family / Property)     : 2.2016</w:t>
              <w:br/>
            </w:r>
            <w:r>
              <w:t xml:space="preserve">  Cluster #6 (Civil / Family / Commercial)   : 2.2803</w:t>
              <w:br/>
            </w:r>
            <w:r>
              <w:t xml:space="preserve">  Cluster #7 (Civil / Property / Service)    : 2.3284</w:t>
              <w:br/>
            </w:r>
            <w:r>
              <w:t xml:space="preserve">  Cluster #8 (Property / Civil / Criminal)   : 2.2259</w:t>
              <w:br/>
            </w:r>
            <w:r>
              <w:t xml:space="preserve">  Cluster #9 (Criminal Secondary)            : 2.0141</w:t>
              <w:br/>
              <w:br/>
            </w:r>
            <w:r>
              <w:rPr>
                <w:b/>
              </w:rPr>
              <w:t>ENGINE INFERENCE RESULTS:</w:t>
              <w:br/>
            </w:r>
            <w:r>
              <w:t>• Method Assigned: 'cluster' (Precomputed K-Means inference)</w:t>
              <w:br/>
            </w:r>
            <w:r>
              <w:t>• Matched Cluster: Cluster #4 (68 cases in cluster)</w:t>
              <w:br/>
            </w:r>
            <w:r>
              <w:t>• Empirical Percentiles: p25 = 3.1 yrs, Median = 3.9 yrs, p75 = 4.6 yrs</w:t>
              <w:br/>
            </w:r>
            <w:r>
              <w:t>• Adjournment Benchmark: Case has 6 adjournments vs Cluster Avg of 3.7 =&gt; High Risk</w:t>
              <w:br/>
            </w:r>
            <w:r>
              <w:t>• Precedent Cases Sampled from Cluster #4:</w:t>
              <w:br/>
            </w:r>
            <w:r>
              <w:t xml:space="preserve">   1. NYR-••199 — Criminal, Telangana HC (3.9 yrs to disposal, 6 adjs)</w:t>
              <w:br/>
            </w:r>
            <w:r>
              <w:t xml:space="preserve">   2. NYR-••015 — Criminal, Telangana HC (3.8 yrs to disposal, 9 adjs)</w:t>
              <w:br/>
            </w:r>
            <w:r>
              <w:t xml:space="preserve">   3. NYR-••292 — Criminal, Rajasthan HC (3.9 yrs to disposal, 6 adjs)</w:t>
              <w:br/>
            </w:r>
            <w:r>
              <w:t xml:space="preserve">   4. NYR-••761 — Criminal, Punjab &amp; Haryana HC (3.9 yrs to disposal, 5 adjs)</w:t>
              <w:br/>
            </w:r>
            <w:r>
              <w:t xml:space="preserve">   5. NYR-••814 — Criminal, Calcutta HC (3.8 yrs to disposal, 3 adjs)</w:t>
              <w:br/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C9A24B"/>
          <w:sz w:val="30"/>
        </w:rPr>
        <w:t>5. Multi-Case Validation Across Featured Dockets</w:t>
      </w:r>
    </w:p>
    <w:p>
      <w:pPr>
        <w:spacing w:after="160"/>
      </w:pPr>
      <w:r>
        <w:t>To confirm that all cases are properly clustering and producing realistic windows across diverse courts and litigation vectors, the table below details the featured demo dockets: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C9A24B"/>
                <w:sz w:val="17"/>
              </w:rPr>
              <w:t>Docket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C9A24B"/>
                <w:sz w:val="17"/>
              </w:rPr>
              <w:t>Type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C9A24B"/>
                <w:sz w:val="17"/>
              </w:rPr>
              <w:t>Filing Court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Cluster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Cluster Size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Median ETA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ETA Window</w:t>
            </w:r>
          </w:p>
        </w:tc>
        <w:tc>
          <w:tcPr>
            <w:tcW w:type="dxa" w:w="1242"/>
            <w:shd w:fill="0B0B0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9A24B"/>
                <w:sz w:val="17"/>
              </w:rPr>
              <w:t>Risk</w:t>
            </w:r>
          </w:p>
        </w:tc>
      </w:tr>
      <w:tr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NYR-00001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Criminal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Telangana HC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#4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68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3.9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3.1 – 4.6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C3B34"/>
                <w:sz w:val="17"/>
              </w:rPr>
              <w:t>High</w:t>
            </w:r>
          </w:p>
        </w:tc>
      </w:tr>
      <w:tr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NYR-00006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Civil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Bombay HC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#1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215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3.7 yrs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2.8 – 4.5 yrs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Medium</w:t>
            </w:r>
          </w:p>
        </w:tc>
      </w:tr>
      <w:tr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NYR-00009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Property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Calcutta HC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#1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215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3.7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2.8 – 4.5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Medium</w:t>
            </w:r>
          </w:p>
        </w:tc>
      </w:tr>
      <w:tr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NYR-00015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Criminal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Telangana HC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#4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68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3.9 yrs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3.1 – 4.6 yrs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C3B34"/>
                <w:sz w:val="17"/>
              </w:rPr>
              <w:t>High</w:t>
            </w:r>
          </w:p>
        </w:tc>
      </w:tr>
      <w:tr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NYR-00017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Family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Calcutta HC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#1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215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3.7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2.8 – 4.5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Medium</w:t>
            </w:r>
          </w:p>
        </w:tc>
      </w:tr>
      <w:tr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NYR-00013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Property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Bombay HC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#7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343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4.4 yrs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3.3 – 5.4 yrs</w:t>
            </w:r>
          </w:p>
        </w:tc>
        <w:tc>
          <w:tcPr>
            <w:tcW w:type="dxa" w:w="124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C3B34"/>
                <w:sz w:val="17"/>
              </w:rPr>
              <w:t>High</w:t>
            </w:r>
          </w:p>
        </w:tc>
      </w:tr>
      <w:tr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B0B0C"/>
                <w:sz w:val="17"/>
              </w:rPr>
              <w:t>NYR-00002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Family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B0B0C"/>
                <w:sz w:val="17"/>
              </w:rPr>
              <w:t>Bombay HC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Cluster #7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343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4.4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B0B0C"/>
                <w:sz w:val="17"/>
              </w:rPr>
              <w:t>3.3 – 5.4 yrs</w:t>
            </w:r>
          </w:p>
        </w:tc>
        <w:tc>
          <w:tcPr>
            <w:tcW w:type="dxa" w:w="1242"/>
            <w:shd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C3B34"/>
                <w:sz w:val="17"/>
              </w:rPr>
              <w:t>High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C9A24B"/>
          <w:sz w:val="30"/>
        </w:rPr>
        <w:t>6. Production Integration &amp; Verification Endpoints</w:t>
      </w:r>
    </w:p>
    <w:p>
      <w:pPr>
        <w:spacing w:line="276" w:lineRule="auto"/>
      </w:pPr>
      <w:r>
        <w:t>The clusterisation engine operates seamlessly across two primary application interfaces:</w:t>
        <w:br/>
        <w:br/>
      </w:r>
      <w:r>
        <w:rPr>
          <w:b/>
        </w:rPr>
        <w:t>1. REST API Endpoint: GET /api/predict?id={DOCKET_ID}</w:t>
        <w:br/>
      </w:r>
      <w:r>
        <w:t>Returns complete clustering telemetry including method ('cluster'), clusterId (e.g. 4), matchedClusterSize (68), empirical etaRangeYears ({p25, median, p75}), etaDateRange, clusterAvgAdjournments, and the 5 nearest precedent cases.</w:t>
        <w:br/>
        <w:br/>
      </w:r>
      <w:r>
        <w:rPr>
          <w:b/>
        </w:rPr>
        <w:t>2. Interactive Frontend UI: /case/{DOCKET_ID}</w:t>
        <w:br/>
      </w:r>
      <w:r>
        <w:t>Renders the Section D 'Cluster Intelligence' component, showcasing the active K-Means Cluster badge, the total cluster size, the estimated resolution window, and nearest precedent cases with percentage procedural match.</w:t>
      </w:r>
    </w:p>
    <w:p>
      <w:pPr>
        <w:spacing w:after="400"/>
      </w:pPr>
    </w:p>
    <w:p>
      <w:pPr>
        <w:jc w:val="center"/>
      </w:pPr>
      <w:r>
        <w:rPr>
          <w:color w:val="6B6B6E"/>
          <w:sz w:val="17"/>
        </w:rPr>
        <w:t>CourtFlight Jurisdictional Analytics Telemetry // Generated by Antigravity Core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