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p>
    <w:p>
      <w:pPr>
        <w:spacing w:before="280" w:after="100"/>
      </w:pPr>
      <w:r>
        <w:rPr>
          <w:rFonts w:ascii="Arial" w:cs="Arial" w:eastAsia="Arial" w:hAnsi="Arial"/>
          <w:b/>
          <w:bCs/>
          <w:color w:val="1F5FAB"/>
          <w:sz w:val="26"/>
          <w:szCs w:val="26"/>
        </w:rPr>
        <w:t xml:space="preserve">1.  Dataset Overview</w:t>
      </w:r>
    </w:p>
    <w:p>
      <w:pPr>
        <w:pBdr>
          <w:bottom w:val="single" w:color="1F5FAB" w:sz="6" w:space="1"/>
        </w:pBdr>
        <w:spacing w:before="80" w:after="80"/>
      </w:pPr>
    </w:p>
    <w:p>
      <w:pPr>
        <w:spacing w:before="120" w:after="80"/>
      </w:pPr>
      <w:r>
        <w:rPr>
          <w:rFonts w:ascii="Arial" w:cs="Arial" w:eastAsia="Arial" w:hAnsi="Arial"/>
          <w:color w:val="555555"/>
          <w:sz w:val="22"/>
          <w:szCs w:val="22"/>
        </w:rPr>
        <w:t xml:space="preserve">The analysis is based on a telecom </w:t>
      </w:r>
      <w:r>
        <w:rPr>
          <w:rFonts w:ascii="Arial" w:cs="Arial" w:eastAsia="Arial" w:hAnsi="Arial"/>
          <w:b/>
          <w:bCs/>
          <w:color w:val="1A1A1A"/>
          <w:sz w:val="22"/>
          <w:szCs w:val="22"/>
        </w:rPr>
        <w:t xml:space="preserve">Customer Churn</w:t>
      </w:r>
      <w:r>
        <w:rPr>
          <w:rFonts w:ascii="Arial" w:cs="Arial" w:eastAsia="Arial" w:hAnsi="Arial"/>
          <w:color w:val="555555"/>
          <w:sz w:val="22"/>
          <w:szCs w:val="22"/>
        </w:rPr>
        <w:t xml:space="preserve"> dataset containing 7,043 rows and 21 columns. It covers customer demographics, account details, subscribed services, and churn status. No null values or duplicate records were found after cleaning.</w:t>
      </w:r>
    </w:p>
    <w:p>
      <w:pPr>
        <w:spacing w:before="60" w:after="60"/>
      </w:pPr>
      <w:r>
        <w:rPr>
          <w:rFonts w:ascii="Arial" w:cs="Arial" w:eastAsia="Arial" w:hAnsi="Arial"/>
          <w:b/>
          <w:bCs/>
          <w:color w:val="1A1A1A"/>
          <w:sz w:val="22"/>
          <w:szCs w:val="22"/>
        </w:rPr>
        <w:t xml:space="preserve">Data cleaning steps performed:</w:t>
      </w:r>
    </w:p>
    <w:p>
      <w:pPr>
        <w:pStyle w:val="ListParagraph"/>
        <w:numPr>
          <w:ilvl w:val="0"/>
          <w:numId w:val="2"/>
        </w:numPr>
        <w:spacing w:before="40" w:after="40"/>
      </w:pPr>
      <w:r>
        <w:rPr>
          <w:rFonts w:ascii="Arial" w:cs="Arial" w:eastAsia="Arial" w:hAnsi="Arial"/>
          <w:color w:val="555555"/>
          <w:sz w:val="22"/>
          <w:szCs w:val="22"/>
        </w:rPr>
        <w:t xml:space="preserve">Blank TotalCharges values replaced with 0 (customers with zero tenure had no charges recorded)</w:t>
      </w:r>
    </w:p>
    <w:p>
      <w:pPr>
        <w:pStyle w:val="ListParagraph"/>
        <w:numPr>
          <w:ilvl w:val="0"/>
          <w:numId w:val="2"/>
        </w:numPr>
        <w:spacing w:before="40" w:after="40"/>
      </w:pPr>
      <w:r>
        <w:rPr>
          <w:rFonts w:ascii="Arial" w:cs="Arial" w:eastAsia="Arial" w:hAnsi="Arial"/>
          <w:color w:val="555555"/>
          <w:sz w:val="22"/>
          <w:szCs w:val="22"/>
        </w:rPr>
        <w:t xml:space="preserve">TotalCharges column converted from object to float data type</w:t>
      </w:r>
    </w:p>
    <w:p>
      <w:pPr>
        <w:pStyle w:val="ListParagraph"/>
        <w:numPr>
          <w:ilvl w:val="0"/>
          <w:numId w:val="2"/>
        </w:numPr>
        <w:spacing w:before="40" w:after="40"/>
      </w:pPr>
      <w:r>
        <w:rPr>
          <w:rFonts w:ascii="Arial" w:cs="Arial" w:eastAsia="Arial" w:hAnsi="Arial"/>
          <w:color w:val="555555"/>
          <w:sz w:val="22"/>
          <w:szCs w:val="22"/>
        </w:rPr>
        <w:t xml:space="preserve">SeniorCitizen column re-encoded from binary (0/1) to readable Yes/No labels</w:t>
      </w:r>
    </w:p>
    <w:p>
      <w:pPr>
        <w:pStyle w:val="ListParagraph"/>
        <w:numPr>
          <w:ilvl w:val="0"/>
          <w:numId w:val="2"/>
        </w:numPr>
        <w:spacing w:before="40" w:after="80"/>
      </w:pPr>
      <w:r>
        <w:rPr>
          <w:rFonts w:ascii="Arial" w:cs="Arial" w:eastAsia="Arial" w:hAnsi="Arial"/>
          <w:color w:val="555555"/>
          <w:sz w:val="22"/>
          <w:szCs w:val="22"/>
        </w:rPr>
        <w:t xml:space="preserve">0 null values confirmed across all 21 columns; 0 duplicate customerID records</w:t>
      </w:r>
    </w:p>
    <w:p>
      <w:pPr>
        <w:spacing w:before="280" w:after="100"/>
      </w:pPr>
      <w:r>
        <w:rPr>
          <w:rFonts w:ascii="Arial" w:cs="Arial" w:eastAsia="Arial" w:hAnsi="Arial"/>
          <w:b/>
          <w:bCs/>
          <w:color w:val="1F5FAB"/>
          <w:sz w:val="26"/>
          <w:szCs w:val="26"/>
        </w:rPr>
        <w:t xml:space="preserve">2.  Key Performance Indicators</w:t>
      </w:r>
    </w:p>
    <w:p>
      <w:pPr>
        <w:pBdr>
          <w:bottom w:val="single" w:color="1F5FAB" w:sz="6" w:space="1"/>
        </w:pBdr>
        <w:spacing w:before="80" w:after="8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30"/>
            </w:pPr>
            <w:r>
              <w:rPr>
                <w:rFonts w:ascii="Arial" w:cs="Arial" w:eastAsia="Arial" w:hAnsi="Arial"/>
                <w:b/>
                <w:bCs/>
                <w:color w:val="888888"/>
                <w:sz w:val="18"/>
                <w:szCs w:val="18"/>
              </w:rPr>
              <w:t xml:space="preserve">TOTAL CUSTOMERS</w:t>
            </w:r>
          </w:p>
          <w:p>
            <w:pPr>
              <w:spacing w:after="20"/>
            </w:pPr>
            <w:r>
              <w:rPr>
                <w:rFonts w:ascii="Arial" w:cs="Arial" w:eastAsia="Arial" w:hAnsi="Arial"/>
                <w:b/>
                <w:bCs/>
                <w:color w:val="1A1A1A"/>
                <w:sz w:val="40"/>
                <w:szCs w:val="40"/>
              </w:rPr>
              <w:t xml:space="preserve">7,043</w:t>
            </w:r>
          </w:p>
          <w:p>
            <w:r>
              <w:rPr>
                <w:rFonts w:ascii="Arial" w:cs="Arial" w:eastAsia="Arial" w:hAnsi="Arial"/>
                <w:color w:val="999999"/>
                <w:sz w:val="18"/>
                <w:szCs w:val="18"/>
              </w:rPr>
              <w:t xml:space="preserve">No duplicates found</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30"/>
            </w:pPr>
            <w:r>
              <w:rPr>
                <w:rFonts w:ascii="Arial" w:cs="Arial" w:eastAsia="Arial" w:hAnsi="Arial"/>
                <w:b/>
                <w:bCs/>
                <w:color w:val="888888"/>
                <w:sz w:val="18"/>
                <w:szCs w:val="18"/>
              </w:rPr>
              <w:t xml:space="preserve">CHURN RATE</w:t>
            </w:r>
          </w:p>
          <w:p>
            <w:pPr>
              <w:spacing w:after="20"/>
            </w:pPr>
            <w:r>
              <w:rPr>
                <w:rFonts w:ascii="Arial" w:cs="Arial" w:eastAsia="Arial" w:hAnsi="Arial"/>
                <w:b/>
                <w:bCs/>
                <w:color w:val="D85A30"/>
                <w:sz w:val="40"/>
                <w:szCs w:val="40"/>
              </w:rPr>
              <w:t xml:space="preserve">26.5%</w:t>
            </w:r>
          </w:p>
          <w:p>
            <w:r>
              <w:rPr>
                <w:rFonts w:ascii="Arial" w:cs="Arial" w:eastAsia="Arial" w:hAnsi="Arial"/>
                <w:color w:val="999999"/>
                <w:sz w:val="18"/>
                <w:szCs w:val="18"/>
              </w:rPr>
              <w:t xml:space="preserve">~1,869 customers lost</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30"/>
            </w:pPr>
            <w:r>
              <w:rPr>
                <w:rFonts w:ascii="Arial" w:cs="Arial" w:eastAsia="Arial" w:hAnsi="Arial"/>
                <w:b/>
                <w:bCs/>
                <w:color w:val="888888"/>
                <w:sz w:val="18"/>
                <w:szCs w:val="18"/>
              </w:rPr>
              <w:t xml:space="preserve">AVG MONTHLY CHARGE</w:t>
            </w:r>
          </w:p>
          <w:p>
            <w:pPr>
              <w:spacing w:after="20"/>
            </w:pPr>
            <w:r>
              <w:rPr>
                <w:rFonts w:ascii="Arial" w:cs="Arial" w:eastAsia="Arial" w:hAnsi="Arial"/>
                <w:b/>
                <w:bCs/>
                <w:color w:val="1F5FAB"/>
                <w:sz w:val="40"/>
                <w:szCs w:val="40"/>
              </w:rPr>
              <w:t xml:space="preserve">$64.76</w:t>
            </w:r>
          </w:p>
          <w:p>
            <w:r>
              <w:rPr>
                <w:rFonts w:ascii="Arial" w:cs="Arial" w:eastAsia="Arial" w:hAnsi="Arial"/>
                <w:color w:val="999999"/>
                <w:sz w:val="18"/>
                <w:szCs w:val="18"/>
              </w:rPr>
              <w:t xml:space="preserve">Range: $18 – $118</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30"/>
            </w:pPr>
            <w:r>
              <w:rPr>
                <w:rFonts w:ascii="Arial" w:cs="Arial" w:eastAsia="Arial" w:hAnsi="Arial"/>
                <w:b/>
                <w:bCs/>
                <w:color w:val="888888"/>
                <w:sz w:val="18"/>
                <w:szCs w:val="18"/>
              </w:rPr>
              <w:t xml:space="preserve">AVG TENURE</w:t>
            </w:r>
          </w:p>
          <w:p>
            <w:pPr>
              <w:spacing w:after="20"/>
            </w:pPr>
            <w:r>
              <w:rPr>
                <w:rFonts w:ascii="Arial" w:cs="Arial" w:eastAsia="Arial" w:hAnsi="Arial"/>
                <w:b/>
                <w:bCs/>
                <w:color w:val="1A1A1A"/>
                <w:sz w:val="40"/>
                <w:szCs w:val="40"/>
              </w:rPr>
              <w:t xml:space="preserve">32.4 mo</w:t>
            </w:r>
          </w:p>
          <w:p>
            <w:r>
              <w:rPr>
                <w:rFonts w:ascii="Arial" w:cs="Arial" w:eastAsia="Arial" w:hAnsi="Arial"/>
                <w:color w:val="999999"/>
                <w:sz w:val="18"/>
                <w:szCs w:val="18"/>
              </w:rPr>
              <w:t xml:space="preserve">Max 72 months</w:t>
            </w:r>
          </w:p>
        </w:tc>
      </w:tr>
    </w:tbl>
    <w:p>
      <w:pPr>
        <w:spacing w:before="120" w:after="80"/>
      </w:pPr>
      <w:r>
        <w:rPr>
          <w:rFonts w:ascii="Arial" w:cs="Arial" w:eastAsia="Arial" w:hAnsi="Arial"/>
          <w:color w:val="555555"/>
          <w:sz w:val="22"/>
          <w:szCs w:val="22"/>
        </w:rPr>
        <w:t xml:space="preserve">With a churn rate of 26.5%, roughly 1 in 4 customers is leaving. Average monthly charges of $64.76 and a tenure of 32.4 months reflect a mid-range, moderately loyal customer base.</w:t>
      </w:r>
    </w:p>
    <w:p>
      <w:pPr>
        <w:spacing w:before="280" w:after="100"/>
      </w:pPr>
      <w:r>
        <w:rPr>
          <w:rFonts w:ascii="Arial" w:cs="Arial" w:eastAsia="Arial" w:hAnsi="Arial"/>
          <w:b/>
          <w:bCs/>
          <w:color w:val="1F5FAB"/>
          <w:sz w:val="26"/>
          <w:szCs w:val="26"/>
        </w:rPr>
        <w:t xml:space="preserve">3.  Churn Breakdown by Dimension</w:t>
      </w:r>
    </w:p>
    <w:p>
      <w:pPr>
        <w:pBdr>
          <w:bottom w:val="single" w:color="1F5FAB" w:sz="6" w:space="1"/>
        </w:pBdr>
        <w:spacing w:before="80" w:after="8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F5F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F5F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Retained</w:t>
            </w:r>
          </w:p>
        </w:tc>
        <w:tc>
          <w:tcPr>
            <w:tcW w:type="dxa" w:w="2000"/>
            <w:tcBorders>
              <w:top w:val="single" w:color="CCCCCC" w:sz="1"/>
              <w:left w:val="single" w:color="CCCCCC" w:sz="1"/>
              <w:bottom w:val="single" w:color="CCCCCC" w:sz="1"/>
              <w:right w:val="single" w:color="CCCCCC" w:sz="1"/>
            </w:tcBorders>
            <w:shd w:fill="1F5F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Churned</w:t>
            </w:r>
          </w:p>
        </w:tc>
        <w:tc>
          <w:tcPr>
            <w:tcW w:type="dxa" w:w="2960"/>
            <w:tcBorders>
              <w:top w:val="single" w:color="CCCCCC" w:sz="1"/>
              <w:left w:val="single" w:color="CCCCCC" w:sz="1"/>
              <w:bottom w:val="single" w:color="CCCCCC" w:sz="1"/>
              <w:right w:val="single" w:color="CCCCCC" w:sz="1"/>
            </w:tcBorders>
            <w:shd w:fill="1F5F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Month-to-Month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2,220</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1,655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Highest churn risk by far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One Year 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1,307</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166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Much better retention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Two Year 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1,647</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48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Strongest retention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Non-Senior Citizens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4,508</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1,393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Lower proportional churn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Senior Citizens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666</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476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~42% churn rate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Electronic 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1,294</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1,071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Most at-risk payment method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Other Payment Methods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1F5FAB"/>
                <w:sz w:val="20"/>
                <w:szCs w:val="20"/>
              </w:rPr>
              <w:t xml:space="preserve">2,880</w:t>
            </w:r>
          </w:p>
        </w:tc>
        <w:tc>
          <w:tcPr>
            <w:tcW w:type="dxa" w:w="2000"/>
            <w:tcBorders>
              <w:top w:val="single" w:color="CCCCCC" w:sz="1"/>
              <w:left w:val="single" w:color="CCCCCC" w:sz="1"/>
              <w:bottom w:val="single" w:color="CCCCCC" w:sz="1"/>
              <w:right w:val="single" w:color="CCCCCC" w:sz="1"/>
            </w:tcBorders>
            <w:shd w:fill="FAE8E1" w:val="clear"/>
            <w:tcMar>
              <w:top w:type="dxa" w:w="80"/>
              <w:left w:type="dxa" w:w="120"/>
              <w:bottom w:type="dxa" w:w="80"/>
              <w:right w:type="dxa" w:w="120"/>
            </w:tcMar>
          </w:tcPr>
          <w:p>
            <w:pPr>
              <w:jc w:val="center"/>
            </w:pPr>
            <w:r>
              <w:rPr>
                <w:rFonts w:ascii="Arial" w:cs="Arial" w:eastAsia="Arial" w:hAnsi="Arial"/>
                <w:b/>
                <w:bCs/>
                <w:color w:val="D85A30"/>
                <w:sz w:val="20"/>
                <w:szCs w:val="20"/>
              </w:rPr>
              <w:t xml:space="preserve">798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Significantly lower churn</w:t>
            </w:r>
          </w:p>
        </w:tc>
      </w:tr>
    </w:tbl>
    <w:p>
      <w:pPr>
        <w:spacing w:before="80"/>
      </w:pPr>
    </w:p>
    <w:p>
      <w:pPr>
        <w:spacing w:before="280" w:after="100"/>
      </w:pPr>
      <w:r>
        <w:rPr>
          <w:rFonts w:ascii="Arial" w:cs="Arial" w:eastAsia="Arial" w:hAnsi="Arial"/>
          <w:b/>
          <w:bCs/>
          <w:color w:val="1F5FAB"/>
          <w:sz w:val="26"/>
          <w:szCs w:val="26"/>
        </w:rPr>
        <w:t xml:space="preserve">4.  Key Findings from Charts</w:t>
      </w:r>
    </w:p>
    <w:p>
      <w:pPr>
        <w:pBdr>
          <w:bottom w:val="single" w:color="1F5FAB" w:sz="6" w:space="1"/>
        </w:pBdr>
        <w:spacing w:before="80" w:after="8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16"/>
              <w:bottom w:val="none" w:color="FFFFFF" w:sz="0"/>
              <w:right w:val="none" w:color="FFFFFF" w:sz="0"/>
            </w:tcBorders>
            <w:shd w:fill="FAF3F0" w:val="clear"/>
            <w:tcMar>
              <w:top w:type="dxa" w:w="100"/>
              <w:left w:type="dxa" w:w="200"/>
              <w:bottom w:type="dxa" w:w="100"/>
              <w:right w:type="dxa" w:w="200"/>
            </w:tcMar>
          </w:tcPr>
          <w:p>
            <w:pPr>
              <w:spacing w:after="30"/>
            </w:pPr>
            <w:r>
              <w:rPr>
                <w:rFonts w:ascii="Arial" w:cs="Arial" w:eastAsia="Arial" w:hAnsi="Arial"/>
                <w:b/>
                <w:bCs/>
                <w:color w:val="D85A30"/>
                <w:sz w:val="22"/>
                <w:szCs w:val="22"/>
              </w:rPr>
              <w:t xml:space="preserve">Contract Type — Strongest Churn Predictor</w:t>
            </w:r>
          </w:p>
          <w:p>
            <w:r>
              <w:rPr>
                <w:rFonts w:ascii="Arial" w:cs="Arial" w:eastAsia="Arial" w:hAnsi="Arial"/>
                <w:color w:val="555555"/>
                <w:sz w:val="20"/>
                <w:szCs w:val="20"/>
              </w:rPr>
              <w:t xml:space="preserve">Customers on month-to-month contracts are dramatically more likely to churn (1,655 churned vs 2,220 retained). Customers on 1- or 2-year contracts show near-complete retention. Locking customers into longer contracts is the single most impactful retention lever.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FAB" w:sz="16"/>
              <w:bottom w:val="none" w:color="FFFFFF" w:sz="0"/>
              <w:right w:val="none" w:color="FFFFFF" w:sz="0"/>
            </w:tcBorders>
            <w:shd w:fill="EEF4FB" w:val="clear"/>
            <w:tcMar>
              <w:top w:type="dxa" w:w="100"/>
              <w:left w:type="dxa" w:w="200"/>
              <w:bottom w:type="dxa" w:w="100"/>
              <w:right w:type="dxa" w:w="200"/>
            </w:tcMar>
          </w:tcPr>
          <w:p>
            <w:pPr>
              <w:spacing w:after="30"/>
            </w:pPr>
            <w:r>
              <w:rPr>
                <w:rFonts w:ascii="Arial" w:cs="Arial" w:eastAsia="Arial" w:hAnsi="Arial"/>
                <w:b/>
                <w:bCs/>
                <w:color w:val="1F5FAB"/>
                <w:sz w:val="22"/>
                <w:szCs w:val="22"/>
              </w:rPr>
              <w:t xml:space="preserve">Tenure — Early-Stage Dropout Risk</w:t>
            </w:r>
          </w:p>
          <w:p>
            <w:r>
              <w:rPr>
                <w:rFonts w:ascii="Arial" w:cs="Arial" w:eastAsia="Arial" w:hAnsi="Arial"/>
                <w:color w:val="555555"/>
                <w:sz w:val="20"/>
                <w:szCs w:val="20"/>
              </w:rPr>
              <w:t xml:space="preserve">The histogram of tenure vs churn shows that churned customers were predominantly those in their first 1–2 months of service. Long-tenured customers overwhelmingly stayed. This points to an onboarding or early-experience failure as a critical churn driver.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16"/>
              <w:bottom w:val="none" w:color="FFFFFF" w:sz="0"/>
              <w:right w:val="none" w:color="FFFFFF" w:sz="0"/>
            </w:tcBorders>
            <w:shd w:fill="FAF3F0" w:val="clear"/>
            <w:tcMar>
              <w:top w:type="dxa" w:w="100"/>
              <w:left w:type="dxa" w:w="200"/>
              <w:bottom w:type="dxa" w:w="100"/>
              <w:right w:type="dxa" w:w="200"/>
            </w:tcMar>
          </w:tcPr>
          <w:p>
            <w:pPr>
              <w:spacing w:after="30"/>
            </w:pPr>
            <w:r>
              <w:rPr>
                <w:rFonts w:ascii="Arial" w:cs="Arial" w:eastAsia="Arial" w:hAnsi="Arial"/>
                <w:b/>
                <w:bCs/>
                <w:color w:val="D85A30"/>
                <w:sz w:val="22"/>
                <w:szCs w:val="22"/>
              </w:rPr>
              <w:t xml:space="preserve">Senior Citizens — Higher Proportional Churn</w:t>
            </w:r>
          </w:p>
          <w:p>
            <w:r>
              <w:rPr>
                <w:rFonts w:ascii="Arial" w:cs="Arial" w:eastAsia="Arial" w:hAnsi="Arial"/>
                <w:color w:val="555555"/>
                <w:sz w:val="20"/>
                <w:szCs w:val="20"/>
              </w:rPr>
              <w:t xml:space="preserve">Although senior citizens are a smaller portion of the customer base, approximately 42% of seniors churned compared to around 24% of non-seniors. Targeted retention campaigns for this segment — such as simplified plans or dedicated support — could reduce churn significantly.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FAB" w:sz="16"/>
              <w:bottom w:val="none" w:color="FFFFFF" w:sz="0"/>
              <w:right w:val="none" w:color="FFFFFF" w:sz="0"/>
            </w:tcBorders>
            <w:shd w:fill="EEF4FB" w:val="clear"/>
            <w:tcMar>
              <w:top w:type="dxa" w:w="100"/>
              <w:left w:type="dxa" w:w="200"/>
              <w:bottom w:type="dxa" w:w="100"/>
              <w:right w:type="dxa" w:w="200"/>
            </w:tcMar>
          </w:tcPr>
          <w:p>
            <w:pPr>
              <w:spacing w:after="30"/>
            </w:pPr>
            <w:r>
              <w:rPr>
                <w:rFonts w:ascii="Arial" w:cs="Arial" w:eastAsia="Arial" w:hAnsi="Arial"/>
                <w:b/>
                <w:bCs/>
                <w:color w:val="1F5FAB"/>
                <w:sz w:val="22"/>
                <w:szCs w:val="22"/>
              </w:rPr>
              <w:t xml:space="preserve">Payment Method — Electronic Check as a Risk Flag</w:t>
            </w:r>
          </w:p>
          <w:p>
            <w:r>
              <w:rPr>
                <w:rFonts w:ascii="Arial" w:cs="Arial" w:eastAsia="Arial" w:hAnsi="Arial"/>
                <w:color w:val="555555"/>
                <w:sz w:val="20"/>
                <w:szCs w:val="20"/>
              </w:rPr>
              <w:t xml:space="preserve">Electronic check users had by far the highest churn (1,071 churned), more than all other payment methods combined. Customers using bank transfer, credit card, or mailed cheque churn at much lower rates. Payment friction or demographic overlap with high-risk segments may explain this pattern.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16"/>
              <w:bottom w:val="none" w:color="FFFFFF" w:sz="0"/>
              <w:right w:val="none" w:color="FFFFFF" w:sz="0"/>
            </w:tcBorders>
            <w:shd w:fill="FAF3F0" w:val="clear"/>
            <w:tcMar>
              <w:top w:type="dxa" w:w="100"/>
              <w:left w:type="dxa" w:w="200"/>
              <w:bottom w:type="dxa" w:w="100"/>
              <w:right w:type="dxa" w:w="200"/>
            </w:tcMar>
          </w:tcPr>
          <w:p>
            <w:pPr>
              <w:spacing w:after="30"/>
            </w:pPr>
            <w:r>
              <w:rPr>
                <w:rFonts w:ascii="Arial" w:cs="Arial" w:eastAsia="Arial" w:hAnsi="Arial"/>
                <w:b/>
                <w:bCs/>
                <w:color w:val="D85A30"/>
                <w:sz w:val="22"/>
                <w:szCs w:val="22"/>
              </w:rPr>
              <w:t xml:space="preserve">Add-on Services — Bundling Drives Retention</w:t>
            </w:r>
          </w:p>
          <w:p>
            <w:r>
              <w:rPr>
                <w:rFonts w:ascii="Arial" w:cs="Arial" w:eastAsia="Arial" w:hAnsi="Arial"/>
                <w:color w:val="555555"/>
                <w:sz w:val="20"/>
                <w:szCs w:val="20"/>
              </w:rPr>
              <w:t xml:space="preserve">Customers without Online Security, Tech Support, Device Protection, or Online Backup show substantially higher churn rates (~55–58%) compared to those who subscribe (~15–22%). Streaming TV and Movies subscriptions also correlate with slightly lower churn. Having more bundled services increases switching cost and reduces churn.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88888" w:sz="16"/>
              <w:bottom w:val="none" w:color="FFFFFF" w:sz="0"/>
              <w:right w:val="none" w:color="FFFFFF" w:sz="0"/>
            </w:tcBorders>
            <w:shd w:fill="F5F5F5" w:val="clear"/>
            <w:tcMar>
              <w:top w:type="dxa" w:w="100"/>
              <w:left w:type="dxa" w:w="200"/>
              <w:bottom w:type="dxa" w:w="100"/>
              <w:right w:type="dxa" w:w="200"/>
            </w:tcMar>
          </w:tcPr>
          <w:p>
            <w:pPr>
              <w:spacing w:after="30"/>
            </w:pPr>
            <w:r>
              <w:rPr>
                <w:rFonts w:ascii="Arial" w:cs="Arial" w:eastAsia="Arial" w:hAnsi="Arial"/>
                <w:b/>
                <w:bCs/>
                <w:color w:val="888888"/>
                <w:sz w:val="22"/>
                <w:szCs w:val="22"/>
              </w:rPr>
              <w:t xml:space="preserve">Gender — Not a Significant Driver</w:t>
            </w:r>
          </w:p>
          <w:p>
            <w:r>
              <w:rPr>
                <w:rFonts w:ascii="Arial" w:cs="Arial" w:eastAsia="Arial" w:hAnsi="Arial"/>
                <w:color w:val="555555"/>
                <w:sz w:val="20"/>
                <w:szCs w:val="20"/>
              </w:rPr>
              <w:t xml:space="preserve">Churn rates are almost equal between male and female customers. Gender alone is not a useful predictor for targeting retention efforts and should not be a primary segmentation variable in churn models.</w:t>
            </w:r>
          </w:p>
        </w:tc>
      </w:tr>
    </w:tbl>
    <w:p>
      <w:pPr>
        <w:spacing w:before="120"/>
      </w:pPr>
    </w:p>
    <w:p>
      <w:pPr>
        <w:spacing w:before="280" w:after="100"/>
      </w:pPr>
      <w:r>
        <w:rPr>
          <w:rFonts w:ascii="Arial" w:cs="Arial" w:eastAsia="Arial" w:hAnsi="Arial"/>
          <w:b/>
          <w:bCs/>
          <w:color w:val="1F5FAB"/>
          <w:sz w:val="26"/>
          <w:szCs w:val="26"/>
        </w:rPr>
        <w:t xml:space="preserve">5.  Business Recommendations</w:t>
      </w:r>
    </w:p>
    <w:p>
      <w:pPr>
        <w:pBdr>
          <w:bottom w:val="single" w:color="1F5FAB" w:sz="6" w:space="1"/>
        </w:pBdr>
        <w:spacing w:before="80" w:after="80"/>
      </w:pPr>
    </w:p>
    <w:p>
      <w:pPr>
        <w:spacing w:before="120" w:after="80"/>
      </w:pPr>
      <w:r>
        <w:rPr>
          <w:rFonts w:ascii="Arial" w:cs="Arial" w:eastAsia="Arial" w:hAnsi="Arial"/>
          <w:color w:val="555555"/>
          <w:sz w:val="22"/>
          <w:szCs w:val="22"/>
        </w:rPr>
        <w:t xml:space="preserve">Based on the EDA and chart analysis, the following actions are recommended:</w:t>
      </w:r>
    </w:p>
    <w:p>
      <w:pPr>
        <w:pStyle w:val="ListParagraph"/>
        <w:numPr>
          <w:ilvl w:val="0"/>
          <w:numId w:val="2"/>
        </w:numPr>
        <w:spacing w:before="60" w:after="40"/>
      </w:pPr>
      <w:r>
        <w:rPr>
          <w:rFonts w:ascii="Arial" w:cs="Arial" w:eastAsia="Arial" w:hAnsi="Arial"/>
          <w:b/>
          <w:bCs/>
          <w:color w:val="1A1A1A"/>
          <w:sz w:val="22"/>
          <w:szCs w:val="22"/>
        </w:rPr>
        <w:t xml:space="preserve">Incentivise long-term contracts </w:t>
      </w:r>
      <w:r>
        <w:rPr>
          <w:rFonts w:ascii="Arial" w:cs="Arial" w:eastAsia="Arial" w:hAnsi="Arial"/>
          <w:color w:val="555555"/>
          <w:sz w:val="22"/>
          <w:szCs w:val="22"/>
        </w:rPr>
        <w:t xml:space="preserve">through discounts, loyalty rewards, or value-add offers to reduce month-to-month dependency.</w:t>
      </w:r>
    </w:p>
    <w:p>
      <w:pPr>
        <w:pStyle w:val="ListParagraph"/>
        <w:numPr>
          <w:ilvl w:val="0"/>
          <w:numId w:val="2"/>
        </w:numPr>
        <w:spacing w:before="40" w:after="40"/>
      </w:pPr>
      <w:r>
        <w:rPr>
          <w:rFonts w:ascii="Arial" w:cs="Arial" w:eastAsia="Arial" w:hAnsi="Arial"/>
          <w:b/>
          <w:bCs/>
          <w:color w:val="1A1A1A"/>
          <w:sz w:val="22"/>
          <w:szCs w:val="22"/>
        </w:rPr>
        <w:t xml:space="preserve">Focus retention on new customers (Month 1–2) </w:t>
      </w:r>
      <w:r>
        <w:rPr>
          <w:rFonts w:ascii="Arial" w:cs="Arial" w:eastAsia="Arial" w:hAnsi="Arial"/>
          <w:color w:val="555555"/>
          <w:sz w:val="22"/>
          <w:szCs w:val="22"/>
        </w:rPr>
        <w:t xml:space="preserve">with improved onboarding, proactive check-ins, and early-engagement programmes.</w:t>
      </w:r>
    </w:p>
    <w:p>
      <w:pPr>
        <w:pStyle w:val="ListParagraph"/>
        <w:numPr>
          <w:ilvl w:val="0"/>
          <w:numId w:val="2"/>
        </w:numPr>
        <w:spacing w:before="40" w:after="40"/>
      </w:pPr>
      <w:r>
        <w:rPr>
          <w:rFonts w:ascii="Arial" w:cs="Arial" w:eastAsia="Arial" w:hAnsi="Arial"/>
          <w:b/>
          <w:bCs/>
          <w:color w:val="1A1A1A"/>
          <w:sz w:val="22"/>
          <w:szCs w:val="22"/>
        </w:rPr>
        <w:t xml:space="preserve">Promote add-on service bundles </w:t>
      </w:r>
      <w:r>
        <w:rPr>
          <w:rFonts w:ascii="Arial" w:cs="Arial" w:eastAsia="Arial" w:hAnsi="Arial"/>
          <w:color w:val="555555"/>
          <w:sz w:val="22"/>
          <w:szCs w:val="22"/>
        </w:rPr>
        <w:t xml:space="preserve">(Security, Backup, Support, Streaming) to increase switching cost and perceived value.</w:t>
      </w:r>
    </w:p>
    <w:p>
      <w:pPr>
        <w:pStyle w:val="ListParagraph"/>
        <w:numPr>
          <w:ilvl w:val="0"/>
          <w:numId w:val="2"/>
        </w:numPr>
        <w:spacing w:before="40" w:after="40"/>
      </w:pPr>
      <w:r>
        <w:rPr>
          <w:rFonts w:ascii="Arial" w:cs="Arial" w:eastAsia="Arial" w:hAnsi="Arial"/>
          <w:b/>
          <w:bCs/>
          <w:color w:val="1A1A1A"/>
          <w:sz w:val="22"/>
          <w:szCs w:val="22"/>
        </w:rPr>
        <w:t xml:space="preserve">Investigate electronic check payment friction </w:t>
      </w:r>
      <w:r>
        <w:rPr>
          <w:rFonts w:ascii="Arial" w:cs="Arial" w:eastAsia="Arial" w:hAnsi="Arial"/>
          <w:color w:val="555555"/>
          <w:sz w:val="22"/>
          <w:szCs w:val="22"/>
        </w:rPr>
        <w:t xml:space="preserve">— offer seamless payment migration to auto-pay options with a small incentive.</w:t>
      </w:r>
    </w:p>
    <w:p>
      <w:pPr>
        <w:pStyle w:val="ListParagraph"/>
        <w:numPr>
          <w:ilvl w:val="0"/>
          <w:numId w:val="2"/>
        </w:numPr>
        <w:spacing w:before="40" w:after="120"/>
      </w:pPr>
      <w:r>
        <w:rPr>
          <w:rFonts w:ascii="Arial" w:cs="Arial" w:eastAsia="Arial" w:hAnsi="Arial"/>
          <w:b/>
          <w:bCs/>
          <w:color w:val="1A1A1A"/>
          <w:sz w:val="22"/>
          <w:szCs w:val="22"/>
        </w:rPr>
        <w:t xml:space="preserve">Deploy senior-specific retention strategies </w:t>
      </w:r>
      <w:r>
        <w:rPr>
          <w:rFonts w:ascii="Arial" w:cs="Arial" w:eastAsia="Arial" w:hAnsi="Arial"/>
          <w:color w:val="555555"/>
          <w:sz w:val="22"/>
          <w:szCs w:val="22"/>
        </w:rPr>
        <w:t xml:space="preserve">such as simplified billing, dedicated helplines, or senior-plan pricing.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FAB" w:sz="4" w:space="4"/>
      </w:pBdr>
      <w:spacing w:before="120"/>
    </w:pPr>
    <w:r>
      <w:rPr>
        <w:rFonts w:ascii="Arial" w:cs="Arial" w:eastAsia="Arial" w:hAnsi="Arial"/>
        <w:color w:val="888888"/>
        <w:sz w:val="18"/>
        <w:szCs w:val="18"/>
      </w:rPr>
      <w:t xml:space="preserve">Dataset: Customer Churn.csv  ·  Tools: Python, Pandas, Seaborn, Matplotlib  ·  0 null values  ·  0 duplicates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FAB" w:val="clear"/>
          <w:tcMar>
            <w:top w:type="dxa" w:w="200"/>
            <w:left w:type="dxa" w:w="300"/>
            <w:bottom w:type="dxa" w:w="200"/>
            <w:right w:type="dxa" w:w="300"/>
          </w:tcMar>
        </w:tcPr>
        <w:p>
          <w:r>
            <w:rPr>
              <w:rFonts w:ascii="Arial" w:cs="Arial" w:eastAsia="Arial" w:hAnsi="Arial"/>
              <w:b/>
              <w:bCs/>
              <w:color w:val="FFFFFF"/>
              <w:sz w:val="26"/>
              <w:szCs w:val="26"/>
            </w:rPr>
            <w:t xml:space="preserve">Customer Churn Analysis  |  Executive Summary</w:t>
          </w:r>
        </w:p>
        <w:p>
          <w:r>
            <w:rPr>
              <w:rFonts w:ascii="Arial" w:cs="Arial" w:eastAsia="Arial" w:hAnsi="Arial"/>
              <w:color w:val="C8D8F0"/>
              <w:sz w:val="19"/>
              <w:szCs w:val="19"/>
            </w:rPr>
            <w:t xml:space="preserve">Telecom Dataset  ·  7,043 Customers  ·  EDA &amp; Visualisation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8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5F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2026-03-25T02:23:15.833Z</dcterms:created>
  <dcterms:modified xsi:type="dcterms:W3CDTF">2026-03-25T02:23:15.834Z</dcterms:modified>
</cp:coreProperties>
</file>

<file path=docProps/custom.xml><?xml version="1.0" encoding="utf-8"?>
<Properties xmlns="http://schemas.openxmlformats.org/officeDocument/2006/custom-properties" xmlns:vt="http://schemas.openxmlformats.org/officeDocument/2006/docPropsVTypes"/>
</file>