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cf1d199c7d4815" /><Relationship Type="http://schemas.openxmlformats.org/package/2006/relationships/metadata/core-properties" Target="/docProps/core.xml" Id="R3396bace5dac476f" /><Relationship Type="http://schemas.openxmlformats.org/officeDocument/2006/relationships/extended-properties" Target="/docProps/app.xml" Id="Rc1c191ee0fa74388" /><Relationship Type="http://schemas.openxmlformats.org/officeDocument/2006/relationships/custom-properties" Target="/docProps/custom.xml" Id="R07e2aa6137b64f9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b/>
          <w:sz w:val="56"/>
        </w:rPr>
        <w:t xml:space="preserve">Liver Patient Prediction Project Report</w:t>
      </w:r>
    </w:p>
    <w:p w14:paraId="00100002" w14:textId="00100003">
      <w:pPr>
        <w:pStyle w:val="Normal"/>
        <w:spacing w:after="480"/>
        <w:jc w:val="center"/>
      </w:pPr>
      <w:r>
        <w:rPr>
          <w:color w:val="57606A"/>
          <w:sz w:val="24"/>
        </w:rPr>
        <w:t xml:space="preserve">A reproducible machine-learning prototype for liver laboratory profile classification</w:t>
      </w:r>
    </w:p>
    <w:p w14:paraId="00100004" w14:textId="00100005">
      <w:pPr>
        <w:pStyle w:val="Heading1"/>
        <w:spacing w:before="360" w:after="160"/>
      </w:pPr>
      <w:r>
        <w:rPr>
          <w:b/>
          <w:sz w:val="36"/>
        </w:rPr>
        <w:t xml:space="preserve">1. Overview</w:t>
      </w:r>
    </w:p>
    <w:p w14:paraId="00100006" w14:textId="00100007">
      <w:pPr>
        <w:pStyle w:val="Normal"/>
        <w:spacing w:after="200"/>
      </w:pPr>
      <w:r>
        <w:rPr>
          <w:sz w:val="22"/>
        </w:rPr>
        <w:t xml:space="preserve">This project turns a small set of liver laboratory measurements into a transparent classification workflow. The pipeline is designed for educational exploration and demonstrates end-to-end data science practices: data preparation, model training, REST API deployment, and browser-based prediction. It is not intended for clinical use.</w:t>
      </w:r>
    </w:p>
    <w:p w14:paraId="00100008" w14:textId="00100009">
      <w:pPr>
        <w:pStyle w:val="Heading1"/>
        <w:spacing w:before="360" w:after="160"/>
      </w:pPr>
      <w:r>
        <w:rPr>
          <w:b/>
          <w:sz w:val="36"/>
        </w:rPr>
        <w:t xml:space="preserve">2. Dataset</w:t>
      </w:r>
    </w:p>
    <w:p w14:paraId="0010000A" w14:textId="0010000B">
      <w:pPr>
        <w:pStyle w:val="Normal"/>
        <w:spacing w:after="200"/>
      </w:pPr>
      <w:r>
        <w:rPr>
          <w:sz w:val="22"/>
        </w:rPr>
        <w:t xml:space="preserve">The dataset (liver_patient.csv) contains 16 patient records with 9 laboratory input measurements and a binary target label. Class 1 represents the liver-disease-positive group; Class 2 (no disease) is normalised to 0 during training. The class distribution is as follows: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0C" w14:textId="0010000D">
            <w:r>
              <w:t xml:space="preserve">Class</w:t>
            </w:r>
          </w:p>
        </w:tc>
        <w:tc>
          <w:p w14:paraId="0010000E" w14:textId="0010000F">
            <w:r>
              <w:t xml:space="preserve">Label</w:t>
            </w:r>
          </w:p>
        </w:tc>
        <w:tc>
          <w:p w14:paraId="00100010" w14:textId="00100011">
            <w:r>
              <w:t xml:space="preserve">Record Count</w:t>
            </w:r>
          </w:p>
        </w:tc>
      </w:tr>
      <w:tr>
        <w:trPr/>
        <w:tc>
          <w:p w14:paraId="00100012" w14:textId="00100013">
            <w:r>
              <w:t xml:space="preserve">1</w:t>
            </w:r>
          </w:p>
        </w:tc>
        <w:tc>
          <w:p w14:paraId="00100014" w14:textId="00100015">
            <w:r>
              <w:t xml:space="preserve">Liver Disease (Positive)</w:t>
            </w:r>
          </w:p>
        </w:tc>
        <w:tc>
          <w:p w14:paraId="00100016" w14:textId="00100017">
            <w:r>
              <w:t xml:space="preserve">9</w:t>
            </w:r>
          </w:p>
        </w:tc>
      </w:tr>
      <w:tr>
        <w:trPr/>
        <w:tc>
          <w:p w14:paraId="00100018" w14:textId="00100019">
            <w:r>
              <w:t xml:space="preserve">2 → 0</w:t>
            </w:r>
          </w:p>
        </w:tc>
        <w:tc>
          <w:p w14:paraId="0010001A" w14:textId="0010001B">
            <w:r>
              <w:t xml:space="preserve">No Disease (Negative)</w:t>
            </w:r>
          </w:p>
        </w:tc>
        <w:tc>
          <w:p w14:paraId="0010001C" w14:textId="0010001D">
            <w:r>
              <w:t xml:space="preserve">7</w:t>
            </w:r>
          </w:p>
        </w:tc>
      </w:tr>
    </w:tbl>
    <w:p w14:paraId="0010001E" w14:textId="0010001F">
      <w:pPr>
        <w:pStyle w:val="Normal"/>
        <w:spacing w:before="200" w:after="200"/>
      </w:pPr>
      <w:r>
        <w:rPr>
          <w:sz w:val="22"/>
        </w:rPr>
        <w:t xml:space="preserve">9 input features are used (excluding the target): Age, Total Bilirubin, Direct Bilirubin, Alkaline Phosphotase, Alamine Aminotransferase, Aspartate Aminotransferase, Total Proteins, Albumin, and Albumin &amp; Globulin Ratio.</w:t>
      </w:r>
    </w:p>
    <w:p w14:paraId="00100020" w14:textId="00100021">
      <w:pPr>
        <w:pStyle w:val="Heading1"/>
        <w:spacing w:before="360" w:after="160"/>
      </w:pPr>
      <w:r>
        <w:rPr>
          <w:b/>
          <w:sz w:val="36"/>
        </w:rPr>
        <w:t xml:space="preserve">3. Approach &amp; Pipeline</w:t>
      </w:r>
    </w:p>
    <w:p w14:paraId="00100022" w14:textId="00100023">
      <w:pPr>
        <w:pStyle w:val="Normal"/>
        <w:spacing w:after="120"/>
      </w:pPr>
      <w:r>
        <w:rPr>
          <w:sz w:val="22"/>
        </w:rPr>
        <w:t xml:space="preserve">The ML pipeline follows these steps:</w:t>
      </w:r>
    </w:p>
    <w:p w14:paraId="00100024" w14:textId="00100025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Feature selection – Nine numeric laboratory columns are selected automatically.</w:t>
      </w:r>
    </w:p>
    <w:p w14:paraId="00100026" w14:textId="00100027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Imputation – Missing values are replaced by the column median, making the pipeline robust to sparse records.</w:t>
      </w:r>
    </w:p>
    <w:p w14:paraId="00100028" w14:textId="00100029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Model – A class-balanced Random Forest classifier is trained to compensate for any class skew.</w:t>
      </w:r>
    </w:p>
    <w:p w14:paraId="0010002A" w14:textId="0010002B">
      <w:pPr>
        <w:pStyle w:val="Normal"/>
        <w:numPr>
          <w:ilvl w:val="0"/>
          <w:numId w:val="1"/>
        </w:numPr>
        <w:spacing w:after="200"/>
      </w:pPr>
      <w:r>
        <w:rPr>
          <w:sz w:val="22"/>
        </w:rPr>
        <w:t xml:space="preserve">Persistence – The fitted pipeline is serialised with joblib and loaded at server start-up.</w:t>
      </w:r>
    </w:p>
    <w:p w14:paraId="0010002C" w14:textId="0010002D">
      <w:pPr>
        <w:pStyle w:val="Heading1"/>
        <w:spacing w:before="360" w:after="160"/>
      </w:pPr>
      <w:r>
        <w:rPr>
          <w:b/>
          <w:sz w:val="36"/>
        </w:rPr>
        <w:t xml:space="preserve">4. API &amp; Frontend</w:t>
      </w:r>
    </w:p>
    <w:p w14:paraId="0010002E" w14:textId="0010002F">
      <w:pPr>
        <w:pStyle w:val="Normal"/>
        <w:spacing w:after="200"/>
      </w:pPr>
      <w:r>
        <w:rPr>
          <w:sz w:val="22"/>
        </w:rPr>
        <w:t xml:space="preserve">Flask exposes the trained pipeline through a JSON prediction endpoint (POST /predict) and a responsive browser form. The frontend is served as a static React build. Docker Compose orchestrates the backend and frontend containers, with a Makefile providing convenience targets for building, testing, and running the stack.</w:t>
      </w:r>
    </w:p>
    <w:p w14:paraId="00100030" w14:textId="00100031">
      <w:pPr>
        <w:pStyle w:val="Heading1"/>
        <w:spacing w:before="360" w:after="160"/>
      </w:pPr>
      <w:r>
        <w:rPr>
          <w:b/>
          <w:sz w:val="36"/>
        </w:rPr>
        <w:t xml:space="preserve">5. Limitations</w:t>
      </w:r>
    </w:p>
    <w:p w14:paraId="00100032" w14:textId="00100033">
      <w:pPr>
        <w:pStyle w:val="Normal"/>
        <w:spacing w:after="120"/>
      </w:pPr>
      <w:r>
        <w:rPr>
          <w:sz w:val="22"/>
        </w:rPr>
        <w:t xml:space="preserve">This example is not a clinical tool. Key limitations include:</w:t>
      </w:r>
    </w:p>
    <w:p w14:paraId="00100034" w14:textId="00100035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Tiny demonstration dataset (16 records) – results are not statistically generalisable.</w:t>
      </w:r>
    </w:p>
    <w:p w14:paraId="00100036" w14:textId="00100037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No external validation or cross-validation on an independent cohort.</w:t>
      </w:r>
    </w:p>
    <w:p w14:paraId="00100038" w14:textId="00100039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No patient safety review or regulatory clearance.</w:t>
      </w:r>
    </w:p>
    <w:p w14:paraId="0010003A" w14:textId="0010003B">
      <w:pPr>
        <w:pStyle w:val="Normal"/>
        <w:numPr>
          <w:ilvl w:val="0"/>
          <w:numId w:val="2"/>
        </w:numPr>
        <w:spacing w:after="200"/>
      </w:pPr>
      <w:r>
        <w:rPr>
          <w:sz w:val="22"/>
        </w:rPr>
        <w:t xml:space="preserve">Outputs must not be used for diagnosis or treatment decisions.</w:t>
      </w:r>
    </w:p>
    <w:p w14:paraId="0010003C" w14:textId="0010003D">
      <w:pPr>
        <w:pStyle w:val="Heading1"/>
        <w:spacing w:before="360" w:after="160"/>
      </w:pPr>
      <w:r>
        <w:rPr>
          <w:b/>
          <w:sz w:val="36"/>
        </w:rPr>
        <w:t xml:space="preserve">6. Reproduction</w:t>
      </w:r>
    </w:p>
    <w:p w14:paraId="0010003E" w14:textId="0010003F">
      <w:pPr>
        <w:pStyle w:val="Normal"/>
        <w:spacing w:after="120"/>
      </w:pPr>
      <w:r>
        <w:rPr>
          <w:sz w:val="22"/>
        </w:rPr>
        <w:t xml:space="preserve">To run the project locally:</w:t>
      </w:r>
    </w:p>
    <w:p w14:paraId="00100040" w14:textId="00100041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Create a virtual environment and install dependencies: pip install -r requirements.txt</w:t>
      </w:r>
    </w:p>
    <w:p w14:paraId="00100042" w14:textId="00100043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Train the model: python train_model.py</w:t>
      </w:r>
    </w:p>
    <w:p w14:paraId="00100044" w14:textId="00100045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Start the prediction service: python app.py</w:t>
      </w:r>
    </w:p>
    <w:p w14:paraId="00100046" w14:textId="00100047">
      <w:pPr>
        <w:pStyle w:val="Normal"/>
        <w:numPr>
          <w:ilvl w:val="0"/>
          <w:numId w:val="3"/>
        </w:numPr>
        <w:spacing w:after="200"/>
      </w:pPr>
      <w:r>
        <w:rPr>
          <w:sz w:val="22"/>
        </w:rPr>
        <w:t xml:space="preserve">Or use Docker Compose: docker compose up --build</w:t>
      </w:r>
    </w:p>
    <w:p w14:paraId="00100048" w14:textId="00100049">
      <w:pPr>
        <w:pStyle w:val="Heading1"/>
        <w:spacing w:before="360" w:after="160"/>
      </w:pPr>
      <w:r>
        <w:rPr>
          <w:b/>
          <w:sz w:val="36"/>
        </w:rPr>
        <w:t xml:space="preserve">7. Project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4A" w14:textId="0010004B">
            <w:r>
              <w:t xml:space="preserve">File / Folder</w:t>
            </w:r>
          </w:p>
        </w:tc>
        <w:tc>
          <w:p w14:paraId="0010004C" w14:textId="0010004D">
            <w:r>
              <w:t xml:space="preserve">Purpose</w:t>
            </w:r>
          </w:p>
        </w:tc>
      </w:tr>
      <w:tr>
        <w:trPr/>
        <w:tc>
          <w:p w14:paraId="0010004E" w14:textId="0010004F">
            <w:r>
              <w:t xml:space="preserve">app.py</w:t>
            </w:r>
          </w:p>
        </w:tc>
        <w:tc>
          <w:p w14:paraId="00100050" w14:textId="00100051">
            <w:r>
              <w:t xml:space="preserve">Flask application entry point and prediction endpoint</w:t>
            </w:r>
          </w:p>
        </w:tc>
      </w:tr>
      <w:tr>
        <w:trPr/>
        <w:tc>
          <w:p w14:paraId="00100052" w14:textId="00100053">
            <w:r>
              <w:t xml:space="preserve">train_model.py</w:t>
            </w:r>
          </w:p>
        </w:tc>
        <w:tc>
          <w:p w14:paraId="00100054" w14:textId="00100055">
            <w:r>
              <w:t xml:space="preserve">Trains and serialises the Random Forest pipeline</w:t>
            </w:r>
          </w:p>
        </w:tc>
      </w:tr>
      <w:tr>
        <w:trPr/>
        <w:tc>
          <w:p w14:paraId="00100056" w14:textId="00100057">
            <w:r>
              <w:t xml:space="preserve">model.py</w:t>
            </w:r>
          </w:p>
        </w:tc>
        <w:tc>
          <w:p w14:paraId="00100058" w14:textId="00100059">
            <w:r>
              <w:t xml:space="preserve">Pipeline definition (feature selection, imputation, classifier)</w:t>
            </w:r>
          </w:p>
        </w:tc>
      </w:tr>
      <w:tr>
        <w:trPr/>
        <w:tc>
          <w:p w14:paraId="0010005A" w14:textId="0010005B">
            <w:r>
              <w:t xml:space="preserve">liver_patient.csv</w:t>
            </w:r>
          </w:p>
        </w:tc>
        <w:tc>
          <w:p w14:paraId="0010005C" w14:textId="0010005D">
            <w:r>
              <w:t xml:space="preserve">Source dataset (16 records, 9 features + target)</w:t>
            </w:r>
          </w:p>
        </w:tc>
      </w:tr>
      <w:tr>
        <w:trPr/>
        <w:tc>
          <w:p w14:paraId="0010005E" w14:textId="0010005F">
            <w:r>
              <w:t xml:space="preserve">frontend/</w:t>
            </w:r>
          </w:p>
        </w:tc>
        <w:tc>
          <w:p w14:paraId="00100060" w14:textId="00100061">
            <w:r>
              <w:t xml:space="preserve">React browser interface for submitting predictions</w:t>
            </w:r>
          </w:p>
        </w:tc>
      </w:tr>
      <w:tr>
        <w:trPr/>
        <w:tc>
          <w:p w14:paraId="00100062" w14:textId="00100063">
            <w:r>
              <w:t xml:space="preserve">docker-compose.yml</w:t>
            </w:r>
          </w:p>
        </w:tc>
        <w:tc>
          <w:p w14:paraId="00100064" w14:textId="00100065">
            <w:r>
              <w:t xml:space="preserve">Multi-container orchestration (backend + frontend)</w:t>
            </w:r>
          </w:p>
        </w:tc>
      </w:tr>
      <w:tr>
        <w:trPr/>
        <w:tc>
          <w:p w14:paraId="00100066" w14:textId="00100067">
            <w:r>
              <w:t xml:space="preserve">tests/</w:t>
            </w:r>
          </w:p>
        </w:tc>
        <w:tc>
          <w:p w14:paraId="00100068" w14:textId="00100069">
            <w:r>
              <w:t xml:space="preserve">Automated tests for the API and model pipeline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6a76a152ad4e15" /><Relationship Type="http://schemas.openxmlformats.org/officeDocument/2006/relationships/styles" Target="/word/styles.xml" Id="R254b1415396948e8" /><Relationship Type="http://schemas.openxmlformats.org/officeDocument/2006/relationships/theme" Target="/word/theme/theme1.xml" Id="Rbc51087dbaa441aa" /><Relationship Type="http://schemas.openxmlformats.org/officeDocument/2006/relationships/numbering" Target="/word/numbering.xml" Id="R00c320444a5043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2026-09-23T18:22:49Z</dcterms:created>
  <cp:lastModifiedBy>OfficeCLI</cp:lastModifiedBy>
  <dcterms:modified xsi:type="dcterms:W3CDTF">2026-09-23T18:22:49Z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2026-09-23T18:23:03Z</vt:lpwstr>
  </op:property>
</op:Properties>
</file>