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80" w:before="600"/>
        <w:jc w:val="center"/>
      </w:pPr>
      <w:r>
        <w:rPr>
          <w:rFonts w:ascii="Arial" w:cs="Arial" w:eastAsia="Arial" w:hAnsi="Arial"/>
          <w:b/>
          <w:bCs/>
          <w:color w:val="1A5276"/>
          <w:sz w:val="40"/>
          <w:szCs w:val="40"/>
        </w:rPr>
        <w:t xml:space="preserve">Recent Advancements in Biotechnology:</w:t>
      </w:r>
    </w:p>
    <w:p>
      <w:pPr>
        <w:spacing w:after="80"/>
        <w:jc w:val="center"/>
      </w:pPr>
      <w:r>
        <w:rPr>
          <w:rFonts w:ascii="Arial" w:cs="Arial" w:eastAsia="Arial" w:hAnsi="Arial"/>
          <w:b/>
          <w:bCs/>
          <w:color w:val="2E86C1"/>
          <w:sz w:val="36"/>
          <w:szCs w:val="36"/>
        </w:rPr>
        <w:t xml:space="preserve">CRISPR Technology and Gene Therapy</w:t>
      </w:r>
    </w:p>
    <w:p>
      <w:pPr>
        <w:spacing w:after="80" w:before="160"/>
        <w:jc w:val="center"/>
      </w:pPr>
      <w:r>
        <w:rPr>
          <w:rFonts w:ascii="Arial" w:cs="Arial" w:eastAsia="Arial" w:hAnsi="Arial"/>
          <w:i/>
          <w:iCs/>
          <w:color w:val="555555"/>
          <w:sz w:val="24"/>
          <w:szCs w:val="24"/>
        </w:rPr>
        <w:t xml:space="preserve">A Research Report</w:t>
      </w:r>
    </w:p>
    <w:p>
      <w:pPr>
        <w:pBdr>
          <w:bottom w:val="single" w:color="CCCCCC" w:sz="4" w:space="4"/>
        </w:pBdr>
        <w:spacing w:after="80" w:before="80"/>
        <w:jc w:val="center"/>
      </w:pPr>
      <w:r>
        <w:rPr>
          <w:rFonts w:ascii="Arial" w:cs="Arial" w:eastAsia="Arial" w:hAnsi="Arial"/>
          <w:color w:val="777777"/>
          <w:sz w:val="20"/>
          <w:szCs w:val="20"/>
        </w:rPr>
        <w:t xml:space="preserve">Submitted as part of CodeAlpha Biotechnology Internship Program — Task 1</w:t>
      </w:r>
    </w:p>
    <w:p>
      <w:pPr>
        <w:spacing w:before="400"/>
      </w:pPr>
    </w:p>
    <w:p>
      <w:pPr>
        <w:pStyle w:val="Heading1"/>
      </w:pPr>
      <w:r>
        <w:t xml:space="preserve">Abstract</w:t>
      </w:r>
    </w:p>
    <w:p>
      <w:pPr>
        <w:spacing w:after="200" w:before="120" w:line="360"/>
        <w:jc w:val="both"/>
      </w:pPr>
      <w:r>
        <w:rPr>
          <w:rFonts w:ascii="Arial" w:cs="Arial" w:eastAsia="Arial" w:hAnsi="Arial"/>
          <w:sz w:val="24"/>
          <w:szCs w:val="24"/>
        </w:rPr>
        <w:t xml:space="preserve">The field of genetic engineering has witnessed a paradigm shift with the emergence of CRISPR-Cas9 technology and advanced gene therapy modalities. This report presents a comprehensive analysis of recent advancements in these areas, exploring breakthroughs from 2020 to 2025. CRISPR technology has evolved from a rudimentary gene-editing tool to a precision molecular scalpel capable of treating genetic disorders, infectious diseases, and cancer. Concurrently, gene therapy has matured significantly, with numerous FDA-approved treatments now available for previously incurable conditions. This report examines the molecular mechanisms, clinical applications, ethical considerations, and future trajectories of both CRISPR and gene therapy, highlighting their transformative potential in modern medicine.</w:t>
      </w:r>
    </w:p>
    <w:p>
      <w:pPr>
        <w:pStyle w:val="Heading1"/>
      </w:pPr>
      <w:r>
        <w:t xml:space="preserve">1. Introduction</w:t>
      </w:r>
    </w:p>
    <w:p>
      <w:pPr>
        <w:spacing w:after="160" w:before="120" w:line="360"/>
        <w:jc w:val="both"/>
      </w:pPr>
      <w:r>
        <w:rPr>
          <w:rFonts w:ascii="Arial" w:cs="Arial" w:eastAsia="Arial" w:hAnsi="Arial"/>
          <w:sz w:val="24"/>
          <w:szCs w:val="24"/>
        </w:rPr>
        <w:t xml:space="preserve">Biotechnology has long stood at the frontier of human innovation, and nowhere is this more evident than in the domains of genetic engineering and gene therapy. The last decade has ushered in an unprecedented era of molecular medicine, fundamentally redefining our approach to hereditary and acquired diseases. The discovery and subsequent engineering of the Clustered Regularly Interspaced Short Palindromic Repeats (CRISPR) system — particularly the CRISPR-Cas9 mechanism derived from bacterial immune responses — has provided scientists and clinicians with an unparalleled toolkit for precise genome editing. Meanwhile, gene therapy, once considered a futuristic concept, has matured into a legitimate therapeutic strategy with multiple approved treatments reaching patients globally.</w:t>
      </w:r>
    </w:p>
    <w:p>
      <w:pPr>
        <w:spacing w:after="200" w:before="0" w:line="360"/>
        <w:jc w:val="both"/>
      </w:pPr>
      <w:r>
        <w:rPr>
          <w:rFonts w:ascii="Arial" w:cs="Arial" w:eastAsia="Arial" w:hAnsi="Arial"/>
          <w:sz w:val="24"/>
          <w:szCs w:val="24"/>
        </w:rPr>
        <w:t xml:space="preserve">The convergence of these technologies is reshaping medicine. From correcting single-gene mutations responsible for sickle cell disease to silencing cancer-driving oncogenes, the therapeutic potential is vast and growing. This report synthesizes key advancements in CRISPR technology and gene therapy, discussing their scientific underpinnings, clinical milestones, challenges, and the ethical landscape surrounding their deployment.</w:t>
      </w:r>
    </w:p>
    <w:p>
      <w:pPr>
        <w:pStyle w:val="Heading1"/>
      </w:pPr>
      <w:r>
        <w:t xml:space="preserve">2. CRISPR Technology: Mechanism and Recent Advancements</w:t>
      </w:r>
    </w:p>
    <w:p>
      <w:pPr>
        <w:pStyle w:val="Heading2"/>
      </w:pPr>
      <w:r>
        <w:t xml:space="preserve">2.1 Molecular Mechanism of CRISPR-Cas9</w:t>
      </w:r>
    </w:p>
    <w:p>
      <w:pPr>
        <w:spacing w:after="160" w:before="120" w:line="360"/>
        <w:jc w:val="both"/>
      </w:pPr>
      <w:r>
        <w:rPr>
          <w:rFonts w:ascii="Arial" w:cs="Arial" w:eastAsia="Arial" w:hAnsi="Arial"/>
          <w:sz w:val="24"/>
          <w:szCs w:val="24"/>
        </w:rPr>
        <w:t xml:space="preserve">CRISPR-Cas9 operates through a two-component system: a single guide RNA (sgRNA) that directs the Cas9 endonuclease protein to a specific DNA sequence complementary to the guide RNA. Upon target recognition and binding adjacent to a protospacer adjacent motif (PAM) sequence, Cas9 introduces a double-strand break (DSB) in the DNA. The cell's own DNA repair machinery then resolves this break via two primary pathways — Non-Homologous End Joining (NHEJ), which results in insertions or deletions (indels) that typically disrupt gene function, or Homology-Directed Repair (HDR), which enables precise sequence replacement when a donor template is provided.</w:t>
      </w:r>
    </w:p>
    <w:p>
      <w:pPr>
        <w:pStyle w:val="Heading2"/>
      </w:pPr>
      <w:r>
        <w:t xml:space="preserve">2.2 Next-Generation CRISPR Systems</w:t>
      </w:r>
    </w:p>
    <w:p>
      <w:pPr>
        <w:spacing w:after="100" w:before="120" w:line="360"/>
        <w:jc w:val="both"/>
      </w:pPr>
      <w:r>
        <w:rPr>
          <w:rFonts w:ascii="Arial" w:cs="Arial" w:eastAsia="Arial" w:hAnsi="Arial"/>
          <w:sz w:val="24"/>
          <w:szCs w:val="24"/>
        </w:rPr>
        <w:t xml:space="preserve">Beyond the canonical Cas9 system, researchers have developed a suite of next-generation tools that expand the precision and versatility of genome editing:</w:t>
      </w:r>
    </w:p>
    <w:p>
      <w:pPr>
        <w:pStyle w:val="ListParagraph"/>
        <w:numPr>
          <w:ilvl w:val="0"/>
          <w:numId w:val="2"/>
        </w:numPr>
        <w:spacing w:after="60" w:before="60" w:line="340"/>
      </w:pPr>
      <w:r>
        <w:rPr>
          <w:rFonts w:ascii="Arial" w:cs="Arial" w:eastAsia="Arial" w:hAnsi="Arial"/>
          <w:sz w:val="24"/>
          <w:szCs w:val="24"/>
        </w:rPr>
        <w:t xml:space="preserve">Base Editing: Developed by David Liu's group at the Broad Institute, base editors enable the direct conversion of one DNA base to another (e.g., C-to-T or A-to-G) without creating double-strand breaks, greatly reducing off-target mutations and improving editing safety profiles.</w:t>
      </w:r>
    </w:p>
    <w:p>
      <w:pPr>
        <w:pStyle w:val="ListParagraph"/>
        <w:numPr>
          <w:ilvl w:val="0"/>
          <w:numId w:val="2"/>
        </w:numPr>
        <w:spacing w:after="60" w:before="60" w:line="340"/>
      </w:pPr>
      <w:r>
        <w:rPr>
          <w:rFonts w:ascii="Arial" w:cs="Arial" w:eastAsia="Arial" w:hAnsi="Arial"/>
          <w:sz w:val="24"/>
          <w:szCs w:val="24"/>
        </w:rPr>
        <w:t xml:space="preserve">Prime Editing: Often described as a 'search-and-replace' mechanism for genomes, prime editing uses a prime editor protein and pegRNA to introduce all twelve types of point mutations, as well as small insertions and deletions, with high precision and minimal unintended effects.</w:t>
      </w:r>
    </w:p>
    <w:p>
      <w:pPr>
        <w:pStyle w:val="ListParagraph"/>
        <w:numPr>
          <w:ilvl w:val="0"/>
          <w:numId w:val="2"/>
        </w:numPr>
        <w:spacing w:after="60" w:before="60" w:line="340"/>
      </w:pPr>
      <w:r>
        <w:rPr>
          <w:rFonts w:ascii="Arial" w:cs="Arial" w:eastAsia="Arial" w:hAnsi="Arial"/>
          <w:sz w:val="24"/>
          <w:szCs w:val="24"/>
        </w:rPr>
        <w:t xml:space="preserve">CRISPR-Cas12 and Cas13: These alternative Cas proteins expand targeting capabilities. Cas12 targets DNA with enhanced specificity, while Cas13 targets RNA, opening avenues for transient gene silencing without permanent genomic alterations, particularly useful in treating viral infections and inflammatory conditions.</w:t>
      </w:r>
    </w:p>
    <w:p>
      <w:pPr>
        <w:pStyle w:val="ListParagraph"/>
        <w:numPr>
          <w:ilvl w:val="0"/>
          <w:numId w:val="2"/>
        </w:numPr>
        <w:spacing w:after="160" w:before="60" w:line="340"/>
      </w:pPr>
      <w:r>
        <w:rPr>
          <w:rFonts w:ascii="Arial" w:cs="Arial" w:eastAsia="Arial" w:hAnsi="Arial"/>
          <w:sz w:val="24"/>
          <w:szCs w:val="24"/>
        </w:rPr>
        <w:t xml:space="preserve">Epigenome Editing: Catalytically dead Cas9 (dCas9) fused to epigenetic modifiers allows researchers to alter gene expression patterns by modifying histone marks or DNA methylation states, without changing the underlying DNA sequence — an approach with significant implications for diseases driven by epigenetic dysregulation.</w:t>
      </w:r>
    </w:p>
    <w:p>
      <w:pPr>
        <w:pStyle w:val="Heading2"/>
      </w:pPr>
      <w:r>
        <w:t xml:space="preserve">2.3 CRISPR in Clinical Applications (2020–2025)</w:t>
      </w:r>
    </w:p>
    <w:p>
      <w:pPr>
        <w:spacing w:after="160" w:before="120" w:line="360"/>
        <w:jc w:val="both"/>
      </w:pPr>
      <w:r>
        <w:rPr>
          <w:rFonts w:ascii="Arial" w:cs="Arial" w:eastAsia="Arial" w:hAnsi="Arial"/>
          <w:sz w:val="24"/>
          <w:szCs w:val="24"/>
        </w:rPr>
        <w:t xml:space="preserve">The clinical translation of CRISPR has accelerated dramatically. In 2023, Casgevy (exagamglogene autotemcel), developed by Vertex Pharmaceuticals and CRISPR Therapeutics, received landmark FDA and EMA approval for the treatment of sickle cell disease and transfusion-dependent beta-thalassemia — marking the first approved CRISPR-based therapy in human medicine. The treatment involves editing patients' own hematopoietic stem cells to reactivate fetal hemoglobin production, compensating for the defective adult hemoglobin. Clinical trial data showed that the vast majority of treated patients achieved freedom from vaso-occlusive crises and transfusion independence.</w:t>
      </w:r>
    </w:p>
    <w:p>
      <w:pPr>
        <w:spacing w:after="200" w:before="0" w:line="360"/>
        <w:jc w:val="both"/>
      </w:pPr>
      <w:r>
        <w:rPr>
          <w:rFonts w:ascii="Arial" w:cs="Arial" w:eastAsia="Arial" w:hAnsi="Arial"/>
          <w:sz w:val="24"/>
          <w:szCs w:val="24"/>
        </w:rPr>
        <w:t xml:space="preserve">Beyond hemoglobinopathies, CRISPR-based approaches are being investigated in clinical trials for cancers (targeting PD-1 in T-cells), transthyretin amyloidosis (NTLA-2001 by Intellia Therapeutics demonstrating in vivo CRISPR editing in humans), HIV, and inherited blindness conditions such as Leber congenital amaurosis. These advances represent the transition of CRISPR from a laboratory tool to a genuine medical technology.</w:t>
      </w:r>
    </w:p>
    <w:p>
      <w:pPr>
        <w:pStyle w:val="Heading1"/>
      </w:pPr>
      <w:r>
        <w:t xml:space="preserve">3. Gene Therapy: Approaches and Recent Breakthroughs</w:t>
      </w:r>
    </w:p>
    <w:p>
      <w:pPr>
        <w:pStyle w:val="Heading2"/>
      </w:pPr>
      <w:r>
        <w:t xml:space="preserve">3.1 Categories of Gene Therapy</w:t>
      </w:r>
    </w:p>
    <w:p>
      <w:pPr>
        <w:pStyle w:val="ListParagraph"/>
        <w:numPr>
          <w:ilvl w:val="0"/>
          <w:numId w:val="2"/>
        </w:numPr>
        <w:spacing w:after="60" w:before="60" w:line="340"/>
      </w:pPr>
      <w:r>
        <w:rPr>
          <w:rFonts w:ascii="Arial" w:cs="Arial" w:eastAsia="Arial" w:hAnsi="Arial"/>
          <w:sz w:val="24"/>
          <w:szCs w:val="24"/>
        </w:rPr>
        <w:t xml:space="preserve">Gene Augmentation Therapy: Delivers a functional copy of a defective gene to restore normal protein expression. This approach is particularly effective for loss-of-function mutations, as seen in therapies for spinal muscular atrophy (SMA) and certain forms of inherited blindness.</w:t>
      </w:r>
    </w:p>
    <w:p>
      <w:pPr>
        <w:pStyle w:val="ListParagraph"/>
        <w:numPr>
          <w:ilvl w:val="0"/>
          <w:numId w:val="2"/>
        </w:numPr>
        <w:spacing w:after="60" w:before="60" w:line="340"/>
      </w:pPr>
      <w:r>
        <w:rPr>
          <w:rFonts w:ascii="Arial" w:cs="Arial" w:eastAsia="Arial" w:hAnsi="Arial"/>
          <w:sz w:val="24"/>
          <w:szCs w:val="24"/>
        </w:rPr>
        <w:t xml:space="preserve">Gene Silencing Therapy: Uses RNA interference (RNAi), antisense oligonucleotides (ASOs), or CRISPR-based tools to suppress the expression of harmful genes, such as those encoding toxic proteins in Huntington's disease or TTR in transthyretin amyloidosis.</w:t>
      </w:r>
    </w:p>
    <w:p>
      <w:pPr>
        <w:pStyle w:val="ListParagraph"/>
        <w:numPr>
          <w:ilvl w:val="0"/>
          <w:numId w:val="2"/>
        </w:numPr>
        <w:spacing w:after="160" w:before="60" w:line="340"/>
      </w:pPr>
      <w:r>
        <w:rPr>
          <w:rFonts w:ascii="Arial" w:cs="Arial" w:eastAsia="Arial" w:hAnsi="Arial"/>
          <w:sz w:val="24"/>
          <w:szCs w:val="24"/>
        </w:rPr>
        <w:t xml:space="preserve">Cell-Based Gene Therapy (ex vivo): Involves removing cells from a patient, genetically modifying them outside the body, and reinfusing them. CAR-T cell therapy is a prime example, having revolutionized treatment of several hematological malignancies.</w:t>
      </w:r>
    </w:p>
    <w:p>
      <w:pPr>
        <w:pStyle w:val="Heading2"/>
      </w:pPr>
      <w:r>
        <w:t xml:space="preserve">3.2 Delivery Mechanisms</w:t>
      </w:r>
    </w:p>
    <w:p>
      <w:pPr>
        <w:spacing w:after="160" w:before="120" w:line="360"/>
        <w:jc w:val="both"/>
      </w:pPr>
      <w:r>
        <w:rPr>
          <w:rFonts w:ascii="Arial" w:cs="Arial" w:eastAsia="Arial" w:hAnsi="Arial"/>
          <w:sz w:val="24"/>
          <w:szCs w:val="24"/>
        </w:rPr>
        <w:t xml:space="preserve">Adeno-Associated Viruses (AAVs) remain the gold standard for in vivo gene delivery due to their low immunogenicity, ability to transduce non-dividing cells, and long-term expression capabilities. Recent engineering of novel AAV serotypes has dramatically improved tissue specificity. Non-viral vectors, particularly lipid nanoparticles (LNPs), gained unprecedented validation through the success of mRNA COVID-19 vaccines and are now being applied to gene therapy contexts, offering advantages in scalable manufacturing and reduced immunogenicity.</w:t>
      </w:r>
    </w:p>
    <w:p>
      <w:pPr>
        <w:pStyle w:val="Heading2"/>
      </w:pPr>
      <w:r>
        <w:t xml:space="preserve">3.3 Recent FDA Approvals and Clinical Milestones</w:t>
      </w:r>
    </w:p>
    <w:p>
      <w:pPr>
        <w:spacing w:after="200" w:before="120" w:line="360"/>
        <w:jc w:val="both"/>
      </w:pPr>
      <w:r>
        <w:rPr>
          <w:rFonts w:ascii="Arial" w:cs="Arial" w:eastAsia="Arial" w:hAnsi="Arial"/>
          <w:sz w:val="24"/>
          <w:szCs w:val="24"/>
        </w:rPr>
        <w:t xml:space="preserve">The gene therapy pipeline has yielded several landmark approvals. Zolgensma (onasemnogene abeparvovec) by Novartis delivers a functional SMN1 gene to treat spinal muscular atrophy type 1 in infants, often producing dramatic improvements in motor function. Luxturna (voretigene neparvovec) treats RPE65 mutation-associated retinal dystrophy, restoring vision in patients otherwise destined for blindness. Hemgenix (etranacogene dezaparvovec), approved in 2022 for hemophilia B, reflects both the high development costs and the substantial lifetime value gene therapies provide. These approvals collectively signal that gene therapy has crossed the threshold from experimental to established medicine.</w:t>
      </w:r>
    </w:p>
    <w:p>
      <w:pPr>
        <w:pStyle w:val="Heading1"/>
      </w:pPr>
      <w:r>
        <w:t xml:space="preserve">4. Convergence of CRISPR and Gene Therapy</w:t>
      </w:r>
    </w:p>
    <w:p>
      <w:pPr>
        <w:spacing w:after="200" w:before="120" w:line="360"/>
        <w:jc w:val="both"/>
      </w:pPr>
      <w:r>
        <w:rPr>
          <w:rFonts w:ascii="Arial" w:cs="Arial" w:eastAsia="Arial" w:hAnsi="Arial"/>
          <w:sz w:val="24"/>
          <w:szCs w:val="24"/>
        </w:rPr>
        <w:t xml:space="preserve">The most transformative developments in contemporary biotechnology arise from integrating CRISPR editing capabilities with gene therapy delivery systems. Intellia Therapeutics' NTLA-2001 demonstrated in 2021 that in vivo CRISPR editing is feasible in humans, with a single intravenous dose of LNP-formulated CRISPR components reducing serum TTR protein levels by up to 87% in patients with transthyretin amyloidosis. This opened the door to systemic CRISPR treatments for a range of liver-expressed disease genes. Similarly, the development of AAV-delivered base editors is pushing the boundaries of in vivo precision medicine, aiming to correct point mutations responsible for sickle cell disease and alpha-1 antitrypsin deficiency directly in target tissues.</w:t>
      </w:r>
    </w:p>
    <w:p>
      <w:pPr>
        <w:pStyle w:val="Heading1"/>
      </w:pPr>
      <w:r>
        <w:t xml:space="preserve">5. Challenges and Limitations</w:t>
      </w:r>
    </w:p>
    <w:p>
      <w:pPr>
        <w:pStyle w:val="ListParagraph"/>
        <w:numPr>
          <w:ilvl w:val="0"/>
          <w:numId w:val="2"/>
        </w:numPr>
        <w:spacing w:after="60" w:before="60" w:line="340"/>
      </w:pPr>
      <w:r>
        <w:rPr>
          <w:rFonts w:ascii="Arial" w:cs="Arial" w:eastAsia="Arial" w:hAnsi="Arial"/>
          <w:sz w:val="24"/>
          <w:szCs w:val="24"/>
        </w:rPr>
        <w:t xml:space="preserve">Off-Target Effects: CRISPR edits can occur at unintended genomic loci, potentially disrupting tumor suppressor genes. While newer tools like high-fidelity Cas9 variants and base editors have reduced this risk, long-term genomic surveillance remains essential.</w:t>
      </w:r>
    </w:p>
    <w:p>
      <w:pPr>
        <w:pStyle w:val="ListParagraph"/>
        <w:numPr>
          <w:ilvl w:val="0"/>
          <w:numId w:val="2"/>
        </w:numPr>
        <w:spacing w:after="60" w:before="60" w:line="340"/>
      </w:pPr>
      <w:r>
        <w:rPr>
          <w:rFonts w:ascii="Arial" w:cs="Arial" w:eastAsia="Arial" w:hAnsi="Arial"/>
          <w:sz w:val="24"/>
          <w:szCs w:val="24"/>
        </w:rPr>
        <w:t xml:space="preserve">Immunogenicity: Pre-existing immunity to Cas9 proteins and AAV capsids is prevalent in the human population, potentially limiting treatment eligibility and rendering re-administration with viral vectors impossible.</w:t>
      </w:r>
    </w:p>
    <w:p>
      <w:pPr>
        <w:pStyle w:val="ListParagraph"/>
        <w:numPr>
          <w:ilvl w:val="0"/>
          <w:numId w:val="2"/>
        </w:numPr>
        <w:spacing w:after="60" w:before="60" w:line="340"/>
      </w:pPr>
      <w:r>
        <w:rPr>
          <w:rFonts w:ascii="Arial" w:cs="Arial" w:eastAsia="Arial" w:hAnsi="Arial"/>
          <w:sz w:val="24"/>
          <w:szCs w:val="24"/>
        </w:rPr>
        <w:t xml:space="preserve">Delivery Barriers: Efficiently reaching target tissues, particularly the brain and lungs, remains a significant engineering challenge. The blood-brain barrier is especially restrictive for systemic neurological applications.</w:t>
      </w:r>
    </w:p>
    <w:p>
      <w:pPr>
        <w:pStyle w:val="ListParagraph"/>
        <w:numPr>
          <w:ilvl w:val="0"/>
          <w:numId w:val="2"/>
        </w:numPr>
        <w:spacing w:after="160" w:before="60" w:line="340"/>
      </w:pPr>
      <w:r>
        <w:rPr>
          <w:rFonts w:ascii="Arial" w:cs="Arial" w:eastAsia="Arial" w:hAnsi="Arial"/>
          <w:sz w:val="24"/>
          <w:szCs w:val="24"/>
        </w:rPr>
        <w:t xml:space="preserve">Cost and Accessibility: Gene therapies are among the most expensive treatments ever developed, with some exceeding $3 million per patient. This creates profound equity concerns, as patients in low-income countries who could benefit most are least able to access these treatments.</w:t>
      </w:r>
    </w:p>
    <w:p>
      <w:pPr>
        <w:pStyle w:val="Heading1"/>
      </w:pPr>
      <w:r>
        <w:t xml:space="preserve">6. Ethical and Regulatory Considerations</w:t>
      </w:r>
    </w:p>
    <w:p>
      <w:pPr>
        <w:spacing w:after="200" w:before="120" w:line="360"/>
        <w:jc w:val="both"/>
      </w:pPr>
      <w:r>
        <w:rPr>
          <w:rFonts w:ascii="Arial" w:cs="Arial" w:eastAsia="Arial" w:hAnsi="Arial"/>
          <w:sz w:val="24"/>
          <w:szCs w:val="24"/>
        </w:rPr>
        <w:t xml:space="preserve">The power to edit the human genome raises profound ethical questions. The 2018 announcement by He Jiankui of germline-edited babies sparked global condemnation and prompted emergency ethical frameworks from the WHO advisory committee, which explicitly called for a registry of all human germline editing research and a moratorium on heritable genome editing until safety and societal consensus are established. Somatic gene editing — affecting only the treated individual — is broadly accepted as ethically permissible under appropriate oversight. Regulatory agencies, including the FDA and EMA, have established robust frameworks requiring extensive safety data before approving gene-based therapies. However, the possibility of enhancements beyond disease treatment raises ongoing concerns about genetic inequality and eugenics that require continued societal dialogue.</w:t>
      </w:r>
    </w:p>
    <w:p>
      <w:pPr>
        <w:pStyle w:val="Heading1"/>
      </w:pPr>
      <w:r>
        <w:t xml:space="preserve">7. Future Prospects</w:t>
      </w:r>
    </w:p>
    <w:p>
      <w:pPr>
        <w:spacing w:after="200" w:before="120" w:line="360"/>
        <w:jc w:val="both"/>
      </w:pPr>
      <w:r>
        <w:rPr>
          <w:rFonts w:ascii="Arial" w:cs="Arial" w:eastAsia="Arial" w:hAnsi="Arial"/>
          <w:sz w:val="24"/>
          <w:szCs w:val="24"/>
        </w:rPr>
        <w:t xml:space="preserve">The horizon for CRISPR and gene therapy is extraordinarily promising. Artificial intelligence is being integrated into CRISPR guide RNA design to predict and minimize off-target effects, while machine learning models are being applied to AAV capsid engineering to develop vectors with enhanced tropism and immunoevasion properties. In the near term, expanded approvals for CRISPR-based therapies across hematological, ophthalmic, and hepatic indications are anticipated. In the medium term, in vivo editing for neurological diseases and cancer may become a clinical reality. The concept of one-time cures for genetic diseases, once the exclusive domain of science fiction, is rapidly becoming a medical reality, promising to transform the treatment paradigm for thousands of conditions affecting millions globally.</w:t>
      </w:r>
    </w:p>
    <w:p>
      <w:pPr>
        <w:pStyle w:val="Heading1"/>
      </w:pPr>
      <w:r>
        <w:t xml:space="preserve">8. Conclusion</w:t>
      </w:r>
    </w:p>
    <w:p>
      <w:pPr>
        <w:spacing w:after="200" w:before="120" w:line="360"/>
        <w:jc w:val="both"/>
      </w:pPr>
      <w:r>
        <w:rPr>
          <w:rFonts w:ascii="Arial" w:cs="Arial" w:eastAsia="Arial" w:hAnsi="Arial"/>
          <w:sz w:val="24"/>
          <w:szCs w:val="24"/>
        </w:rPr>
        <w:t xml:space="preserve">CRISPR technology and gene therapy represent two of the most consequential advancements in the history of biotechnology. Together, they are redefining the boundaries of medicine, offering the prospect of curing diseases that were previously considered irreversible. The approval of Casgevy in 2023, the continued expansion of AAV gene therapy approvals, and the successful demonstration of in vivo CRISPR editing in humans collectively signal that a new era of genomic medicine has arrived. While challenges related to safety, cost, delivery, and ethics must be carefully navigated, the trajectory of innovation in this field is clear and compelling. As tools become more precise and delivery systems more efficient, CRISPR and gene therapy will increasingly move from the clinical frontier to standard-of-care medicine, fundamentally improving human health across the globe.</w:t>
      </w:r>
    </w:p>
    <w:p>
      <w:pPr>
        <w:pStyle w:val="Heading1"/>
      </w:pPr>
      <w:r>
        <w:t xml:space="preserve">References</w:t>
      </w:r>
    </w:p>
    <w:p>
      <w:pPr>
        <w:spacing w:after="80" w:before="80" w:line="320"/>
      </w:pPr>
      <w:r>
        <w:rPr>
          <w:rFonts w:ascii="Arial" w:cs="Arial" w:eastAsia="Arial" w:hAnsi="Arial"/>
          <w:sz w:val="22"/>
          <w:szCs w:val="22"/>
        </w:rPr>
        <w:t xml:space="preserve">Anzalone, A. V., Koblan, L. W., &amp; Liu, D. R. (2020). Genome editing with CRISPR-Cas nucleases, base editors, transposases and prime editors. Nature Biotechnology, 38(7), 824–844. https://doi.org/10.1038/s41587-020-0561-9</w:t>
      </w:r>
    </w:p>
    <w:p>
      <w:pPr>
        <w:spacing w:after="80" w:before="80" w:line="320"/>
      </w:pPr>
      <w:r>
        <w:rPr>
          <w:rFonts w:ascii="Arial" w:cs="Arial" w:eastAsia="Arial" w:hAnsi="Arial"/>
          <w:sz w:val="22"/>
          <w:szCs w:val="22"/>
        </w:rPr>
        <w:t xml:space="preserve">Doudna, J. A. (2020). The promise and challenge of therapeutic genome editing. Nature, 578(7794), 229–236. https://doi.org/10.1038/s41586-020-1978-5</w:t>
      </w:r>
    </w:p>
    <w:p>
      <w:pPr>
        <w:spacing w:after="80" w:before="80" w:line="320"/>
      </w:pPr>
      <w:r>
        <w:rPr>
          <w:rFonts w:ascii="Arial" w:cs="Arial" w:eastAsia="Arial" w:hAnsi="Arial"/>
          <w:sz w:val="22"/>
          <w:szCs w:val="22"/>
        </w:rPr>
        <w:t xml:space="preserve">Frangoul, H., Altshuler, D., Cappellini, M. D., et al. (2021). CRISPR-Cas9 gene editing for sickle cell disease and beta-thalassemia. New England Journal of Medicine, 384(3), 252–260. https://doi.org/10.1056/NEJMoa2031054</w:t>
      </w:r>
    </w:p>
    <w:p>
      <w:pPr>
        <w:spacing w:after="80" w:before="80" w:line="320"/>
      </w:pPr>
      <w:r>
        <w:rPr>
          <w:rFonts w:ascii="Arial" w:cs="Arial" w:eastAsia="Arial" w:hAnsi="Arial"/>
          <w:sz w:val="22"/>
          <w:szCs w:val="22"/>
        </w:rPr>
        <w:t xml:space="preserve">Gillmore, J. D., Gane, E., Taubel, J., et al. (2021). CRISPR-Cas9 in vivo gene editing for transthyretin amyloidosis. New England Journal of Medicine, 385(6), 493–502. https://doi.org/10.1056/NEJMoa2107454</w:t>
      </w:r>
    </w:p>
    <w:p>
      <w:pPr>
        <w:spacing w:after="80" w:before="80" w:line="320"/>
      </w:pPr>
      <w:r>
        <w:rPr>
          <w:rFonts w:ascii="Arial" w:cs="Arial" w:eastAsia="Arial" w:hAnsi="Arial"/>
          <w:sz w:val="22"/>
          <w:szCs w:val="22"/>
        </w:rPr>
        <w:t xml:space="preserve">High, K. A., &amp; Roncarolo, M. G. (2019). Gene therapy. New England Journal of Medicine, 381(5), 455–464. https://doi.org/10.1056/NEJMra1706910</w:t>
      </w:r>
    </w:p>
    <w:p>
      <w:pPr>
        <w:spacing w:after="80" w:before="80" w:line="320"/>
      </w:pPr>
      <w:r>
        <w:rPr>
          <w:rFonts w:ascii="Arial" w:cs="Arial" w:eastAsia="Arial" w:hAnsi="Arial"/>
          <w:sz w:val="22"/>
          <w:szCs w:val="22"/>
        </w:rPr>
        <w:t xml:space="preserve">Sheridan, C. (2023). The world's first CRISPR therapy is approved: Who will be able to afford it? Nature Biotechnology, 42, 3–4. https://doi.org/10.1038/d41587-023-00016-6</w:t>
      </w:r>
    </w:p>
    <w:p>
      <w:pPr>
        <w:spacing w:after="80" w:before="80" w:line="320"/>
      </w:pPr>
      <w:r>
        <w:rPr>
          <w:rFonts w:ascii="Arial" w:cs="Arial" w:eastAsia="Arial" w:hAnsi="Arial"/>
          <w:sz w:val="22"/>
          <w:szCs w:val="22"/>
        </w:rPr>
        <w:t xml:space="preserve">U.S. Food and Drug Administration. (2023). FDA approves first gene therapies to treat patients with sickle cell disease. FDA News Release. https://www.fda.gov/news-events/press-announcements</w:t>
      </w:r>
    </w:p>
    <w:p>
      <w:pPr>
        <w:spacing w:after="80" w:before="80" w:line="320"/>
      </w:pPr>
      <w:r>
        <w:rPr>
          <w:rFonts w:ascii="Arial" w:cs="Arial" w:eastAsia="Arial" w:hAnsi="Arial"/>
          <w:sz w:val="22"/>
          <w:szCs w:val="22"/>
        </w:rPr>
        <w:t xml:space="preserve">Wang, J. Y., &amp; Doudna, J. A. (2023). CRISPR technology: A decade of genome editing is only the beginning. Science, 379(6629), eadd8643. https://doi.org/10.1126/science.add8643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8"/>
        <w:szCs w:val="18"/>
      </w:rPr>
      <w:t xml:space="preserve">CodeAlpha Biotechnology Internship</w:t>
    </w:r>
    <w:r>
      <w:rPr>
        <w:rFonts w:ascii="Arial" w:cs="Arial" w:eastAsia="Arial" w:hAnsi="Arial"/>
        <w:sz w:val="18"/>
        <w:szCs w:val="18"/>
      </w:rPr>
      <w:t xml:space="preserv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pPr>
    <w:r>
      <w:rPr>
        <w:rFonts w:ascii="Arial" w:cs="Arial" w:eastAsia="Arial" w:hAnsi="Arial"/>
        <w:b/>
        <w:bCs/>
        <w:color w:val="1A5276"/>
        <w:sz w:val="18"/>
        <w:szCs w:val="18"/>
      </w:rPr>
      <w:t xml:space="preserve">Recent Advancements in Biotechnology: CRISPR &amp; Gene Therapy  |  CodeAlpha Internship — Task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5276"/>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2026-05-07T04:13:18.328Z</dcterms:created>
  <dcterms:modified xsi:type="dcterms:W3CDTF">2026-05-07T04:13:18.344Z</dcterms:modified>
</cp:coreProperties>
</file>

<file path=docProps/custom.xml><?xml version="1.0" encoding="utf-8"?>
<Properties xmlns="http://schemas.openxmlformats.org/officeDocument/2006/custom-properties" xmlns:vt="http://schemas.openxmlformats.org/officeDocument/2006/docPropsVTypes"/>
</file>