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before="500"/>
        <w:jc w:val="center"/>
      </w:pPr>
      <w:r>
        <w:rPr>
          <w:rFonts w:ascii="Arial" w:cs="Arial" w:eastAsia="Arial" w:hAnsi="Arial"/>
          <w:b/>
          <w:bCs/>
          <w:color w:val="1E8449"/>
          <w:sz w:val="36"/>
          <w:szCs w:val="36"/>
        </w:rPr>
        <w:t xml:space="preserve">Mini Project Proposal</w:t>
      </w:r>
    </w:p>
    <w:p>
      <w:pPr>
        <w:spacing w:after="80"/>
        <w:jc w:val="center"/>
      </w:pPr>
      <w:r>
        <w:rPr>
          <w:rFonts w:ascii="Arial" w:cs="Arial" w:eastAsia="Arial" w:hAnsi="Arial"/>
          <w:b/>
          <w:bCs/>
          <w:color w:val="27AE60"/>
          <w:sz w:val="32"/>
          <w:szCs w:val="32"/>
        </w:rPr>
        <w:t xml:space="preserve">AI/ML Applications in Biotechnology Research</w:t>
      </w:r>
    </w:p>
    <w:p>
      <w:pPr>
        <w:spacing w:after="80" w:before="160"/>
        <w:jc w:val="center"/>
      </w:pPr>
      <w:r>
        <w:rPr>
          <w:rFonts w:ascii="Arial" w:cs="Arial" w:eastAsia="Arial" w:hAnsi="Arial"/>
          <w:i/>
          <w:iCs/>
          <w:color w:val="555555"/>
          <w:sz w:val="22"/>
          <w:szCs w:val="22"/>
        </w:rPr>
        <w:t xml:space="preserve">Harnessing Artificial Intelligence for Next-Generation Biomedical Discovery</w:t>
      </w:r>
    </w:p>
    <w:p>
      <w:pPr>
        <w:pBdr>
          <w:bottom w:val="single" w:color="CCCCCC" w:sz="4" w:space="4"/>
        </w:pBdr>
        <w:spacing w:after="80" w:before="80"/>
        <w:jc w:val="center"/>
      </w:pPr>
      <w:r>
        <w:rPr>
          <w:rFonts w:ascii="Arial" w:cs="Arial" w:eastAsia="Arial" w:hAnsi="Arial"/>
          <w:color w:val="777777"/>
          <w:sz w:val="20"/>
          <w:szCs w:val="20"/>
        </w:rPr>
        <w:t xml:space="preserve">Submitted as part of CodeAlpha Biotechnology Internship Program — Task 4</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rFonts w:ascii="Arial" w:cs="Arial" w:eastAsia="Arial" w:hAnsi="Arial"/>
                <w:b/>
                <w:bCs/>
                <w:sz w:val="22"/>
                <w:szCs w:val="22"/>
              </w:rPr>
              <w:t xml:space="preserve">Project Title</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AI/ML Applications in Biotechnology Research</w:t>
            </w:r>
          </w:p>
        </w:tc>
      </w:tr>
      <w:tr>
        <w:tc>
          <w:tcPr>
            <w:tcW w:type="dxa" w:w="2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rFonts w:ascii="Arial" w:cs="Arial" w:eastAsia="Arial" w:hAnsi="Arial"/>
                <w:b/>
                <w:bCs/>
                <w:sz w:val="22"/>
                <w:szCs w:val="22"/>
              </w:rPr>
              <w:t xml:space="preserve">Domain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Biotechnology / Bioinformatics / Artificial Intelligence</w:t>
            </w:r>
          </w:p>
        </w:tc>
      </w:tr>
      <w:tr>
        <w:tc>
          <w:tcPr>
            <w:tcW w:type="dxa" w:w="2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rFonts w:ascii="Arial" w:cs="Arial" w:eastAsia="Arial" w:hAnsi="Arial"/>
                <w:b/>
                <w:bCs/>
                <w:sz w:val="22"/>
                <w:szCs w:val="22"/>
              </w:rPr>
              <w:t xml:space="preserve">Submitted To</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CodeAlpha — Biotechnology Internship Program</w:t>
            </w:r>
          </w:p>
        </w:tc>
      </w:tr>
      <w:tr>
        <w:tc>
          <w:tcPr>
            <w:tcW w:type="dxa" w:w="25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r>
              <w:rPr>
                <w:rFonts w:ascii="Arial" w:cs="Arial" w:eastAsia="Arial" w:hAnsi="Arial"/>
                <w:b/>
                <w:bCs/>
                <w:sz w:val="22"/>
                <w:szCs w:val="22"/>
              </w:rPr>
              <w:t xml:space="preserve">Type</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Research Proposal / Mini Project</w:t>
            </w:r>
          </w:p>
        </w:tc>
      </w:tr>
    </w:tbl>
    <w:p>
      <w:pPr>
        <w:spacing w:before="300"/>
      </w:pPr>
    </w:p>
    <w:p>
      <w:pPr>
        <w:pStyle w:val="Heading1"/>
      </w:pPr>
      <w:r>
        <w:t xml:space="preserve">1. Introduction</w:t>
      </w:r>
    </w:p>
    <w:p>
      <w:pPr>
        <w:spacing w:after="160" w:before="120" w:line="360"/>
        <w:jc w:val="both"/>
      </w:pPr>
      <w:r>
        <w:rPr>
          <w:rFonts w:ascii="Arial" w:cs="Arial" w:eastAsia="Arial" w:hAnsi="Arial"/>
          <w:sz w:val="24"/>
          <w:szCs w:val="24"/>
        </w:rPr>
        <w:t xml:space="preserve">The twenty-first century has witnessed an extraordinary convergence of two transformative scientific domains: biotechnology and artificial intelligence (AI). As biological data generation has grown exponentially — driven by next-generation sequencing, high-throughput screening, structural proteomics, and electronic health records — the capacity of traditional analytical methods to extract meaningful insights has been fundamentally overwhelmed. Artificial intelligence, and machine learning (ML) in particular, has emerged as the essential toolkit for navigating this data deluge, uncovering patterns, making predictions, and accelerating discovery at a scale and speed previously unimaginable.</w:t>
      </w:r>
    </w:p>
    <w:p>
      <w:pPr>
        <w:spacing w:after="200" w:before="0" w:line="360"/>
        <w:jc w:val="both"/>
      </w:pPr>
      <w:r>
        <w:rPr>
          <w:rFonts w:ascii="Arial" w:cs="Arial" w:eastAsia="Arial" w:hAnsi="Arial"/>
          <w:sz w:val="24"/>
          <w:szCs w:val="24"/>
        </w:rPr>
        <w:t xml:space="preserve">Machine learning algorithms, ranging from classical statistical models to deep neural networks and transformer architectures, are now being applied across every major domain of biotechnology — from protein structure prediction and drug discovery to genomics, diagnostics, and clinical trial optimization. The 2020 release of AlphaFold2 by DeepMind, which solved the 50-year-old protein folding problem with remarkable accuracy, stands as perhaps the most celebrated example of AI transforming biological science. However, the applications of AI/ML in biotechnology extend far beyond any single breakthrough, representing a systemic shift in how biological research is conducted, interpreted, and translated into real-world impact.</w:t>
      </w:r>
    </w:p>
    <w:p>
      <w:pPr>
        <w:pStyle w:val="Heading1"/>
      </w:pPr>
      <w:r>
        <w:t xml:space="preserve">2. Problem Statement</w:t>
      </w:r>
    </w:p>
    <w:p>
      <w:pPr>
        <w:spacing w:after="160" w:before="120" w:line="360"/>
        <w:jc w:val="both"/>
      </w:pPr>
      <w:r>
        <w:rPr>
          <w:rFonts w:ascii="Arial" w:cs="Arial" w:eastAsia="Arial" w:hAnsi="Arial"/>
          <w:sz w:val="24"/>
          <w:szCs w:val="24"/>
        </w:rPr>
        <w:t xml:space="preserve">Despite the immense promise of AI/ML in biotechnology, several critical gaps limit their effective deployment and real-world impact:</w:t>
      </w:r>
    </w:p>
    <w:p>
      <w:pPr>
        <w:pStyle w:val="ListParagraph"/>
        <w:numPr>
          <w:ilvl w:val="0"/>
          <w:numId w:val="2"/>
        </w:numPr>
        <w:spacing w:after="60" w:before="60" w:line="340"/>
      </w:pPr>
      <w:r>
        <w:rPr>
          <w:rFonts w:ascii="Arial" w:cs="Arial" w:eastAsia="Arial" w:hAnsi="Arial"/>
          <w:sz w:val="24"/>
          <w:szCs w:val="24"/>
        </w:rPr>
        <w:t xml:space="preserve">Data Fragmentation and Quality: Biological datasets are often heterogeneous, incomplete, or siloed across institutions, hindering the development of generalisable AI models. High-quality labelled training data — essential for supervised learning — is scarce in many critical areas such as rare disease genomics and clinical outcomes.</w:t>
      </w:r>
    </w:p>
    <w:p>
      <w:pPr>
        <w:pStyle w:val="ListParagraph"/>
        <w:numPr>
          <w:ilvl w:val="0"/>
          <w:numId w:val="2"/>
        </w:numPr>
        <w:spacing w:after="60" w:before="60" w:line="340"/>
      </w:pPr>
      <w:r>
        <w:rPr>
          <w:rFonts w:ascii="Arial" w:cs="Arial" w:eastAsia="Arial" w:hAnsi="Arial"/>
          <w:sz w:val="24"/>
          <w:szCs w:val="24"/>
        </w:rPr>
        <w:t xml:space="preserve">Interpretability Deficit: Many high-performing ML models operate as 'black boxes,' producing accurate predictions without mechanistic explanation. In biotechnology, where regulatory approval and clinical trust require understanding the biological rationale behind predictions, this opacity is a significant barrier.</w:t>
      </w:r>
    </w:p>
    <w:p>
      <w:pPr>
        <w:pStyle w:val="ListParagraph"/>
        <w:numPr>
          <w:ilvl w:val="0"/>
          <w:numId w:val="2"/>
        </w:numPr>
        <w:spacing w:after="60" w:before="60" w:line="340"/>
      </w:pPr>
      <w:r>
        <w:rPr>
          <w:rFonts w:ascii="Arial" w:cs="Arial" w:eastAsia="Arial" w:hAnsi="Arial"/>
          <w:sz w:val="24"/>
          <w:szCs w:val="24"/>
        </w:rPr>
        <w:t xml:space="preserve">Integration Challenges: Translating AI-generated insights into actionable laboratory hypotheses and clinical protocols requires seamless integration between computational platforms and experimental workflows — an interdisciplinary challenge that most research institutions are ill-equipped to address.</w:t>
      </w:r>
    </w:p>
    <w:p>
      <w:pPr>
        <w:pStyle w:val="ListParagraph"/>
        <w:numPr>
          <w:ilvl w:val="0"/>
          <w:numId w:val="2"/>
        </w:numPr>
        <w:spacing w:after="160" w:before="60" w:line="340"/>
      </w:pPr>
      <w:r>
        <w:rPr>
          <w:rFonts w:ascii="Arial" w:cs="Arial" w:eastAsia="Arial" w:hAnsi="Arial"/>
          <w:sz w:val="24"/>
          <w:szCs w:val="24"/>
        </w:rPr>
        <w:t xml:space="preserve">Ethical and Bias Concerns: AI models trained on non-representative datasets can perpetuate or amplify biases, particularly in clinical applications. Ensuring fairness, privacy, and equity in AI-driven biotechnology applications is a growing ethical imperative.</w:t>
      </w:r>
    </w:p>
    <w:p>
      <w:pPr>
        <w:spacing w:after="200" w:before="0" w:line="360"/>
        <w:jc w:val="both"/>
      </w:pPr>
      <w:r>
        <w:rPr>
          <w:rFonts w:ascii="Arial" w:cs="Arial" w:eastAsia="Arial" w:hAnsi="Arial"/>
          <w:sz w:val="24"/>
          <w:szCs w:val="24"/>
        </w:rPr>
        <w:t xml:space="preserve">This proposal aims to address these challenges by designing a structured framework for the responsible and effective application of AI/ML in key biotechnology research domains, with a focus on drug discovery, genomics, and personalised medicine.</w:t>
      </w:r>
    </w:p>
    <w:p>
      <w:pPr>
        <w:pStyle w:val="Heading1"/>
      </w:pPr>
      <w:r>
        <w:t xml:space="preserve">3. Objectives</w:t>
      </w:r>
    </w:p>
    <w:p>
      <w:pPr>
        <w:spacing w:after="100" w:before="120" w:line="360"/>
        <w:jc w:val="both"/>
      </w:pPr>
      <w:r>
        <w:rPr>
          <w:rFonts w:ascii="Arial" w:cs="Arial" w:eastAsia="Arial" w:hAnsi="Arial"/>
          <w:sz w:val="24"/>
          <w:szCs w:val="24"/>
        </w:rPr>
        <w:t xml:space="preserve">The primary and secondary objectives of this project are as follows:</w:t>
      </w:r>
    </w:p>
    <w:p>
      <w:pPr>
        <w:pStyle w:val="Heading2"/>
      </w:pPr>
      <w:r>
        <w:t xml:space="preserve">3.1 Primary Objectives</w:t>
      </w:r>
    </w:p>
    <w:p>
      <w:pPr>
        <w:pStyle w:val="ListParagraph"/>
        <w:numPr>
          <w:ilvl w:val="0"/>
          <w:numId w:val="3"/>
        </w:numPr>
        <w:spacing w:after="60" w:before="60" w:line="340"/>
      </w:pPr>
      <w:r>
        <w:rPr>
          <w:rFonts w:ascii="Arial" w:cs="Arial" w:eastAsia="Arial" w:hAnsi="Arial"/>
          <w:sz w:val="24"/>
          <w:szCs w:val="24"/>
        </w:rPr>
        <w:t xml:space="preserve">To design and evaluate an AI/ML pipeline for accelerating drug target identification and compound screening in early-stage pharmaceutical research.</w:t>
      </w:r>
    </w:p>
    <w:p>
      <w:pPr>
        <w:pStyle w:val="ListParagraph"/>
        <w:numPr>
          <w:ilvl w:val="0"/>
          <w:numId w:val="3"/>
        </w:numPr>
        <w:spacing w:after="60" w:before="60" w:line="340"/>
      </w:pPr>
      <w:r>
        <w:rPr>
          <w:rFonts w:ascii="Arial" w:cs="Arial" w:eastAsia="Arial" w:hAnsi="Arial"/>
          <w:sz w:val="24"/>
          <w:szCs w:val="24"/>
        </w:rPr>
        <w:t xml:space="preserve">To develop interpretable machine learning models for genomic variant classification, enabling more accurate identification of disease-associated genetic variants from whole-genome sequencing data.</w:t>
      </w:r>
    </w:p>
    <w:p>
      <w:pPr>
        <w:pStyle w:val="ListParagraph"/>
        <w:numPr>
          <w:ilvl w:val="0"/>
          <w:numId w:val="3"/>
        </w:numPr>
        <w:spacing w:after="160" w:before="60" w:line="340"/>
      </w:pPr>
      <w:r>
        <w:rPr>
          <w:rFonts w:ascii="Arial" w:cs="Arial" w:eastAsia="Arial" w:hAnsi="Arial"/>
          <w:sz w:val="24"/>
          <w:szCs w:val="24"/>
        </w:rPr>
        <w:t xml:space="preserve">To build a conceptual framework for AI-powered personalised medicine, integrating multi-omics data (genomics, transcriptomics, proteomics) with clinical variables to predict individual patient treatment responses.</w:t>
      </w:r>
    </w:p>
    <w:p>
      <w:pPr>
        <w:pStyle w:val="Heading2"/>
      </w:pPr>
      <w:r>
        <w:t xml:space="preserve">3.2 Secondary Objectives</w:t>
      </w:r>
    </w:p>
    <w:p>
      <w:pPr>
        <w:pStyle w:val="ListParagraph"/>
        <w:numPr>
          <w:ilvl w:val="0"/>
          <w:numId w:val="2"/>
        </w:numPr>
        <w:spacing w:after="60" w:before="60" w:line="340"/>
      </w:pPr>
      <w:r>
        <w:rPr>
          <w:rFonts w:ascii="Arial" w:cs="Arial" w:eastAsia="Arial" w:hAnsi="Arial"/>
          <w:sz w:val="24"/>
          <w:szCs w:val="24"/>
        </w:rPr>
        <w:t xml:space="preserve">To review the current landscape of publicly available biotechnology datasets and bioinformatics tools amenable to AI/ML integration.</w:t>
      </w:r>
    </w:p>
    <w:p>
      <w:pPr>
        <w:pStyle w:val="ListParagraph"/>
        <w:numPr>
          <w:ilvl w:val="0"/>
          <w:numId w:val="2"/>
        </w:numPr>
        <w:spacing w:after="60" w:before="60" w:line="340"/>
      </w:pPr>
      <w:r>
        <w:rPr>
          <w:rFonts w:ascii="Arial" w:cs="Arial" w:eastAsia="Arial" w:hAnsi="Arial"/>
          <w:sz w:val="24"/>
          <w:szCs w:val="24"/>
        </w:rPr>
        <w:t xml:space="preserve">To identify best practices for explainable AI (XAI) approaches applicable to biological and clinical contexts.</w:t>
      </w:r>
    </w:p>
    <w:p>
      <w:pPr>
        <w:pStyle w:val="ListParagraph"/>
        <w:numPr>
          <w:ilvl w:val="0"/>
          <w:numId w:val="2"/>
        </w:numPr>
        <w:spacing w:after="160" w:before="60" w:line="340"/>
      </w:pPr>
      <w:r>
        <w:rPr>
          <w:rFonts w:ascii="Arial" w:cs="Arial" w:eastAsia="Arial" w:hAnsi="Arial"/>
          <w:sz w:val="24"/>
          <w:szCs w:val="24"/>
        </w:rPr>
        <w:t xml:space="preserve">To propose an ethical governance framework for the deployment of AI/ML models in biotechnology research, addressing bias, data privacy, and regulatory compliance.</w:t>
      </w:r>
    </w:p>
    <w:p>
      <w:pPr>
        <w:pStyle w:val="Heading1"/>
      </w:pPr>
      <w:r>
        <w:t xml:space="preserve">4. Methodology</w:t>
      </w:r>
    </w:p>
    <w:p>
      <w:pPr>
        <w:pStyle w:val="Heading2"/>
      </w:pPr>
      <w:r>
        <w:t xml:space="preserve">4.1 Phase 1 — Literature Review and Data Audit (Weeks 1–2)</w:t>
      </w:r>
    </w:p>
    <w:p>
      <w:pPr>
        <w:spacing w:after="160" w:before="120" w:line="360"/>
        <w:jc w:val="both"/>
      </w:pPr>
      <w:r>
        <w:rPr>
          <w:rFonts w:ascii="Arial" w:cs="Arial" w:eastAsia="Arial" w:hAnsi="Arial"/>
          <w:sz w:val="24"/>
          <w:szCs w:val="24"/>
        </w:rPr>
        <w:t xml:space="preserve">A systematic literature review will be conducted using PubMed, Google Scholar, and bioRxiv to survey current AI/ML applications in biotechnology. Key databases — including ChEMBL for drug-target interactions, UniProt for protein sequences, ClinVar for genomic variants, and The Cancer Genome Atlas (TCGA) for multi-omics oncology data — will be audited for suitability, quality, and accessibility. The review will specifically focus on publications from 2018 to 2025 to capture the rapid recent evolution of the field.</w:t>
      </w:r>
    </w:p>
    <w:p>
      <w:pPr>
        <w:pStyle w:val="Heading2"/>
      </w:pPr>
      <w:r>
        <w:t xml:space="preserve">4.2 Phase 2 — AI/ML Pipeline Design for Drug Discovery (Weeks 3–5)</w:t>
      </w:r>
    </w:p>
    <w:p>
      <w:pPr>
        <w:spacing w:after="100" w:before="120" w:line="360"/>
        <w:jc w:val="both"/>
      </w:pPr>
      <w:r>
        <w:rPr>
          <w:rFonts w:ascii="Arial" w:cs="Arial" w:eastAsia="Arial" w:hAnsi="Arial"/>
          <w:sz w:val="24"/>
          <w:szCs w:val="24"/>
        </w:rPr>
        <w:t xml:space="preserve">A computational pipeline for drug discovery will be designed, comprising the following stages:</w:t>
      </w:r>
    </w:p>
    <w:p>
      <w:pPr>
        <w:pStyle w:val="ListParagraph"/>
        <w:numPr>
          <w:ilvl w:val="0"/>
          <w:numId w:val="2"/>
        </w:numPr>
        <w:spacing w:after="60" w:before="60" w:line="340"/>
      </w:pPr>
      <w:r>
        <w:rPr>
          <w:rFonts w:ascii="Arial" w:cs="Arial" w:eastAsia="Arial" w:hAnsi="Arial"/>
          <w:sz w:val="24"/>
          <w:szCs w:val="24"/>
        </w:rPr>
        <w:t xml:space="preserve">Target Identification: Graph neural networks (GNNs) applied to protein-protein interaction (PPI) networks to prioritise disease-relevant target proteins based on topological features and differential expression data.</w:t>
      </w:r>
    </w:p>
    <w:p>
      <w:pPr>
        <w:pStyle w:val="ListParagraph"/>
        <w:numPr>
          <w:ilvl w:val="0"/>
          <w:numId w:val="2"/>
        </w:numPr>
        <w:spacing w:after="60" w:before="60" w:line="340"/>
      </w:pPr>
      <w:r>
        <w:rPr>
          <w:rFonts w:ascii="Arial" w:cs="Arial" w:eastAsia="Arial" w:hAnsi="Arial"/>
          <w:sz w:val="24"/>
          <w:szCs w:val="24"/>
        </w:rPr>
        <w:t xml:space="preserve">Virtual Screening: Deep learning models (e.g., DimeNet, SchNet) trained on molecular graphs from ChEMBL to predict binding affinity between candidate compounds and identified targets.</w:t>
      </w:r>
    </w:p>
    <w:p>
      <w:pPr>
        <w:pStyle w:val="ListParagraph"/>
        <w:numPr>
          <w:ilvl w:val="0"/>
          <w:numId w:val="2"/>
        </w:numPr>
        <w:spacing w:after="60" w:before="60" w:line="340"/>
      </w:pPr>
      <w:r>
        <w:rPr>
          <w:rFonts w:ascii="Arial" w:cs="Arial" w:eastAsia="Arial" w:hAnsi="Arial"/>
          <w:sz w:val="24"/>
          <w:szCs w:val="24"/>
        </w:rPr>
        <w:t xml:space="preserve">ADMET Prediction: Multi-task neural networks for predicting Absorption, Distribution, Metabolism, Excretion, and Toxicity (ADMET) properties of candidate molecules, reducing costly late-stage attrition.</w:t>
      </w:r>
    </w:p>
    <w:p>
      <w:pPr>
        <w:pStyle w:val="ListParagraph"/>
        <w:numPr>
          <w:ilvl w:val="0"/>
          <w:numId w:val="2"/>
        </w:numPr>
        <w:spacing w:after="160" w:before="60" w:line="340"/>
      </w:pPr>
      <w:r>
        <w:rPr>
          <w:rFonts w:ascii="Arial" w:cs="Arial" w:eastAsia="Arial" w:hAnsi="Arial"/>
          <w:sz w:val="24"/>
          <w:szCs w:val="24"/>
        </w:rPr>
        <w:t xml:space="preserve">Generative Molecular Design: Variational autoencoders (VAEs) and generative adversarial networks (GANs) will be explored for de novo molecular generation guided by desired target-binding and pharmacokinetic profiles.</w:t>
      </w:r>
    </w:p>
    <w:p>
      <w:pPr>
        <w:pStyle w:val="Heading2"/>
      </w:pPr>
      <w:r>
        <w:t xml:space="preserve">4.3 Phase 3 — Genomic Variant Classification Model (Weeks 6–8)</w:t>
      </w:r>
    </w:p>
    <w:p>
      <w:pPr>
        <w:spacing w:after="160" w:before="120" w:line="360"/>
        <w:jc w:val="both"/>
      </w:pPr>
      <w:r>
        <w:rPr>
          <w:rFonts w:ascii="Arial" w:cs="Arial" w:eastAsia="Arial" w:hAnsi="Arial"/>
          <w:sz w:val="24"/>
          <w:szCs w:val="24"/>
        </w:rPr>
        <w:t xml:space="preserve">A gradient boosting model (XGBoost/LightGBM) will be designed for classifying genomic variants from ClinVar as pathogenic, likely pathogenic, uncertain significance, likely benign, or benign. Features will include variant location, conservation scores (PhyloP, GERP++), functional annotation (SnpEff), allele frequency from gnomAD, and protein structural impact scores from tools such as SIFT and PolyPhen-2. Model interpretability will be ensured through SHAP (SHapley Additive exPlanations) value analysis, which quantifies each feature's contribution to individual predictions — a critical requirement for clinical utility.</w:t>
      </w:r>
    </w:p>
    <w:p>
      <w:pPr>
        <w:pStyle w:val="Heading2"/>
      </w:pPr>
      <w:r>
        <w:t xml:space="preserve">4.4 Phase 4 — Personalised Medicine Framework Design (Weeks 9–10)</w:t>
      </w:r>
    </w:p>
    <w:p>
      <w:pPr>
        <w:spacing w:after="200" w:before="120" w:line="360"/>
        <w:jc w:val="both"/>
      </w:pPr>
      <w:r>
        <w:rPr>
          <w:rFonts w:ascii="Arial" w:cs="Arial" w:eastAsia="Arial" w:hAnsi="Arial"/>
          <w:sz w:val="24"/>
          <w:szCs w:val="24"/>
        </w:rPr>
        <w:t xml:space="preserve">A conceptual multi-omics integration framework will be designed using a multi-modal deep learning architecture. The framework will combine genomic variant data, RNA-seq transcriptomic profiles, and clinical metadata as parallel input streams, integrated via attention-based fusion layers to predict patient-specific treatment outcomes. The framework will be validated conceptually using publicly available datasets from TCGA and the GEO database for cancer treatment response prediction.</w:t>
      </w:r>
    </w:p>
    <w:p>
      <w:pPr>
        <w:pStyle w:val="Heading2"/>
      </w:pPr>
      <w:r>
        <w:t xml:space="preserve">4.5 Phase 5 — Ethical Framework and Documentation (Weeks 11–12)</w:t>
      </w:r>
    </w:p>
    <w:p>
      <w:pPr>
        <w:spacing w:after="200" w:before="120" w:line="360"/>
        <w:jc w:val="both"/>
      </w:pPr>
      <w:r>
        <w:rPr>
          <w:rFonts w:ascii="Arial" w:cs="Arial" w:eastAsia="Arial" w:hAnsi="Arial"/>
          <w:sz w:val="24"/>
          <w:szCs w:val="24"/>
        </w:rPr>
        <w:t xml:space="preserve">An ethical governance framework will be proposed addressing: data privacy (GDPR and HIPAA compliance strategies), algorithmic bias mitigation (balanced dataset construction, fairness metrics), model transparency requirements for regulatory submissions, and stakeholder communication protocols. All project phases will be documented in a structured research report with reproducible code repositories referenced.</w:t>
      </w:r>
    </w:p>
    <w:p>
      <w:pPr>
        <w:pStyle w:val="Heading1"/>
      </w:pPr>
      <w:r>
        <w:t xml:space="preserve">5. Expected Outcomes</w:t>
      </w:r>
    </w:p>
    <w:p>
      <w:pPr>
        <w:spacing w:after="100" w:before="120" w:line="360"/>
        <w:jc w:val="both"/>
      </w:pPr>
      <w:r>
        <w:rPr>
          <w:rFonts w:ascii="Arial" w:cs="Arial" w:eastAsia="Arial" w:hAnsi="Arial"/>
          <w:sz w:val="24"/>
          <w:szCs w:val="24"/>
        </w:rPr>
        <w:t xml:space="preserve">Upon successful completion of this project, the following tangible and intangible outcomes are anticipated:</w:t>
      </w:r>
    </w:p>
    <w:p>
      <w:pPr>
        <w:pStyle w:val="ListParagraph"/>
        <w:numPr>
          <w:ilvl w:val="0"/>
          <w:numId w:val="2"/>
        </w:numPr>
        <w:spacing w:after="60" w:before="60" w:line="340"/>
      </w:pPr>
      <w:r>
        <w:rPr>
          <w:rFonts w:ascii="Arial" w:cs="Arial" w:eastAsia="Arial" w:hAnsi="Arial"/>
          <w:sz w:val="24"/>
          <w:szCs w:val="24"/>
        </w:rPr>
        <w:t xml:space="preserve">A documented conceptual AI/ML pipeline for drug target identification and virtual compound screening, grounded in current deep learning architectures and demonstrated with publicly available chemical-biological interaction data.</w:t>
      </w:r>
    </w:p>
    <w:p>
      <w:pPr>
        <w:pStyle w:val="ListParagraph"/>
        <w:numPr>
          <w:ilvl w:val="0"/>
          <w:numId w:val="2"/>
        </w:numPr>
        <w:spacing w:after="60" w:before="60" w:line="340"/>
      </w:pPr>
      <w:r>
        <w:rPr>
          <w:rFonts w:ascii="Arial" w:cs="Arial" w:eastAsia="Arial" w:hAnsi="Arial"/>
          <w:sz w:val="24"/>
          <w:szCs w:val="24"/>
        </w:rPr>
        <w:t xml:space="preserve">A designed and benchmarked variant classification model with SHAP-based interpretability analysis, providing transparent, clinically meaningful predictions from genomic data.</w:t>
      </w:r>
    </w:p>
    <w:p>
      <w:pPr>
        <w:pStyle w:val="ListParagraph"/>
        <w:numPr>
          <w:ilvl w:val="0"/>
          <w:numId w:val="2"/>
        </w:numPr>
        <w:spacing w:after="60" w:before="60" w:line="340"/>
      </w:pPr>
      <w:r>
        <w:rPr>
          <w:rFonts w:ascii="Arial" w:cs="Arial" w:eastAsia="Arial" w:hAnsi="Arial"/>
          <w:sz w:val="24"/>
          <w:szCs w:val="24"/>
        </w:rPr>
        <w:t xml:space="preserve">A conceptual multi-omics personalised medicine framework demonstrating how heterogeneous biological data can be integrated using attention-based deep learning for treatment response prediction.</w:t>
      </w:r>
    </w:p>
    <w:p>
      <w:pPr>
        <w:pStyle w:val="ListParagraph"/>
        <w:numPr>
          <w:ilvl w:val="0"/>
          <w:numId w:val="2"/>
        </w:numPr>
        <w:spacing w:after="60" w:before="60" w:line="340"/>
      </w:pPr>
      <w:r>
        <w:rPr>
          <w:rFonts w:ascii="Arial" w:cs="Arial" w:eastAsia="Arial" w:hAnsi="Arial"/>
          <w:sz w:val="24"/>
          <w:szCs w:val="24"/>
        </w:rPr>
        <w:t xml:space="preserve">A comprehensive ethical and regulatory governance framework for responsible AI deployment in biotechnology, addressable by research institutions and industry partners.</w:t>
      </w:r>
    </w:p>
    <w:p>
      <w:pPr>
        <w:pStyle w:val="ListParagraph"/>
        <w:numPr>
          <w:ilvl w:val="0"/>
          <w:numId w:val="2"/>
        </w:numPr>
        <w:spacing w:after="160" w:before="60" w:line="340"/>
      </w:pPr>
      <w:r>
        <w:rPr>
          <w:rFonts w:ascii="Arial" w:cs="Arial" w:eastAsia="Arial" w:hAnsi="Arial"/>
          <w:sz w:val="24"/>
          <w:szCs w:val="24"/>
        </w:rPr>
        <w:t xml:space="preserve">A deeper understanding of the interdisciplinary landscape of AI-driven biotechnology, equipping the researcher with practical knowledge of bioinformatics tools, ML frameworks (TensorFlow, PyTorch, scikit-learn), and domain-specific datasets.</w:t>
      </w:r>
    </w:p>
    <w:p>
      <w:pPr>
        <w:spacing w:after="200" w:before="0" w:line="360"/>
        <w:jc w:val="both"/>
      </w:pPr>
      <w:r>
        <w:rPr>
          <w:rFonts w:ascii="Arial" w:cs="Arial" w:eastAsia="Arial" w:hAnsi="Arial"/>
          <w:sz w:val="24"/>
          <w:szCs w:val="24"/>
        </w:rPr>
        <w:t xml:space="preserve">These outcomes collectively contribute to the broader mission of making biotechnology research faster, more accurate, and more accessible through the responsible application of artificial intelligence — a contribution aligned with the CodeAlpha internship program's emphasis on innovation, technical rigor, and real-world impact.</w:t>
      </w:r>
    </w:p>
    <w:p>
      <w:pPr>
        <w:pStyle w:val="Heading1"/>
      </w:pPr>
      <w:r>
        <w:t xml:space="preserve">6.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r>
              <w:rPr>
                <w:rFonts w:ascii="Arial" w:cs="Arial" w:eastAsia="Arial" w:hAnsi="Arial"/>
                <w:b/>
                <w:bCs/>
                <w:color w:val="FFFFFF"/>
                <w:sz w:val="22"/>
                <w:szCs w:val="22"/>
              </w:rPr>
              <w:t xml:space="preserve">Timeline</w:t>
            </w:r>
          </w:p>
        </w:tc>
        <w:tc>
          <w:tcPr>
            <w:tcW w:type="dxa" w:w="4226"/>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r>
              <w:rPr>
                <w:rFonts w:ascii="Arial" w:cs="Arial" w:eastAsia="Arial" w:hAnsi="Arial"/>
                <w:b/>
                <w:bCs/>
                <w:color w:val="FFFFFF"/>
                <w:sz w:val="22"/>
                <w:szCs w:val="22"/>
              </w:rPr>
              <w:t xml:space="preserve">Key Deliverable</w:t>
            </w:r>
          </w:p>
        </w:tc>
      </w:tr>
      <w:tr>
        <w:tc>
          <w:tcPr>
            <w:tcW w:type="dxa" w:w="18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Phase 1</w:t>
            </w:r>
          </w:p>
        </w:tc>
        <w:tc>
          <w:tcPr>
            <w:tcW w:type="dxa" w:w="30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Weeks 1–2</w:t>
            </w:r>
          </w:p>
        </w:tc>
        <w:tc>
          <w:tcPr>
            <w:tcW w:type="dxa" w:w="4226"/>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Literature review report &amp; dataset audit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Weeks 3–5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Drug discovery pipeline design &amp; documentation</w:t>
            </w:r>
          </w:p>
        </w:tc>
      </w:tr>
      <w:tr>
        <w:tc>
          <w:tcPr>
            <w:tcW w:type="dxa" w:w="18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Phase 3</w:t>
            </w:r>
          </w:p>
        </w:tc>
        <w:tc>
          <w:tcPr>
            <w:tcW w:type="dxa" w:w="30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Weeks 6–8</w:t>
            </w:r>
          </w:p>
        </w:tc>
        <w:tc>
          <w:tcPr>
            <w:tcW w:type="dxa" w:w="4226"/>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Variant classification model design &amp; SHAP analysis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Weeks 9–10</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Multi-omics personalised medicine framework</w:t>
            </w:r>
          </w:p>
        </w:tc>
      </w:tr>
      <w:tr>
        <w:tc>
          <w:tcPr>
            <w:tcW w:type="dxa" w:w="18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Phase 5</w:t>
            </w:r>
          </w:p>
        </w:tc>
        <w:tc>
          <w:tcPr>
            <w:tcW w:type="dxa" w:w="3000"/>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Weeks 11–12</w:t>
            </w:r>
          </w:p>
        </w:tc>
        <w:tc>
          <w:tcPr>
            <w:tcW w:type="dxa" w:w="4226"/>
            <w:tcBorders>
              <w:top w:val="single" w:color="CCCCCC" w:sz="1"/>
              <w:left w:val="single" w:color="CCCCCC" w:sz="1"/>
              <w:bottom w:val="single" w:color="CCCCCC" w:sz="1"/>
              <w:right w:val="single" w:color="CCCCCC" w:sz="1"/>
            </w:tcBorders>
            <w:shd w:fill="F2F9F4" w:val="clear"/>
            <w:tcMar>
              <w:top w:type="dxa" w:w="100"/>
              <w:left w:type="dxa" w:w="150"/>
              <w:bottom w:type="dxa" w:w="100"/>
              <w:right w:type="dxa" w:w="150"/>
            </w:tcMar>
          </w:tcPr>
          <w:p>
            <w:r>
              <w:rPr>
                <w:rFonts w:ascii="Arial" w:cs="Arial" w:eastAsia="Arial" w:hAnsi="Arial"/>
                <w:sz w:val="22"/>
                <w:szCs w:val="22"/>
              </w:rPr>
              <w:t xml:space="preserve">Ethical framework &amp; final project report</w:t>
            </w:r>
          </w:p>
        </w:tc>
      </w:tr>
    </w:tbl>
    <w:p>
      <w:pPr>
        <w:spacing w:before="200"/>
      </w:pPr>
    </w:p>
    <w:p>
      <w:pPr>
        <w:pStyle w:val="Heading1"/>
      </w:pPr>
      <w:r>
        <w:t xml:space="preserve">References</w:t>
      </w:r>
    </w:p>
    <w:p>
      <w:pPr>
        <w:spacing w:after="80" w:before="80" w:line="320"/>
      </w:pPr>
      <w:r>
        <w:rPr>
          <w:rFonts w:ascii="Arial" w:cs="Arial" w:eastAsia="Arial" w:hAnsi="Arial"/>
          <w:sz w:val="22"/>
          <w:szCs w:val="22"/>
        </w:rPr>
        <w:t xml:space="preserve">Jumper, J., Evans, R., Pritzel, A., et al. (2021). Highly accurate protein structure prediction with AlphaFold. Nature, 596(7873), 583–589. https://doi.org/10.1038/s41586-021-03819-2</w:t>
      </w:r>
    </w:p>
    <w:p>
      <w:pPr>
        <w:spacing w:after="80" w:before="80" w:line="320"/>
      </w:pPr>
      <w:r>
        <w:rPr>
          <w:rFonts w:ascii="Arial" w:cs="Arial" w:eastAsia="Arial" w:hAnsi="Arial"/>
          <w:sz w:val="22"/>
          <w:szCs w:val="22"/>
        </w:rPr>
        <w:t xml:space="preserve">Stokes, J. M., Yang, K., Swanson, K., et al. (2020). A deep learning approach to antibiotic discovery. Cell, 180(4), 688–702. https://doi.org/10.1016/j.cell.2020.01.021</w:t>
      </w:r>
    </w:p>
    <w:p>
      <w:pPr>
        <w:spacing w:after="80" w:before="80" w:line="320"/>
      </w:pPr>
      <w:r>
        <w:rPr>
          <w:rFonts w:ascii="Arial" w:cs="Arial" w:eastAsia="Arial" w:hAnsi="Arial"/>
          <w:sz w:val="22"/>
          <w:szCs w:val="22"/>
        </w:rPr>
        <w:t xml:space="preserve">Vamathevan, J., Clark, D., Czodrowski, P., et al. (2019). Applications of machine learning in drug discovery and development. Nature Reviews Drug Discovery, 18(6), 463–477. https://doi.org/10.1038/s41573-019-0024-5</w:t>
      </w:r>
    </w:p>
    <w:p>
      <w:pPr>
        <w:spacing w:after="80" w:before="80" w:line="320"/>
      </w:pPr>
      <w:r>
        <w:rPr>
          <w:rFonts w:ascii="Arial" w:cs="Arial" w:eastAsia="Arial" w:hAnsi="Arial"/>
          <w:sz w:val="22"/>
          <w:szCs w:val="22"/>
        </w:rPr>
        <w:t xml:space="preserve">Eraslan, G., Avsec, Z., Gagneur, J., &amp; Theis, F. J. (2019). Deep learning: New computational modelling techniques for genomics. Nature Reviews Genetics, 20(7), 389–403. https://doi.org/10.1038/s41576-019-0122-6</w:t>
      </w:r>
    </w:p>
    <w:p>
      <w:pPr>
        <w:spacing w:after="80" w:before="80" w:line="320"/>
      </w:pPr>
      <w:r>
        <w:rPr>
          <w:rFonts w:ascii="Arial" w:cs="Arial" w:eastAsia="Arial" w:hAnsi="Arial"/>
          <w:sz w:val="22"/>
          <w:szCs w:val="22"/>
        </w:rPr>
        <w:t xml:space="preserve">Topol, E. J. (2019). High-performance medicine: The convergence of human and artificial intelligence. Nature Medicine, 25(1), 44–56. https://doi.org/10.1038/s41591-018-0300-7</w:t>
      </w:r>
    </w:p>
    <w:p>
      <w:pPr>
        <w:spacing w:after="80" w:before="80" w:line="320"/>
      </w:pPr>
      <w:r>
        <w:rPr>
          <w:rFonts w:ascii="Arial" w:cs="Arial" w:eastAsia="Arial" w:hAnsi="Arial"/>
          <w:sz w:val="22"/>
          <w:szCs w:val="22"/>
        </w:rPr>
        <w:t xml:space="preserve">Lundberg, S. M., &amp; Lee, S. I. (2017). A unified approach to interpreting model predictions. Advances in Neural Information Processing Systems, 30, 4765–4774.</w:t>
      </w:r>
    </w:p>
    <w:p>
      <w:pPr>
        <w:spacing w:after="80" w:before="80" w:line="320"/>
      </w:pPr>
      <w:r>
        <w:rPr>
          <w:rFonts w:ascii="Arial" w:cs="Arial" w:eastAsia="Arial" w:hAnsi="Arial"/>
          <w:sz w:val="22"/>
          <w:szCs w:val="22"/>
        </w:rPr>
        <w:t xml:space="preserve">Rampasek, L., &amp; Goldenberg, A. (2018). Learning from everyday images enables expert-like diagnosis of retinal diseases. Cell, 172(3), 453–455. https://doi.org/10.1016/j.cell.2018.01.014</w:t>
      </w:r>
    </w:p>
    <w:p>
      <w:pPr>
        <w:spacing w:after="80" w:before="80" w:line="320"/>
      </w:pPr>
      <w:r>
        <w:rPr>
          <w:rFonts w:ascii="Arial" w:cs="Arial" w:eastAsia="Arial" w:hAnsi="Arial"/>
          <w:sz w:val="22"/>
          <w:szCs w:val="22"/>
        </w:rPr>
        <w:t xml:space="preserve">WHO. (2021). Ethics and governance of artificial intelligence for health. World Health Organization. https://www.who.int/publications/i/item/9789240029200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CodeAlpha Biotechnology Internship</w:t>
    </w:r>
    <w:r>
      <w:rPr>
        <w:rFonts w:ascii="Arial" w:cs="Arial" w:eastAsia="Arial" w:hAnsi="Arial"/>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6" w:space="1"/>
      </w:pBdr>
    </w:pPr>
    <w:r>
      <w:rPr>
        <w:rFonts w:ascii="Arial" w:cs="Arial" w:eastAsia="Arial" w:hAnsi="Arial"/>
        <w:b/>
        <w:bCs/>
        <w:color w:val="1E8449"/>
        <w:sz w:val="18"/>
        <w:szCs w:val="18"/>
      </w:rPr>
      <w:t xml:space="preserve">Mini Project Proposal: AI/ML Applications in Biotechnology Research  |  CodeAlpha Internship — Task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844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7AE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2026-05-07T04:13:18.715Z</dcterms:created>
  <dcterms:modified xsi:type="dcterms:W3CDTF">2026-05-07T04:13:18.715Z</dcterms:modified>
</cp:coreProperties>
</file>

<file path=docProps/custom.xml><?xml version="1.0" encoding="utf-8"?>
<Properties xmlns="http://schemas.openxmlformats.org/officeDocument/2006/custom-properties" xmlns:vt="http://schemas.openxmlformats.org/officeDocument/2006/docPropsVTypes"/>
</file>