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Примерный перечень в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теории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03"/>
        <w:jc w:val="both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Понятие сущности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Сущность – реальный или мыслимый объект предметной области. Свойства сущности -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атрибуты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а множество атрибутов однозначно определяющие сущность среди других экземпляров называется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ключевым атрибутом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Понятие зависимой и независимой сущностей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Независимая сущность – сущность, которая может существовать вне связи с другими сущностями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Зависимая сущность – сущность, обязательно связанная с другими сущностями в базе данных, является дочерней сущностью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Виды связей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 к 1 – связь один к одному устанавливается, если к каждому экземпляру одной сущности соответствует только один экземпляр другой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 к М – связь один ко многим устанавливается, если к каждому экземпляру одной сущности, соответствует несколько экземпляров другой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1493503</wp:posOffset>
                </wp:positionV>
                <wp:extent cx="5940425" cy="84991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946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49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-6.8pt;mso-position-horizontal:absolute;mso-position-vertical-relative:text;margin-top:117.6pt;mso-position-vertical:absolute;width:467.8pt;height:66.9pt;mso-wrap-distance-left:9.1pt;mso-wrap-distance-top:0.0pt;mso-wrap-distance-right:9.1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М к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связь многие ко многим устанавливается, если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 каждому экземпляру одной сущности, соответствует несколько экземпляров другой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и наоборот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t xml:space="preserve">Виды зависимых сущностей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2"/>
        </w:numPr>
        <w:ind w:left="1417" w:right="0" w:firstLine="43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Характеристическая зависимая сущность – зависимая сущность, включающая характеристики родительской сущности</w:t>
      </w:r>
      <w:r/>
      <w:r/>
      <w:r/>
      <w:r/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Ассоциативная зависимая сущность – зависимая сущность, связанная с двумя и более родительскими сущностями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1575018</wp:posOffset>
                </wp:positionV>
                <wp:extent cx="5940425" cy="63244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306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3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9216;o:allowoverlap:true;o:allowincell:true;mso-position-horizontal-relative:text;margin-left:-6.8pt;mso-position-horizontal:absolute;mso-position-vertical-relative:text;margin-top:124.0pt;mso-position-vertical:absolute;width:467.8pt;height:49.8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Категориальная зависимая сущность – Дочерняя сущность в иерархии наследования</w:t>
      </w:r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508341</wp:posOffset>
                </wp:positionV>
                <wp:extent cx="5940425" cy="1351187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108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351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0240;o:allowoverlap:true;o:allowincell:true;mso-position-horizontal-relative:text;margin-left:0.0pt;mso-position-horizontal:absolute;mso-position-vertical-relative:text;margin-top:40.0pt;mso-position-vertical:absolute;width:467.8pt;height:106.4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Виды ключей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Потенциальный ключ – множество атрибутов сущности, которое уникально, однозначно определяет каждый экземпляр сущности. Таких ключей может быть несколько в сущности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Первичный ключ – единственный из множества потенциальных ключей выбранный для идентификации экземпляров сущности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Альтернативный ключ – потенциальный ключ, не ставший первичным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Вторичный ключ - ключ, допускающий повторяющиеся значения, используется для ускорения поиска данных.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Внешний ключ – ключ, переходящий из родительской сущности в дочернюю при установлении связи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Понятие имени роли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Имя роли – синоним атрибута внешнего ключа, который показывает, какую роль играет атрибут в дочерней сущности с учётом связи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Миграция ключей при установлении связей между сущностями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Определение функциональной зависимости между атрибутами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Виды функциональных зависимостей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Определение частичной, полной, транзитивной функциональных зависимостей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Понятие нормализации отношений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Виды нормальных форм отношений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Определение 1НФ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Определение 2НФ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3 НФ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hd w:val="nil"/>
      </w:pPr>
      <w:r>
        <w:br w:type="page" w:clear="all"/>
      </w:r>
      <w:r/>
    </w:p>
    <w:p>
      <w:pPr>
        <w:rPr>
          <w:highlight w:val="none"/>
        </w:rPr>
      </w:pPr>
      <w:r>
        <w:t xml:space="preserve">НФ2 Прайслист, Набор характеристик, аптека</w:t>
      </w:r>
      <w:r/>
    </w:p>
    <w:p>
      <w:r>
        <w:rPr>
          <w:highlight w:val="none"/>
        </w:rPr>
        <w:t xml:space="preserve">НФ3 ДиректорФИО, Прайслист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2023-04-14T07:34:38Z</dcterms:modified>
</cp:coreProperties>
</file>